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34E" w:rsidRDefault="00B714FA" w14:paraId="0397C144" w14:textId="221280FF">
      <w:bookmarkStart w:name="_GoBack" w:id="0"/>
      <w:bookmarkEnd w:id="0"/>
      <w:r>
        <w:t xml:space="preserve">Geachte voorzitter, </w:t>
      </w:r>
    </w:p>
    <w:p w:rsidR="00B714FA" w:rsidRDefault="00B714FA" w14:paraId="752762A2" w14:textId="77777777"/>
    <w:p w:rsidR="005E438A" w:rsidP="005E438A" w:rsidRDefault="00B714FA" w14:paraId="748F2FF0" w14:textId="77777777">
      <w:r>
        <w:t>Op 30 oktober jl. is de Tweede Kamer voor het laatst geïnformeerd over de voortgang van de implementatie van de herziene richtlijn hernieuwbare energie (RED-III) voor vervoer.</w:t>
      </w:r>
      <w:r w:rsidR="0038209F">
        <w:t xml:space="preserve"> </w:t>
      </w:r>
      <w:r w:rsidR="00045461">
        <w:t xml:space="preserve">Deze wordt geïmplementeerd in de </w:t>
      </w:r>
      <w:r w:rsidR="001319AE">
        <w:t xml:space="preserve">reeds bestaande </w:t>
      </w:r>
      <w:bookmarkStart w:name="_Hlk194651554" w:id="1"/>
      <w:r w:rsidR="00045461">
        <w:t>Brandstoftransitieverplichting</w:t>
      </w:r>
      <w:r w:rsidR="00045461">
        <w:rPr>
          <w:rStyle w:val="FootnoteReference"/>
        </w:rPr>
        <w:footnoteReference w:id="1"/>
      </w:r>
      <w:r w:rsidR="00045461">
        <w:t xml:space="preserve">. </w:t>
      </w:r>
      <w:bookmarkEnd w:id="1"/>
    </w:p>
    <w:p w:rsidR="005E438A" w:rsidP="005E438A" w:rsidRDefault="005E438A" w14:paraId="6DCC6F9C" w14:textId="77777777"/>
    <w:p w:rsidR="005E438A" w:rsidP="005E438A" w:rsidRDefault="005E438A" w14:paraId="3A895D06" w14:textId="6DF8004A">
      <w:r>
        <w:t xml:space="preserve">De Wijzigingswet milieubeheer, waarin de systeemwijzigingen zijn opgenomen, is klaar voor behandeling in </w:t>
      </w:r>
      <w:r w:rsidR="00E459CB">
        <w:t>de</w:t>
      </w:r>
      <w:r>
        <w:t xml:space="preserve"> Kamer en zal spoedig aankomen. </w:t>
      </w:r>
      <w:r w:rsidR="00B678C3">
        <w:t>H</w:t>
      </w:r>
      <w:r>
        <w:t>et Wijzigings</w:t>
      </w:r>
      <w:r w:rsidR="00B678C3">
        <w:softHyphen/>
      </w:r>
      <w:r>
        <w:t xml:space="preserve">besluit energie vervoer (met o.a. de hoogtes van de brandstoftransitieverplichting) </w:t>
      </w:r>
      <w:r w:rsidR="00B678C3">
        <w:t xml:space="preserve">zal naar verwachting </w:t>
      </w:r>
      <w:r>
        <w:t xml:space="preserve">begin juni aan </w:t>
      </w:r>
      <w:r w:rsidR="005820D0">
        <w:t>de</w:t>
      </w:r>
      <w:r>
        <w:t xml:space="preserve"> Kamer </w:t>
      </w:r>
      <w:r w:rsidR="00897588">
        <w:t>worden aangeboden</w:t>
      </w:r>
      <w:r>
        <w:t xml:space="preserve">. </w:t>
      </w:r>
      <w:r w:rsidR="00B678C3">
        <w:t xml:space="preserve">Parallel wordt er </w:t>
      </w:r>
      <w:r w:rsidR="00897588">
        <w:t>v</w:t>
      </w:r>
      <w:r>
        <w:t xml:space="preserve">erder </w:t>
      </w:r>
      <w:r w:rsidR="00897588">
        <w:t xml:space="preserve">gewerkt </w:t>
      </w:r>
      <w:r>
        <w:t xml:space="preserve">aan de Wijzigingsregeling energie vervoer, waarin de detailuitwerking van de implementatie volgt. </w:t>
      </w:r>
      <w:r w:rsidR="00B678C3">
        <w:t>Deze wordt n</w:t>
      </w:r>
      <w:r>
        <w:t xml:space="preserve">aar verwachting medio september afgerond. </w:t>
      </w:r>
    </w:p>
    <w:p w:rsidR="005E438A" w:rsidRDefault="005E438A" w14:paraId="63E73E07" w14:textId="77777777"/>
    <w:p w:rsidR="00333BFC" w:rsidRDefault="00333BFC" w14:paraId="695902F4" w14:textId="776D9432">
      <w:r>
        <w:t xml:space="preserve">Met deze brief informeer ik de Tweede Kamer over een </w:t>
      </w:r>
      <w:r w:rsidR="00045461">
        <w:t xml:space="preserve">viertal </w:t>
      </w:r>
      <w:r>
        <w:t>zaken met betrekking tot de RED-III implementatie</w:t>
      </w:r>
      <w:r w:rsidR="007614F1">
        <w:t>:</w:t>
      </w:r>
      <w:r>
        <w:t xml:space="preserve"> </w:t>
      </w:r>
    </w:p>
    <w:p w:rsidR="00333BFC" w:rsidP="00333BFC" w:rsidRDefault="00045461" w14:paraId="538C5F2A" w14:textId="6A7DC4CA">
      <w:pPr>
        <w:pStyle w:val="ListParagraph"/>
        <w:numPr>
          <w:ilvl w:val="0"/>
          <w:numId w:val="25"/>
        </w:numPr>
      </w:pPr>
      <w:r>
        <w:t>De raffinageroute</w:t>
      </w:r>
    </w:p>
    <w:p w:rsidR="00045461" w:rsidP="00045461" w:rsidRDefault="00045461" w14:paraId="52FA33AF" w14:textId="75F35A69">
      <w:pPr>
        <w:pStyle w:val="ListParagraph"/>
        <w:numPr>
          <w:ilvl w:val="0"/>
          <w:numId w:val="25"/>
        </w:numPr>
      </w:pPr>
      <w:r>
        <w:t xml:space="preserve">Verhoging van de </w:t>
      </w:r>
      <w:r w:rsidR="00BF0DF8">
        <w:t>brandstoftransitieverplichting</w:t>
      </w:r>
      <w:r>
        <w:t xml:space="preserve"> om het wettelijke klimaatdoel voor 2030 te behalen</w:t>
      </w:r>
    </w:p>
    <w:p w:rsidR="00045461" w:rsidP="00045461" w:rsidRDefault="00045461" w14:paraId="02419960" w14:textId="13E076F7">
      <w:pPr>
        <w:pStyle w:val="ListParagraph"/>
        <w:numPr>
          <w:ilvl w:val="0"/>
          <w:numId w:val="25"/>
        </w:numPr>
      </w:pPr>
      <w:r>
        <w:t>Luchtvaart en de RED-III-implementatie</w:t>
      </w:r>
    </w:p>
    <w:p w:rsidR="00333BFC" w:rsidP="00333BFC" w:rsidRDefault="001319AE" w14:paraId="237AE4FC" w14:textId="3D9136EC">
      <w:pPr>
        <w:pStyle w:val="ListParagraph"/>
        <w:numPr>
          <w:ilvl w:val="0"/>
          <w:numId w:val="25"/>
        </w:numPr>
      </w:pPr>
      <w:r>
        <w:t>O</w:t>
      </w:r>
      <w:r w:rsidR="00333BFC">
        <w:t>nderzoek</w:t>
      </w:r>
      <w:r>
        <w:t xml:space="preserve"> naar prijseffecten van de RED-III implementatie door</w:t>
      </w:r>
      <w:r w:rsidR="00333BFC">
        <w:t xml:space="preserve"> CE Delft</w:t>
      </w:r>
    </w:p>
    <w:p w:rsidR="00333BFC" w:rsidP="00333BFC" w:rsidRDefault="00333BFC" w14:paraId="28D361D8" w14:textId="77777777"/>
    <w:p w:rsidR="00333BFC" w:rsidP="00333BFC" w:rsidRDefault="00333BFC" w14:paraId="4886B407" w14:textId="66ED7BF7">
      <w:r>
        <w:rPr>
          <w:b/>
          <w:bCs/>
        </w:rPr>
        <w:t xml:space="preserve">Raffinageroute </w:t>
      </w:r>
      <w:r>
        <w:t xml:space="preserve"> </w:t>
      </w:r>
    </w:p>
    <w:p w:rsidR="00F55B19" w:rsidP="00EE6BCF" w:rsidRDefault="00EE6BCF" w14:paraId="55C969D7" w14:textId="44E20FB8">
      <w:r>
        <w:t>Naar aanleiding van de motie van Kamerleden Bontenbal en Vermeer</w:t>
      </w:r>
      <w:r w:rsidR="005820D0">
        <w:rPr>
          <w:rStyle w:val="FootnoteReference"/>
        </w:rPr>
        <w:footnoteReference w:id="2"/>
      </w:r>
      <w:r>
        <w:t xml:space="preserve"> heeft het ministerie van </w:t>
      </w:r>
      <w:r w:rsidR="007614F1">
        <w:t>IenW</w:t>
      </w:r>
      <w:r w:rsidR="005E438A">
        <w:t xml:space="preserve"> –</w:t>
      </w:r>
      <w:r>
        <w:t xml:space="preserve"> in afstemming met het ministerie van </w:t>
      </w:r>
      <w:r w:rsidR="007614F1">
        <w:t>KGG</w:t>
      </w:r>
      <w:r>
        <w:t xml:space="preserve"> </w:t>
      </w:r>
      <w:r w:rsidR="005E438A">
        <w:t>–</w:t>
      </w:r>
      <w:r w:rsidR="005820D0">
        <w:t xml:space="preserve"> </w:t>
      </w:r>
      <w:r>
        <w:t xml:space="preserve">een onderzoek </w:t>
      </w:r>
      <w:r w:rsidR="005820D0">
        <w:t xml:space="preserve">door TNO </w:t>
      </w:r>
      <w:r>
        <w:t xml:space="preserve">laten uitvoeren naar de impact van de voorgestelde hoogte voor de correctiefactor voor de raffinageroute van 0,4 op de business case voor elektrolyseprojecten in Nederland en de verduurzaming van de industrie. </w:t>
      </w:r>
    </w:p>
    <w:p w:rsidR="00EE6BCF" w:rsidP="00EE6BCF" w:rsidRDefault="00EE6BCF" w14:paraId="5D0C67F3" w14:textId="14031856">
      <w:r>
        <w:lastRenderedPageBreak/>
        <w:t xml:space="preserve">De </w:t>
      </w:r>
      <w:r w:rsidRPr="005820D0">
        <w:t xml:space="preserve">resultaten bied ik hierbij aan (zie bijlage </w:t>
      </w:r>
      <w:r w:rsidRPr="005820D0" w:rsidR="000734D6">
        <w:t>‘Een raffinageroute met toekomstwaarde voor groene waterstof in Nederland’</w:t>
      </w:r>
      <w:r w:rsidRPr="005820D0">
        <w:t>).</w:t>
      </w:r>
    </w:p>
    <w:p w:rsidR="00EE6BCF" w:rsidP="00EE6BCF" w:rsidRDefault="00EE6BCF" w14:paraId="3FFCB290" w14:textId="77777777"/>
    <w:p w:rsidR="00EE6BCF" w:rsidP="00EE6BCF" w:rsidRDefault="00EE6BCF" w14:paraId="5C5B1D9F" w14:textId="25CDBE78">
      <w:r>
        <w:t xml:space="preserve">In het onderzoek heeft TNO onder andere het speelveld van de raffinageroute </w:t>
      </w:r>
      <w:r w:rsidR="00B678C3">
        <w:t xml:space="preserve">in vergelijking </w:t>
      </w:r>
      <w:r>
        <w:t xml:space="preserve">met concurrerende alternatieven </w:t>
      </w:r>
      <w:r w:rsidR="007614F1">
        <w:t xml:space="preserve">in kaart gebracht, </w:t>
      </w:r>
      <w:r>
        <w:t>zoals directe inzet en import van e-methanol, de impact van de correctiefactor op de brandstofprijs en de implementatie van de raffinageroute in andere landen. TNO geeft aan dat bij een correctiefactor van 0,7 de kosten voor inzet in raffinaderijen op gelijke hoogte komen met geïmporteerde e-methanol, maar merkt ook op dat een correctiefactor lager dan 1</w:t>
      </w:r>
      <w:r w:rsidR="005820D0">
        <w:t>,0</w:t>
      </w:r>
      <w:r>
        <w:t xml:space="preserve"> leidt tot onzekerheid bij een deel van de sector, waardoor investeringen mogelijk alsnog niet van de grond komen.</w:t>
      </w:r>
    </w:p>
    <w:p w:rsidR="00EE6BCF" w:rsidP="00EE6BCF" w:rsidRDefault="00EE6BCF" w14:paraId="2E8C3867" w14:textId="77777777"/>
    <w:p w:rsidR="00EE6BCF" w:rsidP="00EE6BCF" w:rsidRDefault="00EE6BCF" w14:paraId="545C8083" w14:textId="77777777">
      <w:r>
        <w:t xml:space="preserve">TNO geeft ook aan dat de contouren van de vormgeving van de raffinageroute in Duitsland, Frankrijk en België door de markt als gunstiger worden beoordeeld voor een </w:t>
      </w:r>
      <w:r>
        <w:rPr>
          <w:i/>
          <w:iCs/>
        </w:rPr>
        <w:t>business case</w:t>
      </w:r>
      <w:r>
        <w:t xml:space="preserve"> voor elektrolyse dan de eerder gecommuniceerde voorgenomen vormgeving in Nederland. In deze landen zal geen sprake zijn van een correctiefactor.</w:t>
      </w:r>
    </w:p>
    <w:p w:rsidR="00EE6BCF" w:rsidP="00EE6BCF" w:rsidRDefault="00EE6BCF" w14:paraId="7BBB0B29" w14:textId="77777777"/>
    <w:p w:rsidRPr="003600E1" w:rsidR="00EE6BCF" w:rsidP="00EE6BCF" w:rsidRDefault="00EE6BCF" w14:paraId="51A82179" w14:textId="77777777">
      <w:r>
        <w:t xml:space="preserve">Uit het onderzoek blijkt dat verhoging van de correctiefactor met verhoging van het subdoel voor de sector wegvervoer mogelijk is zonder aanvullende kosten aan de pomp ten opzichte van het eerdere voorstel.  </w:t>
      </w:r>
    </w:p>
    <w:p w:rsidR="00EE6BCF" w:rsidP="00EE6BCF" w:rsidRDefault="00EE6BCF" w14:paraId="3A190948" w14:textId="77777777"/>
    <w:p w:rsidR="00EE6BCF" w:rsidP="00EE6BCF" w:rsidRDefault="00EE6BCF" w14:paraId="6D85DF54" w14:textId="78547731">
      <w:r>
        <w:t xml:space="preserve">Op basis van de uitkomsten van het onderzoek </w:t>
      </w:r>
      <w:r w:rsidR="00FC7D27">
        <w:t xml:space="preserve">heeft het kabinet </w:t>
      </w:r>
      <w:r>
        <w:t>besloten om ten minste voor de looptijd van de RED-III de correctiefactor te verhogen naar 1</w:t>
      </w:r>
      <w:r w:rsidR="00330A38">
        <w:t>,0</w:t>
      </w:r>
      <w:r>
        <w:t xml:space="preserve"> om zo de door de markt gevraagde zekerheid te bieden voor elektrolyseprojecten in Nederland. Tevens zal </w:t>
      </w:r>
      <w:r w:rsidR="005E438A">
        <w:t xml:space="preserve">de </w:t>
      </w:r>
      <w:r>
        <w:t>sub</w:t>
      </w:r>
      <w:r w:rsidR="005E438A">
        <w:t>verplichting</w:t>
      </w:r>
      <w:r>
        <w:t xml:space="preserve"> voor hernieuwbare brandstoffen van niet-biologische oorsprong</w:t>
      </w:r>
      <w:r>
        <w:rPr>
          <w:rStyle w:val="FootnoteReference"/>
        </w:rPr>
        <w:footnoteReference w:id="3"/>
      </w:r>
      <w:r>
        <w:t xml:space="preserve"> in de sector wegvervoer in de brandstoftransitieverplichting worden verhoogd in 2030 en de jaren daarvoor, zodat er voldoende ruimte is voor de gewenste Nederlandse elektrolysecapaciteit. </w:t>
      </w:r>
    </w:p>
    <w:p w:rsidR="00EE6BCF" w:rsidP="00EE6BCF" w:rsidRDefault="00EE6BCF" w14:paraId="43D580FE" w14:textId="77777777"/>
    <w:p w:rsidR="00EE6BCF" w:rsidP="00EE6BCF" w:rsidRDefault="00EE6BCF" w14:paraId="70C26444" w14:textId="0A86C0C7">
      <w:r>
        <w:t>Om de gevolgen van deze verhoging te compenseren, is afgesproken om het klimaatdoel voor mobiliteit te verlagen met 0,3 Mton en deze opgave bij de industrie op te tellen</w:t>
      </w:r>
      <w:r w:rsidR="00B678C3">
        <w:rPr>
          <w:rStyle w:val="FootnoteReference"/>
        </w:rPr>
        <w:footnoteReference w:id="4"/>
      </w:r>
      <w:r>
        <w:t xml:space="preserve">. De raffinageroute draagt immers bij aan deze industrie-opgave. </w:t>
      </w:r>
    </w:p>
    <w:p w:rsidR="00EE6BCF" w:rsidP="00EE6BCF" w:rsidRDefault="00EE6BCF" w14:paraId="6C8D764B" w14:textId="77777777"/>
    <w:p w:rsidR="00EE6BCF" w:rsidP="00EE6BCF" w:rsidRDefault="00EE6BCF" w14:paraId="0A00032D" w14:textId="4E53AAAA">
      <w:r>
        <w:t xml:space="preserve">Ten slotte komt er een tegemoetkoming voor </w:t>
      </w:r>
      <w:r w:rsidRPr="005A1882">
        <w:t xml:space="preserve">houders van waterstoftankstations die een verslechtering van hun business case ervaren als gevolg van de </w:t>
      </w:r>
      <w:r>
        <w:t xml:space="preserve">aangepaste correctiefactor </w:t>
      </w:r>
      <w:r w:rsidRPr="005A1882">
        <w:t>voor de raffinageroute</w:t>
      </w:r>
      <w:r>
        <w:t xml:space="preserve">. Het kabinet reserveert hiervoor maximaal </w:t>
      </w:r>
      <w:r w:rsidR="0035637E">
        <w:t xml:space="preserve">€ </w:t>
      </w:r>
      <w:r>
        <w:t xml:space="preserve">24 miljoen. Het ministerie van </w:t>
      </w:r>
      <w:r w:rsidR="007614F1">
        <w:t xml:space="preserve">KGG </w:t>
      </w:r>
      <w:r w:rsidRPr="00921B61">
        <w:t xml:space="preserve">gaat hiertoe op korte termijn samen met </w:t>
      </w:r>
      <w:r>
        <w:t xml:space="preserve">het ministerie van </w:t>
      </w:r>
      <w:r w:rsidR="007614F1">
        <w:t xml:space="preserve">IenW </w:t>
      </w:r>
      <w:r w:rsidRPr="00921B61">
        <w:t>in gesprek met aanbieders van waterstof en tankstationshouders om zicht te krijgen op tegenvallers en hoe deze, binnen generieke subsidieregelingen (onder andere via OWE of door deze compensatie via de SWiM</w:t>
      </w:r>
      <w:r>
        <w:rPr>
          <w:rStyle w:val="FootnoteReference"/>
        </w:rPr>
        <w:footnoteReference w:id="5"/>
      </w:r>
      <w:r w:rsidRPr="00921B61">
        <w:t xml:space="preserve"> te laten lopen), gecompenseerd kunnen worden.</w:t>
      </w:r>
    </w:p>
    <w:p w:rsidR="00333BFC" w:rsidP="00333BFC" w:rsidRDefault="00333BFC" w14:paraId="7B583236" w14:textId="77777777"/>
    <w:p w:rsidR="00B678C3" w:rsidRDefault="00B678C3" w14:paraId="3D4DD747" w14:textId="77777777">
      <w:pPr>
        <w:spacing w:line="240" w:lineRule="auto"/>
        <w:rPr>
          <w:b/>
          <w:bCs/>
        </w:rPr>
      </w:pPr>
      <w:r>
        <w:rPr>
          <w:b/>
          <w:bCs/>
        </w:rPr>
        <w:br w:type="page"/>
      </w:r>
    </w:p>
    <w:p w:rsidR="001319AE" w:rsidP="001319AE" w:rsidRDefault="001319AE" w14:paraId="7D17E766" w14:textId="09536AAF">
      <w:pPr>
        <w:rPr>
          <w:b/>
          <w:bCs/>
        </w:rPr>
      </w:pPr>
      <w:r>
        <w:rPr>
          <w:b/>
          <w:bCs/>
        </w:rPr>
        <w:t xml:space="preserve">Verhoging </w:t>
      </w:r>
      <w:r w:rsidR="002F3FE7">
        <w:rPr>
          <w:b/>
          <w:bCs/>
        </w:rPr>
        <w:t xml:space="preserve">van de </w:t>
      </w:r>
      <w:r>
        <w:rPr>
          <w:b/>
          <w:bCs/>
        </w:rPr>
        <w:t>brandstoftransitieverplichting voor wegmobiliteit om Klimaatdoel 2030 te behalen</w:t>
      </w:r>
    </w:p>
    <w:p w:rsidRPr="001319AE" w:rsidR="00EE6BCF" w:rsidP="00EE6BCF" w:rsidRDefault="00EE6BCF" w14:paraId="63856175" w14:textId="11D48EE9">
      <w:r>
        <w:t>De Klimaat- en Energieverkenning 2024 geeft aan dat de mobiliteitssector de indicatieve restemissie voor 2030 niet haalt zonder aanvullend beleid. Daarom wordt de brandstoftransitieverplichting voor de wegsector verhoogd in 2028, 2029 en 2030. In totaal wordt hierdoor aanvullend 1,5</w:t>
      </w:r>
      <w:r w:rsidR="007614F1">
        <w:t xml:space="preserve"> </w:t>
      </w:r>
      <w:r>
        <w:t>Mton</w:t>
      </w:r>
      <w:r w:rsidR="008F19C7">
        <w:t xml:space="preserve"> </w:t>
      </w:r>
      <w:r>
        <w:t>CO2-uitstoot bespaard</w:t>
      </w:r>
      <w:r w:rsidR="008F19C7">
        <w:rPr>
          <w:rStyle w:val="FootnoteReference"/>
        </w:rPr>
        <w:footnoteReference w:id="6"/>
      </w:r>
      <w:r w:rsidR="008F19C7">
        <w:t xml:space="preserve">. </w:t>
      </w:r>
      <w:r>
        <w:t xml:space="preserve"> Daarmee levert de sector mobiliteit de benodigde bijdrage aan de doelen in de Klimaatwet. Van de 1,5 Mton is 0,3 Mton nodig om te voorkomen dat de afgesproken normering van leaseauto’s</w:t>
      </w:r>
      <w:r w:rsidR="008F19C7">
        <w:t xml:space="preserve"> </w:t>
      </w:r>
      <w:r>
        <w:t xml:space="preserve">leidt tot een kleiner effect vanuit de </w:t>
      </w:r>
      <w:r w:rsidR="005E438A">
        <w:t>brandstoftransitieverplichting</w:t>
      </w:r>
      <w:r>
        <w:t>.</w:t>
      </w:r>
      <w:r w:rsidRPr="008F19C7" w:rsidR="008F19C7">
        <w:rPr>
          <w:rStyle w:val="FootnoteReference"/>
        </w:rPr>
        <w:t xml:space="preserve"> </w:t>
      </w:r>
      <w:r w:rsidR="008F19C7">
        <w:rPr>
          <w:rStyle w:val="FootnoteReference"/>
        </w:rPr>
        <w:footnoteReference w:id="7"/>
      </w:r>
      <w:r w:rsidR="008F19C7">
        <w:t xml:space="preserve"> </w:t>
      </w:r>
      <w:r w:rsidR="005E438A">
        <w:t xml:space="preserve">Ook de vergroting van de subverplichting voor RFNBO’s als gevolg van de afspraken rondom de raffinageroute die hierboven </w:t>
      </w:r>
      <w:r w:rsidR="0035637E">
        <w:t xml:space="preserve">zijn </w:t>
      </w:r>
      <w:r w:rsidR="005E438A">
        <w:t>beschreven</w:t>
      </w:r>
      <w:r w:rsidR="0035637E">
        <w:t>,</w:t>
      </w:r>
      <w:r w:rsidR="005E438A">
        <w:t xml:space="preserve"> gebruik</w:t>
      </w:r>
      <w:r w:rsidR="00A97740">
        <w:t>t</w:t>
      </w:r>
      <w:r w:rsidR="005E438A">
        <w:t xml:space="preserve"> 0,3 Mton van de verhoging van de brandstof</w:t>
      </w:r>
      <w:r w:rsidR="00A97740">
        <w:softHyphen/>
      </w:r>
      <w:r w:rsidR="005E438A">
        <w:t xml:space="preserve">transitieverplichting. Van de verhoging van de brandstoftransitieverplichting </w:t>
      </w:r>
      <w:r>
        <w:t xml:space="preserve">zal </w:t>
      </w:r>
      <w:r w:rsidR="005E438A">
        <w:t>naar verwachting 0,9</w:t>
      </w:r>
      <w:r>
        <w:t xml:space="preserve"> Mton CO2 worden bespaard door inzet van geavanceerde hernieuwbare brandstoffen. </w:t>
      </w:r>
    </w:p>
    <w:p w:rsidR="005E438A" w:rsidP="00EE6BCF" w:rsidRDefault="005E438A" w14:paraId="42B5597A" w14:textId="77777777"/>
    <w:p w:rsidR="00EE6BCF" w:rsidP="00EE6BCF" w:rsidRDefault="00CF7563" w14:paraId="0EF8B9B9" w14:textId="01A27B0C">
      <w:r>
        <w:t xml:space="preserve">De bovengenoemde afspraken leiden ertoe dat de hoogtes van de brandstoftransitieverplichting licht zijn gewijzigd. </w:t>
      </w:r>
      <w:r w:rsidR="00EE6BCF">
        <w:t xml:space="preserve">In </w:t>
      </w:r>
      <w:r w:rsidR="000734D6">
        <w:t xml:space="preserve">de </w:t>
      </w:r>
      <w:r w:rsidR="00EE6BCF">
        <w:t xml:space="preserve">bijlage </w:t>
      </w:r>
      <w:r w:rsidR="000734D6">
        <w:t>‘</w:t>
      </w:r>
      <w:r w:rsidR="002F3FE7">
        <w:t>Nieuwe h</w:t>
      </w:r>
      <w:r w:rsidR="000734D6">
        <w:t xml:space="preserve">oogtes </w:t>
      </w:r>
      <w:r w:rsidR="002F3FE7">
        <w:t>b</w:t>
      </w:r>
      <w:r w:rsidR="000734D6">
        <w:t xml:space="preserve">randstoftransitieverplichting 2026-2030’ </w:t>
      </w:r>
      <w:r w:rsidR="00EE6BCF">
        <w:t xml:space="preserve">treft u een aangepast overzicht van de verplichtingen, doelen en limieten per sector en per jaar. </w:t>
      </w:r>
    </w:p>
    <w:p w:rsidR="00F76D33" w:rsidP="001319AE" w:rsidRDefault="00F76D33" w14:paraId="3366A1D6" w14:textId="77777777"/>
    <w:p w:rsidR="00045461" w:rsidP="00045461" w:rsidRDefault="00045461" w14:paraId="7024DADC" w14:textId="00848BF4">
      <w:pPr>
        <w:rPr>
          <w:b/>
          <w:bCs/>
        </w:rPr>
      </w:pPr>
      <w:r>
        <w:rPr>
          <w:b/>
          <w:bCs/>
        </w:rPr>
        <w:t xml:space="preserve">Luchtvaart en de RED-III-implementatie </w:t>
      </w:r>
    </w:p>
    <w:p w:rsidRPr="00465186" w:rsidR="00045461" w:rsidP="00045461" w:rsidRDefault="00045461" w14:paraId="50ED2B53" w14:textId="77BCCCE8">
      <w:pPr>
        <w:rPr>
          <w:b/>
          <w:bCs/>
        </w:rPr>
      </w:pPr>
      <w:r>
        <w:t>In eerder</w:t>
      </w:r>
      <w:r w:rsidR="00A97740">
        <w:t>e</w:t>
      </w:r>
      <w:r>
        <w:t xml:space="preserve"> brieven is </w:t>
      </w:r>
      <w:r w:rsidR="00A97740">
        <w:t xml:space="preserve">aangegeven </w:t>
      </w:r>
      <w:r>
        <w:t xml:space="preserve">dat </w:t>
      </w:r>
      <w:r w:rsidR="00EE6BCF">
        <w:t xml:space="preserve">de </w:t>
      </w:r>
      <w:r>
        <w:t xml:space="preserve">nationale implementatie van de RED-III </w:t>
      </w:r>
      <w:r w:rsidR="005A110F">
        <w:t>brandstoftransitieverplichtingen</w:t>
      </w:r>
      <w:r>
        <w:t xml:space="preserve"> vaststelt voor de vier transportsectoren (wegtransport, zeevaart, binnenvaart en luchtvaart). </w:t>
      </w:r>
      <w:r w:rsidR="00A97740">
        <w:t>D</w:t>
      </w:r>
      <w:r>
        <w:t xml:space="preserve">oor de samenhang met </w:t>
      </w:r>
      <w:r w:rsidR="00A97740">
        <w:t xml:space="preserve">de specifieke </w:t>
      </w:r>
      <w:r>
        <w:t xml:space="preserve">Europese verordening voor de luchtvaart (ReFuelEU Aviation) </w:t>
      </w:r>
      <w:r w:rsidR="00A97740">
        <w:t xml:space="preserve">blijkt het </w:t>
      </w:r>
      <w:r>
        <w:t xml:space="preserve">juridisch </w:t>
      </w:r>
      <w:r w:rsidR="00A97740">
        <w:t xml:space="preserve">echter </w:t>
      </w:r>
      <w:r>
        <w:t xml:space="preserve">niet mogelijk </w:t>
      </w:r>
      <w:r w:rsidR="00A97740">
        <w:t xml:space="preserve">om vanuit de RED-III eveneens </w:t>
      </w:r>
      <w:r>
        <w:t xml:space="preserve">een verplichting op te leggen aan de luchtvaart. </w:t>
      </w:r>
    </w:p>
    <w:p w:rsidR="00045461" w:rsidP="00045461" w:rsidRDefault="00045461" w14:paraId="35A3DD4E" w14:textId="777E8ED1">
      <w:pPr>
        <w:pStyle w:val="Slotzin"/>
      </w:pPr>
      <w:r>
        <w:t xml:space="preserve">Een gevolg hiervan is dat de luchtvaartsector geen onderdeel zal zijn van de </w:t>
      </w:r>
      <w:r w:rsidR="00E85BDF">
        <w:t>brandstoftransitieverplichting</w:t>
      </w:r>
      <w:r>
        <w:t xml:space="preserve"> die volgt uit de RED-III implementatie. Hiermee vervalt de mogelijkheid voor brandstofleveranciers die leveren aan de luchtvaart om voor deze leveringen verhandelbare </w:t>
      </w:r>
      <w:r>
        <w:rPr>
          <w:i/>
          <w:iCs/>
        </w:rPr>
        <w:t xml:space="preserve">credits </w:t>
      </w:r>
      <w:r>
        <w:t xml:space="preserve">(ERE’s) te krijgen. </w:t>
      </w:r>
    </w:p>
    <w:p w:rsidR="00045461" w:rsidP="00045461" w:rsidRDefault="00045461" w14:paraId="6A6DBE1E" w14:textId="77777777"/>
    <w:p w:rsidR="00045461" w:rsidP="00045461" w:rsidRDefault="00045461" w14:paraId="0F237B5D" w14:textId="01816301">
      <w:r>
        <w:t xml:space="preserve">Door de Europese bijmengverplichting ReFuelEU Aviation blijft er een verplichting op de levering van hernieuwbare energie aan de luchtvaart, waarmee Nederland kan voldoen aan de doelstellingen van de RED-III. Daardoor hoeft de verplichting in andere sectoren als gevolg van deze </w:t>
      </w:r>
      <w:r w:rsidR="00244F8E">
        <w:t xml:space="preserve">wijziging </w:t>
      </w:r>
      <w:r>
        <w:t>niet te worden verhoogd.</w:t>
      </w:r>
    </w:p>
    <w:p w:rsidR="00333BFC" w:rsidP="00333BFC" w:rsidRDefault="00333BFC" w14:paraId="13D9DF8A" w14:textId="77777777"/>
    <w:p w:rsidRPr="00333BFC" w:rsidR="00333BFC" w:rsidP="00333BFC" w:rsidRDefault="00333BFC" w14:paraId="3C37FC84" w14:textId="603078F0">
      <w:pPr>
        <w:rPr>
          <w:b/>
          <w:bCs/>
        </w:rPr>
      </w:pPr>
      <w:r>
        <w:rPr>
          <w:b/>
          <w:bCs/>
        </w:rPr>
        <w:t xml:space="preserve">CE Delft-onderzoek </w:t>
      </w:r>
      <w:r w:rsidR="001319AE">
        <w:rPr>
          <w:b/>
          <w:bCs/>
        </w:rPr>
        <w:t>naar prijseffecten van de RED-III-implementatie</w:t>
      </w:r>
    </w:p>
    <w:p w:rsidR="002F3FE7" w:rsidP="002F3FE7" w:rsidRDefault="0038209F" w14:paraId="7242CC81" w14:textId="77777777">
      <w:r>
        <w:t xml:space="preserve">De </w:t>
      </w:r>
      <w:r w:rsidR="002F3FE7">
        <w:t xml:space="preserve">implementatie van </w:t>
      </w:r>
      <w:r>
        <w:t xml:space="preserve">de </w:t>
      </w:r>
      <w:r w:rsidR="00A97740">
        <w:t xml:space="preserve">RED-III </w:t>
      </w:r>
      <w:r w:rsidR="002F3FE7">
        <w:t xml:space="preserve">heeft </w:t>
      </w:r>
      <w:r>
        <w:t xml:space="preserve">effect op de inzet van hernieuwbare energie </w:t>
      </w:r>
      <w:r w:rsidR="001319AE">
        <w:t xml:space="preserve">in de mobiliteitssector </w:t>
      </w:r>
      <w:r>
        <w:t xml:space="preserve">en op de pompprijzen. In opdracht van het ministerie van </w:t>
      </w:r>
      <w:r w:rsidR="00A97740">
        <w:t xml:space="preserve">IenW </w:t>
      </w:r>
      <w:r>
        <w:t>en de Rijksdienst voor Ondernemend Nederland</w:t>
      </w:r>
      <w:r w:rsidR="00772B6E">
        <w:t xml:space="preserve"> (RVO)</w:t>
      </w:r>
      <w:r>
        <w:t xml:space="preserve"> heeft CE Delft </w:t>
      </w:r>
      <w:r w:rsidR="00333BFC">
        <w:t xml:space="preserve">een </w:t>
      </w:r>
      <w:r w:rsidR="00E914A2">
        <w:t>rekenmodel opgezet om</w:t>
      </w:r>
      <w:r>
        <w:t xml:space="preserve"> deze effecten</w:t>
      </w:r>
      <w:r w:rsidR="00E914A2">
        <w:t xml:space="preserve"> te evalueren</w:t>
      </w:r>
      <w:r>
        <w:t xml:space="preserve">. </w:t>
      </w:r>
      <w:r w:rsidR="00E85BDF">
        <w:t xml:space="preserve">Hierin zijn diverse factoren en ontwikkelingen ondergebracht in verschillende scenario’s. </w:t>
      </w:r>
    </w:p>
    <w:p w:rsidR="00F55B19" w:rsidP="002F3FE7" w:rsidRDefault="00F55B19" w14:paraId="6CAFFE36" w14:textId="77777777"/>
    <w:p w:rsidR="0038209F" w:rsidP="008F19C7" w:rsidRDefault="00F55B19" w14:paraId="5D42B764" w14:textId="64CB4C0B">
      <w:r>
        <w:t xml:space="preserve">Bijgevoegd bij </w:t>
      </w:r>
      <w:r w:rsidR="0038209F">
        <w:t xml:space="preserve">deze brief </w:t>
      </w:r>
      <w:r>
        <w:t xml:space="preserve">treft u </w:t>
      </w:r>
      <w:r w:rsidR="0038209F">
        <w:t>het voltooide onderzoeksrapport</w:t>
      </w:r>
      <w:r w:rsidR="002F3FE7">
        <w:t xml:space="preserve"> (zie bijlage: </w:t>
      </w:r>
      <w:r w:rsidR="00042B7B">
        <w:t>‘</w:t>
      </w:r>
      <w:r w:rsidRPr="008F19C7" w:rsidR="008F19C7">
        <w:t>Prijseffecten ERE-systematiek - Verkenning van inzet van hernieuwbare energie in vervoer richting 2030</w:t>
      </w:r>
      <w:r w:rsidR="008F19C7">
        <w:t>’</w:t>
      </w:r>
      <w:r w:rsidR="002F3FE7">
        <w:t>)</w:t>
      </w:r>
      <w:r w:rsidR="0038209F">
        <w:t xml:space="preserve">. </w:t>
      </w:r>
    </w:p>
    <w:p w:rsidR="001319AE" w:rsidRDefault="001319AE" w14:paraId="152E2FDF" w14:textId="77777777"/>
    <w:p w:rsidR="001319AE" w:rsidRDefault="001319AE" w14:paraId="241E6A7D" w14:textId="4E580B4B">
      <w:r>
        <w:t>CE Delft concludeert dat ontwikkelingen van de olieprijs</w:t>
      </w:r>
      <w:r w:rsidR="008D64A1">
        <w:t xml:space="preserve">, die bijvoorbeeld volgen wanneer OPEC-landen aan de oliekraan draaien, </w:t>
      </w:r>
      <w:r>
        <w:t xml:space="preserve">het meest bepalend zijn voor de opbouw en hoogtes van de pompprijzen in alle modaliteitssectoren. </w:t>
      </w:r>
      <w:r w:rsidR="00EE6BCF">
        <w:t>De brandstoftransitieverplichting zorgt voor een verhoging van de prijs aan pomp, maar deze effecten zijn volgens het model aanzienlijk kleiner</w:t>
      </w:r>
      <w:r w:rsidR="005B37D2">
        <w:t xml:space="preserve">. Voor </w:t>
      </w:r>
      <w:r w:rsidR="001805A6">
        <w:t xml:space="preserve">de wegsector </w:t>
      </w:r>
      <w:r w:rsidR="00A97740">
        <w:t xml:space="preserve">bedraagt </w:t>
      </w:r>
      <w:r w:rsidR="001805A6">
        <w:t xml:space="preserve">het prijseffect </w:t>
      </w:r>
      <w:r w:rsidR="00CF7563">
        <w:t xml:space="preserve">van de RED-III-implementatie </w:t>
      </w:r>
      <w:r w:rsidR="00A97740">
        <w:t xml:space="preserve">naar verwachting </w:t>
      </w:r>
      <w:r w:rsidR="00CF7563">
        <w:t>4 tot 6 cent (excl. BTW) per liter</w:t>
      </w:r>
      <w:r w:rsidR="002C6EF4">
        <w:t xml:space="preserve">. </w:t>
      </w:r>
      <w:r w:rsidR="005B37D2">
        <w:t xml:space="preserve"> </w:t>
      </w:r>
    </w:p>
    <w:p w:rsidR="005B37D2" w:rsidRDefault="005B37D2" w14:paraId="79868380" w14:textId="77777777"/>
    <w:p w:rsidR="00B678C3" w:rsidRDefault="00A97740" w14:paraId="6037F9DC" w14:textId="4EB6F6F3">
      <w:r>
        <w:t xml:space="preserve">De gemaakte </w:t>
      </w:r>
      <w:r w:rsidR="00B27428">
        <w:t xml:space="preserve">implementatiekeuzes hebben </w:t>
      </w:r>
      <w:r>
        <w:t xml:space="preserve">verschillende </w:t>
      </w:r>
      <w:r w:rsidR="00B27428">
        <w:t>effect</w:t>
      </w:r>
      <w:r>
        <w:t>en</w:t>
      </w:r>
      <w:r w:rsidR="00B27428">
        <w:t xml:space="preserve"> op de prijs aan de pomp. De inzet van h</w:t>
      </w:r>
      <w:r w:rsidR="00333BFC">
        <w:t xml:space="preserve">ernieuwbare brandstoffen </w:t>
      </w:r>
      <w:r w:rsidR="00B27428">
        <w:t>is</w:t>
      </w:r>
      <w:r w:rsidR="00333BFC">
        <w:t xml:space="preserve"> momenteel duurder dan </w:t>
      </w:r>
      <w:r w:rsidR="00B27428">
        <w:t xml:space="preserve">de inzet van </w:t>
      </w:r>
      <w:r w:rsidR="00333BFC">
        <w:t>fossiele brandstoffen</w:t>
      </w:r>
      <w:r w:rsidR="00E85BDF">
        <w:t>, waardoor de inzet daarvan de brandstofprijs licht doet stijgen</w:t>
      </w:r>
      <w:r w:rsidR="00333BFC">
        <w:t>.</w:t>
      </w:r>
      <w:r w:rsidR="00B27428">
        <w:t xml:space="preserve"> </w:t>
      </w:r>
      <w:r w:rsidR="00E85BDF">
        <w:t>D</w:t>
      </w:r>
      <w:r w:rsidR="00B27428">
        <w:t xml:space="preserve">e </w:t>
      </w:r>
      <w:r w:rsidR="007E6A6F">
        <w:t xml:space="preserve">mogelijkheid om </w:t>
      </w:r>
      <w:r w:rsidR="00B27428">
        <w:t xml:space="preserve">elektriciteit </w:t>
      </w:r>
      <w:r w:rsidR="007E6A6F">
        <w:t xml:space="preserve">in te zetten </w:t>
      </w:r>
      <w:r w:rsidR="00E85BDF">
        <w:t xml:space="preserve">zorgt juist </w:t>
      </w:r>
      <w:r w:rsidR="00B27428">
        <w:t xml:space="preserve">voor een dempend effect op de prijs aan de pomp. </w:t>
      </w:r>
      <w:r w:rsidR="00CF7563">
        <w:t xml:space="preserve">Ook de introductie van sectorsturing dempt de prijs aan de pomp in de wegsector, omdat het principe dat de gebruiker betaalt zorgt dat de kosten beter worden verdeeld. </w:t>
      </w:r>
    </w:p>
    <w:p w:rsidR="00B678C3" w:rsidRDefault="00B678C3" w14:paraId="71E6871B" w14:textId="77777777"/>
    <w:p w:rsidR="00772B6E" w:rsidP="00772B6E" w:rsidRDefault="001319AE" w14:paraId="693336E9" w14:textId="2CFEB6C1">
      <w:r>
        <w:t xml:space="preserve">Er </w:t>
      </w:r>
      <w:r w:rsidR="00B27428">
        <w:t xml:space="preserve">is veel onzekerheid over toekomstige ontwikkeling van de kosten en de factoren op de brandstoffenmarkt. </w:t>
      </w:r>
      <w:r>
        <w:t>H</w:t>
      </w:r>
      <w:r w:rsidR="00772B6E">
        <w:t xml:space="preserve">et onderzoeksrapport is gebaseerd op de voorgenomen en gepubliceerde beleidskeuzes zoals bekend in januari 2025. </w:t>
      </w:r>
      <w:r>
        <w:t>CE Delft geeft aan dat het belangrijk is om het onderzoek en de resultaten binnen de</w:t>
      </w:r>
      <w:r w:rsidR="00EE6BCF">
        <w:t xml:space="preserve"> versimpelde</w:t>
      </w:r>
      <w:r>
        <w:t xml:space="preserve"> kaders en aannames van het model te beschouwen en niet als werkelijkheid te aanvaarden. </w:t>
      </w:r>
      <w:r w:rsidR="00E914A2">
        <w:t>Het rekenmodel dat CE Delft heeft ontwikkel</w:t>
      </w:r>
      <w:r>
        <w:t>d</w:t>
      </w:r>
      <w:r w:rsidR="00E914A2">
        <w:t xml:space="preserve"> kan in de toekomst gebruikt worden door RVO om </w:t>
      </w:r>
      <w:r w:rsidR="00772B6E">
        <w:t>veranderende beleidskeuzes door</w:t>
      </w:r>
      <w:r w:rsidR="00E914A2">
        <w:t xml:space="preserve"> te </w:t>
      </w:r>
      <w:r w:rsidR="00772B6E">
        <w:t>berekenen</w:t>
      </w:r>
      <w:r w:rsidR="00E914A2">
        <w:t xml:space="preserve"> in het model. </w:t>
      </w:r>
    </w:p>
    <w:p w:rsidR="0004234E" w:rsidRDefault="007B7A43" w14:paraId="3441A37A" w14:textId="30C2C735">
      <w:pPr>
        <w:pStyle w:val="Slotzin"/>
      </w:pPr>
      <w:r>
        <w:t>Hoogachtend,</w:t>
      </w:r>
    </w:p>
    <w:p w:rsidR="0004234E" w:rsidRDefault="007B7A43" w14:paraId="5529509E" w14:textId="77777777">
      <w:pPr>
        <w:pStyle w:val="OndertekeningArea1"/>
      </w:pPr>
      <w:r>
        <w:t>DE STAATSSECRETARIS VAN INFRASTRUCTUUR EN WATERSTAAT - OPENBAAR VERVOER EN MILIEU,</w:t>
      </w:r>
    </w:p>
    <w:p w:rsidR="0004234E" w:rsidRDefault="0004234E" w14:paraId="2D069A50" w14:textId="77777777"/>
    <w:p w:rsidR="0004234E" w:rsidRDefault="0004234E" w14:paraId="715AAB87" w14:textId="77777777"/>
    <w:p w:rsidR="0004234E" w:rsidRDefault="0004234E" w14:paraId="3E734A49" w14:textId="77777777"/>
    <w:p w:rsidR="0004234E" w:rsidRDefault="0004234E" w14:paraId="67F5B041" w14:textId="77777777"/>
    <w:p w:rsidR="0004234E" w:rsidRDefault="007B7A43" w14:paraId="5777905E" w14:textId="77777777">
      <w:r>
        <w:t>C.A. Jansen</w:t>
      </w:r>
    </w:p>
    <w:sectPr w:rsidR="0004234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8FB4F" w14:textId="77777777" w:rsidR="00067666" w:rsidRDefault="00067666">
      <w:pPr>
        <w:spacing w:line="240" w:lineRule="auto"/>
      </w:pPr>
      <w:r>
        <w:separator/>
      </w:r>
    </w:p>
  </w:endnote>
  <w:endnote w:type="continuationSeparator" w:id="0">
    <w:p w14:paraId="5AB1CB48" w14:textId="77777777" w:rsidR="00067666" w:rsidRDefault="00067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76185" w14:textId="77777777" w:rsidR="00D84C6B" w:rsidRDefault="00D84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ECED" w14:textId="77777777" w:rsidR="00D84C6B" w:rsidRDefault="00D84C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23E40" w14:textId="77777777" w:rsidR="00D84C6B" w:rsidRDefault="00D84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2ECC6" w14:textId="77777777" w:rsidR="00067666" w:rsidRDefault="00067666">
      <w:pPr>
        <w:spacing w:line="240" w:lineRule="auto"/>
      </w:pPr>
      <w:r>
        <w:separator/>
      </w:r>
    </w:p>
  </w:footnote>
  <w:footnote w:type="continuationSeparator" w:id="0">
    <w:p w14:paraId="5D0B377D" w14:textId="77777777" w:rsidR="00067666" w:rsidRDefault="00067666">
      <w:pPr>
        <w:spacing w:line="240" w:lineRule="auto"/>
      </w:pPr>
      <w:r>
        <w:continuationSeparator/>
      </w:r>
    </w:p>
  </w:footnote>
  <w:footnote w:id="1">
    <w:p w14:paraId="448362D7" w14:textId="5522AB70" w:rsidR="00045461" w:rsidRPr="00045461" w:rsidRDefault="00045461">
      <w:pPr>
        <w:pStyle w:val="FootnoteText"/>
        <w:rPr>
          <w:sz w:val="16"/>
          <w:szCs w:val="16"/>
        </w:rPr>
      </w:pPr>
      <w:r w:rsidRPr="00045461">
        <w:rPr>
          <w:rStyle w:val="FootnoteReference"/>
          <w:sz w:val="16"/>
          <w:szCs w:val="16"/>
        </w:rPr>
        <w:footnoteRef/>
      </w:r>
      <w:r w:rsidRPr="00045461">
        <w:rPr>
          <w:sz w:val="16"/>
          <w:szCs w:val="16"/>
        </w:rPr>
        <w:t xml:space="preserve"> De brandstoftransitieverplichting heet formeel ‘Jaarverplichting energie vervoer’</w:t>
      </w:r>
      <w:r w:rsidR="001319AE">
        <w:rPr>
          <w:sz w:val="16"/>
          <w:szCs w:val="16"/>
        </w:rPr>
        <w:t xml:space="preserve"> of ‘Systeem Hernieuwbare energie’</w:t>
      </w:r>
      <w:r w:rsidRPr="00045461">
        <w:rPr>
          <w:sz w:val="16"/>
          <w:szCs w:val="16"/>
        </w:rPr>
        <w:t>. Dit is een mechanisme waarin brandstofleveranciers verplicht zijn om CO2-ketenemissies te reduceren door hernieuwbare energie te leveren. Zij kunnen aan de verplichting voldoen door zelf te leveren, of door credits te kopen die zijn ontstaan door leveringen door anderen.</w:t>
      </w:r>
    </w:p>
  </w:footnote>
  <w:footnote w:id="2">
    <w:p w14:paraId="03093869" w14:textId="074C98CE" w:rsidR="005820D0" w:rsidRPr="005820D0" w:rsidRDefault="005820D0">
      <w:pPr>
        <w:pStyle w:val="FootnoteText"/>
        <w:rPr>
          <w:sz w:val="16"/>
          <w:szCs w:val="16"/>
        </w:rPr>
      </w:pPr>
      <w:r w:rsidRPr="005820D0">
        <w:rPr>
          <w:rStyle w:val="FootnoteReference"/>
          <w:sz w:val="16"/>
          <w:szCs w:val="16"/>
        </w:rPr>
        <w:footnoteRef/>
      </w:r>
      <w:r w:rsidRPr="005820D0">
        <w:rPr>
          <w:sz w:val="16"/>
          <w:szCs w:val="16"/>
        </w:rPr>
        <w:t xml:space="preserve"> Kamerstuk 36 600-XXIII-32</w:t>
      </w:r>
    </w:p>
  </w:footnote>
  <w:footnote w:id="3">
    <w:p w14:paraId="3D86866D" w14:textId="77777777" w:rsidR="00EE6BCF" w:rsidRPr="0035637E" w:rsidRDefault="00EE6BCF" w:rsidP="00EE6BCF">
      <w:pPr>
        <w:pStyle w:val="FootnoteText"/>
      </w:pPr>
      <w:r w:rsidRPr="0035637E">
        <w:rPr>
          <w:rStyle w:val="FootnoteReference"/>
          <w:sz w:val="16"/>
          <w:szCs w:val="16"/>
        </w:rPr>
        <w:footnoteRef/>
      </w:r>
      <w:r w:rsidRPr="0035637E">
        <w:t xml:space="preserve"> </w:t>
      </w:r>
      <w:r w:rsidRPr="0035637E">
        <w:rPr>
          <w:sz w:val="16"/>
          <w:szCs w:val="16"/>
        </w:rPr>
        <w:t>Hernieuwbare brandstoffen van niet-biologische oorsprong zijn met hernieuwbare elektriciteit geproduceerde waterstof en hierop gebaseerde hernieuwbare brandstoffen</w:t>
      </w:r>
    </w:p>
  </w:footnote>
  <w:footnote w:id="4">
    <w:p w14:paraId="6DBD1976" w14:textId="2A7C3F01" w:rsidR="00B678C3" w:rsidRPr="004C2E6D" w:rsidRDefault="00B13F3C" w:rsidP="00B678C3">
      <w:pPr>
        <w:pStyle w:val="FootnoteText"/>
      </w:pPr>
      <w:r w:rsidRPr="0035637E">
        <w:rPr>
          <w:rStyle w:val="FootnoteReference"/>
          <w:sz w:val="16"/>
          <w:szCs w:val="16"/>
        </w:rPr>
        <w:footnoteRef/>
      </w:r>
      <w:r w:rsidRPr="0035637E">
        <w:t xml:space="preserve"> </w:t>
      </w:r>
      <w:r w:rsidRPr="0035637E">
        <w:rPr>
          <w:sz w:val="16"/>
          <w:szCs w:val="16"/>
        </w:rPr>
        <w:t>Zie: Brief van de minister van KGG (‘Pakket voor een weerbaar energiesysteem en een toekomstbestendige industrie’</w:t>
      </w:r>
      <w:r>
        <w:rPr>
          <w:sz w:val="16"/>
          <w:szCs w:val="16"/>
        </w:rPr>
        <w:t>, KGG/98</w:t>
      </w:r>
      <w:r w:rsidR="00803C7E">
        <w:rPr>
          <w:sz w:val="16"/>
          <w:szCs w:val="16"/>
        </w:rPr>
        <w:t>465657</w:t>
      </w:r>
      <w:r w:rsidRPr="0035637E">
        <w:rPr>
          <w:sz w:val="16"/>
          <w:szCs w:val="16"/>
        </w:rPr>
        <w:t>) en brief van de staatssecretaris van IenW (‘Kamerbrief voorjaarsnota maatregelen klimaatbeleid mobiliteit’</w:t>
      </w:r>
      <w:r>
        <w:rPr>
          <w:sz w:val="16"/>
          <w:szCs w:val="16"/>
        </w:rPr>
        <w:t>, IenW/BSK-2025/102446</w:t>
      </w:r>
      <w:r w:rsidRPr="0035637E">
        <w:rPr>
          <w:sz w:val="16"/>
          <w:szCs w:val="16"/>
        </w:rPr>
        <w:t>)</w:t>
      </w:r>
    </w:p>
  </w:footnote>
  <w:footnote w:id="5">
    <w:p w14:paraId="6CDFDC76" w14:textId="77777777" w:rsidR="00EE6BCF" w:rsidRPr="00045461" w:rsidRDefault="00EE6BCF" w:rsidP="00EE6BCF">
      <w:pPr>
        <w:pStyle w:val="FootnoteText"/>
        <w:rPr>
          <w:sz w:val="16"/>
          <w:szCs w:val="16"/>
        </w:rPr>
      </w:pPr>
      <w:r w:rsidRPr="00045461">
        <w:rPr>
          <w:rStyle w:val="FootnoteReference"/>
          <w:sz w:val="16"/>
          <w:szCs w:val="16"/>
        </w:rPr>
        <w:footnoteRef/>
      </w:r>
      <w:r w:rsidRPr="00045461">
        <w:rPr>
          <w:sz w:val="16"/>
          <w:szCs w:val="16"/>
        </w:rPr>
        <w:t xml:space="preserve"> SWiM staat voor Subsidieregeling Waterstof in Mobiliteit</w:t>
      </w:r>
    </w:p>
  </w:footnote>
  <w:footnote w:id="6">
    <w:p w14:paraId="2CAA6CA0" w14:textId="77777777" w:rsidR="008F19C7" w:rsidRPr="008F19C7" w:rsidRDefault="008F19C7" w:rsidP="008F19C7">
      <w:pPr>
        <w:pStyle w:val="FootnoteText"/>
        <w:rPr>
          <w:sz w:val="16"/>
          <w:szCs w:val="16"/>
        </w:rPr>
      </w:pPr>
      <w:r w:rsidRPr="008F19C7">
        <w:rPr>
          <w:rStyle w:val="FootnoteReference"/>
          <w:sz w:val="16"/>
          <w:szCs w:val="16"/>
        </w:rPr>
        <w:footnoteRef/>
      </w:r>
      <w:r w:rsidRPr="008F19C7">
        <w:rPr>
          <w:sz w:val="16"/>
          <w:szCs w:val="16"/>
        </w:rPr>
        <w:t xml:space="preserve"> Dit is een tank-to-wheel-besparing. </w:t>
      </w:r>
    </w:p>
  </w:footnote>
  <w:footnote w:id="7">
    <w:p w14:paraId="4B3025E1" w14:textId="7FECAF89" w:rsidR="008F19C7" w:rsidRPr="004C2E6D" w:rsidRDefault="008F19C7" w:rsidP="008F19C7">
      <w:pPr>
        <w:pStyle w:val="FootnoteText"/>
      </w:pPr>
      <w:r w:rsidRPr="008F19C7">
        <w:rPr>
          <w:rStyle w:val="FootnoteReference"/>
          <w:sz w:val="16"/>
          <w:szCs w:val="16"/>
        </w:rPr>
        <w:footnoteRef/>
      </w:r>
      <w:r w:rsidRPr="008F19C7">
        <w:t xml:space="preserve"> </w:t>
      </w:r>
      <w:r w:rsidR="00B13F3C" w:rsidRPr="0035637E">
        <w:rPr>
          <w:sz w:val="16"/>
          <w:szCs w:val="16"/>
        </w:rPr>
        <w:t>Zie: Brief van de minister van KGG (‘Pakket voor een weerbaar energiesysteem en een toekomstbestendige industrie’</w:t>
      </w:r>
      <w:r w:rsidR="00B13F3C">
        <w:rPr>
          <w:sz w:val="16"/>
          <w:szCs w:val="16"/>
        </w:rPr>
        <w:t>, KGG/98</w:t>
      </w:r>
      <w:r w:rsidR="00803C7E">
        <w:rPr>
          <w:sz w:val="16"/>
          <w:szCs w:val="16"/>
        </w:rPr>
        <w:t>465657</w:t>
      </w:r>
      <w:r w:rsidR="00B13F3C" w:rsidRPr="0035637E">
        <w:rPr>
          <w:sz w:val="16"/>
          <w:szCs w:val="16"/>
        </w:rPr>
        <w:t>) en brief van de staatssecretaris van IenW (‘Kamerbrief voorjaarsnota maatregelen klimaatbeleid mobiliteit’</w:t>
      </w:r>
      <w:r w:rsidR="00B13F3C">
        <w:rPr>
          <w:sz w:val="16"/>
          <w:szCs w:val="16"/>
        </w:rPr>
        <w:t>, IenW/BSK-2025/102446</w:t>
      </w:r>
      <w:r w:rsidR="00B13F3C" w:rsidRPr="0035637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29A7" w14:textId="77777777" w:rsidR="00D84C6B" w:rsidRDefault="00D84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9D56A" w14:textId="77777777" w:rsidR="0004234E" w:rsidRDefault="007B7A43">
    <w:r>
      <w:rPr>
        <w:noProof/>
        <w:lang w:val="en-GB" w:eastAsia="en-GB"/>
      </w:rPr>
      <mc:AlternateContent>
        <mc:Choice Requires="wps">
          <w:drawing>
            <wp:anchor distT="0" distB="0" distL="0" distR="0" simplePos="0" relativeHeight="251651584" behindDoc="0" locked="1" layoutInCell="1" allowOverlap="1" wp14:anchorId="48DE91BC" wp14:editId="1D89BE57">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37EB6BE" w14:textId="77777777" w:rsidR="0004234E" w:rsidRDefault="007B7A43">
                          <w:pPr>
                            <w:pStyle w:val="AfzendgegevensKop0"/>
                          </w:pPr>
                          <w:r>
                            <w:t>Ministerie van Infrastructuur en Waterstaat</w:t>
                          </w:r>
                        </w:p>
                        <w:p w14:paraId="13427479" w14:textId="77777777" w:rsidR="00116033" w:rsidRDefault="00116033" w:rsidP="00116033"/>
                        <w:p w14:paraId="53642AA8" w14:textId="77777777" w:rsidR="00116033" w:rsidRDefault="00116033" w:rsidP="00116033">
                          <w:pPr>
                            <w:pStyle w:val="Referentiegegevenskop"/>
                          </w:pPr>
                          <w:r>
                            <w:t>Kenmerk</w:t>
                          </w:r>
                        </w:p>
                        <w:p w14:paraId="44C55588" w14:textId="77777777" w:rsidR="00116033" w:rsidRPr="00116033" w:rsidRDefault="00116033" w:rsidP="00116033">
                          <w:pPr>
                            <w:pStyle w:val="Referentiegegevenskop"/>
                            <w:rPr>
                              <w:b w:val="0"/>
                              <w:bCs/>
                            </w:rPr>
                          </w:pPr>
                          <w:r w:rsidRPr="00116033">
                            <w:rPr>
                              <w:b w:val="0"/>
                              <w:bCs/>
                            </w:rPr>
                            <w:t>IENW/BSK-2025/102366</w:t>
                          </w:r>
                        </w:p>
                        <w:p w14:paraId="46916889" w14:textId="77777777" w:rsidR="00116033" w:rsidRPr="00116033" w:rsidRDefault="00116033" w:rsidP="00116033"/>
                      </w:txbxContent>
                    </wps:txbx>
                    <wps:bodyPr vert="horz" wrap="square" lIns="0" tIns="0" rIns="0" bIns="0" anchor="t" anchorCtr="0"/>
                  </wps:wsp>
                </a:graphicData>
              </a:graphic>
            </wp:anchor>
          </w:drawing>
        </mc:Choice>
        <mc:Fallback>
          <w:pict>
            <v:shapetype w14:anchorId="48DE91B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37EB6BE" w14:textId="77777777" w:rsidR="0004234E" w:rsidRDefault="007B7A43">
                    <w:pPr>
                      <w:pStyle w:val="AfzendgegevensKop0"/>
                    </w:pPr>
                    <w:r>
                      <w:t>Ministerie van Infrastructuur en Waterstaat</w:t>
                    </w:r>
                  </w:p>
                  <w:p w14:paraId="13427479" w14:textId="77777777" w:rsidR="00116033" w:rsidRDefault="00116033" w:rsidP="00116033"/>
                  <w:p w14:paraId="53642AA8" w14:textId="77777777" w:rsidR="00116033" w:rsidRDefault="00116033" w:rsidP="00116033">
                    <w:pPr>
                      <w:pStyle w:val="Referentiegegevenskop"/>
                    </w:pPr>
                    <w:r>
                      <w:t>Kenmerk</w:t>
                    </w:r>
                  </w:p>
                  <w:p w14:paraId="44C55588" w14:textId="77777777" w:rsidR="00116033" w:rsidRPr="00116033" w:rsidRDefault="00116033" w:rsidP="00116033">
                    <w:pPr>
                      <w:pStyle w:val="Referentiegegevenskop"/>
                      <w:rPr>
                        <w:b w:val="0"/>
                        <w:bCs/>
                      </w:rPr>
                    </w:pPr>
                    <w:r w:rsidRPr="00116033">
                      <w:rPr>
                        <w:b w:val="0"/>
                        <w:bCs/>
                      </w:rPr>
                      <w:t>IENW/BSK-2025/102366</w:t>
                    </w:r>
                  </w:p>
                  <w:p w14:paraId="46916889" w14:textId="77777777" w:rsidR="00116033" w:rsidRPr="00116033" w:rsidRDefault="00116033" w:rsidP="0011603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857D417" wp14:editId="6C7050F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CF045B8" w14:textId="77777777" w:rsidR="0004234E" w:rsidRDefault="007B7A43">
                          <w:pPr>
                            <w:pStyle w:val="Referentiegegevens"/>
                          </w:pPr>
                          <w:r>
                            <w:t xml:space="preserve">Pagina </w:t>
                          </w:r>
                          <w:r>
                            <w:fldChar w:fldCharType="begin"/>
                          </w:r>
                          <w:r>
                            <w:instrText>PAGE</w:instrText>
                          </w:r>
                          <w:r>
                            <w:fldChar w:fldCharType="separate"/>
                          </w:r>
                          <w:r w:rsidR="00A1794A">
                            <w:rPr>
                              <w:noProof/>
                            </w:rPr>
                            <w:t>1</w:t>
                          </w:r>
                          <w:r>
                            <w:fldChar w:fldCharType="end"/>
                          </w:r>
                          <w:r>
                            <w:t xml:space="preserve"> van </w:t>
                          </w:r>
                          <w:r>
                            <w:fldChar w:fldCharType="begin"/>
                          </w:r>
                          <w:r>
                            <w:instrText>NUMPAGES</w:instrText>
                          </w:r>
                          <w:r>
                            <w:fldChar w:fldCharType="separate"/>
                          </w:r>
                          <w:r w:rsidR="00A1794A">
                            <w:rPr>
                              <w:noProof/>
                            </w:rPr>
                            <w:t>1</w:t>
                          </w:r>
                          <w:r>
                            <w:fldChar w:fldCharType="end"/>
                          </w:r>
                        </w:p>
                      </w:txbxContent>
                    </wps:txbx>
                    <wps:bodyPr vert="horz" wrap="square" lIns="0" tIns="0" rIns="0" bIns="0" anchor="t" anchorCtr="0"/>
                  </wps:wsp>
                </a:graphicData>
              </a:graphic>
            </wp:anchor>
          </w:drawing>
        </mc:Choice>
        <mc:Fallback>
          <w:pict>
            <v:shape w14:anchorId="4857D41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CF045B8" w14:textId="77777777" w:rsidR="0004234E" w:rsidRDefault="007B7A43">
                    <w:pPr>
                      <w:pStyle w:val="Referentiegegevens"/>
                    </w:pPr>
                    <w:r>
                      <w:t xml:space="preserve">Pagina </w:t>
                    </w:r>
                    <w:r>
                      <w:fldChar w:fldCharType="begin"/>
                    </w:r>
                    <w:r>
                      <w:instrText>PAGE</w:instrText>
                    </w:r>
                    <w:r>
                      <w:fldChar w:fldCharType="separate"/>
                    </w:r>
                    <w:r w:rsidR="00A1794A">
                      <w:rPr>
                        <w:noProof/>
                      </w:rPr>
                      <w:t>1</w:t>
                    </w:r>
                    <w:r>
                      <w:fldChar w:fldCharType="end"/>
                    </w:r>
                    <w:r>
                      <w:t xml:space="preserve"> van </w:t>
                    </w:r>
                    <w:r>
                      <w:fldChar w:fldCharType="begin"/>
                    </w:r>
                    <w:r>
                      <w:instrText>NUMPAGES</w:instrText>
                    </w:r>
                    <w:r>
                      <w:fldChar w:fldCharType="separate"/>
                    </w:r>
                    <w:r w:rsidR="00A1794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BDE1E8B" wp14:editId="0346910B">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1809CB5" w14:textId="77777777" w:rsidR="003700E4" w:rsidRDefault="003700E4"/>
                      </w:txbxContent>
                    </wps:txbx>
                    <wps:bodyPr vert="horz" wrap="square" lIns="0" tIns="0" rIns="0" bIns="0" anchor="t" anchorCtr="0"/>
                  </wps:wsp>
                </a:graphicData>
              </a:graphic>
            </wp:anchor>
          </w:drawing>
        </mc:Choice>
        <mc:Fallback>
          <w:pict>
            <v:shape w14:anchorId="2BDE1E8B"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1809CB5" w14:textId="77777777" w:rsidR="003700E4" w:rsidRDefault="003700E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536FE9B" wp14:editId="69D24F35">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F496CEC" w14:textId="77777777" w:rsidR="003700E4" w:rsidRDefault="003700E4"/>
                      </w:txbxContent>
                    </wps:txbx>
                    <wps:bodyPr vert="horz" wrap="square" lIns="0" tIns="0" rIns="0" bIns="0" anchor="t" anchorCtr="0"/>
                  </wps:wsp>
                </a:graphicData>
              </a:graphic>
            </wp:anchor>
          </w:drawing>
        </mc:Choice>
        <mc:Fallback>
          <w:pict>
            <v:shape w14:anchorId="4536FE9B"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F496CEC" w14:textId="77777777" w:rsidR="003700E4" w:rsidRDefault="003700E4"/>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8EE1A" w14:textId="77777777" w:rsidR="0004234E" w:rsidRDefault="007B7A43">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4359F5C" wp14:editId="582F76F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CC564FE" w14:textId="77777777" w:rsidR="003700E4" w:rsidRDefault="003700E4"/>
                      </w:txbxContent>
                    </wps:txbx>
                    <wps:bodyPr vert="horz" wrap="square" lIns="0" tIns="0" rIns="0" bIns="0" anchor="t" anchorCtr="0"/>
                  </wps:wsp>
                </a:graphicData>
              </a:graphic>
            </wp:anchor>
          </w:drawing>
        </mc:Choice>
        <mc:Fallback>
          <w:pict>
            <v:shapetype w14:anchorId="44359F5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CC564FE" w14:textId="77777777" w:rsidR="003700E4" w:rsidRDefault="003700E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FF3ED2C" wp14:editId="3BDE8C19">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3C36DC3" w14:textId="7DF1A55F" w:rsidR="0004234E" w:rsidRDefault="007B7A43">
                          <w:pPr>
                            <w:pStyle w:val="Referentiegegevens"/>
                          </w:pPr>
                          <w:r>
                            <w:t xml:space="preserve">Pagina </w:t>
                          </w:r>
                          <w:r>
                            <w:fldChar w:fldCharType="begin"/>
                          </w:r>
                          <w:r>
                            <w:instrText>PAGE</w:instrText>
                          </w:r>
                          <w:r>
                            <w:fldChar w:fldCharType="separate"/>
                          </w:r>
                          <w:r w:rsidR="00A84E90">
                            <w:rPr>
                              <w:noProof/>
                            </w:rPr>
                            <w:t>1</w:t>
                          </w:r>
                          <w:r>
                            <w:fldChar w:fldCharType="end"/>
                          </w:r>
                          <w:r>
                            <w:t xml:space="preserve"> van </w:t>
                          </w:r>
                          <w:r>
                            <w:fldChar w:fldCharType="begin"/>
                          </w:r>
                          <w:r>
                            <w:instrText>NUMPAGES</w:instrText>
                          </w:r>
                          <w:r>
                            <w:fldChar w:fldCharType="separate"/>
                          </w:r>
                          <w:r w:rsidR="00A84E90">
                            <w:rPr>
                              <w:noProof/>
                            </w:rPr>
                            <w:t>1</w:t>
                          </w:r>
                          <w:r>
                            <w:fldChar w:fldCharType="end"/>
                          </w:r>
                        </w:p>
                      </w:txbxContent>
                    </wps:txbx>
                    <wps:bodyPr vert="horz" wrap="square" lIns="0" tIns="0" rIns="0" bIns="0" anchor="t" anchorCtr="0"/>
                  </wps:wsp>
                </a:graphicData>
              </a:graphic>
            </wp:anchor>
          </w:drawing>
        </mc:Choice>
        <mc:Fallback>
          <w:pict>
            <v:shape w14:anchorId="2FF3ED2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3C36DC3" w14:textId="7DF1A55F" w:rsidR="0004234E" w:rsidRDefault="007B7A43">
                    <w:pPr>
                      <w:pStyle w:val="Referentiegegevens"/>
                    </w:pPr>
                    <w:r>
                      <w:t xml:space="preserve">Pagina </w:t>
                    </w:r>
                    <w:r>
                      <w:fldChar w:fldCharType="begin"/>
                    </w:r>
                    <w:r>
                      <w:instrText>PAGE</w:instrText>
                    </w:r>
                    <w:r>
                      <w:fldChar w:fldCharType="separate"/>
                    </w:r>
                    <w:r w:rsidR="00A84E90">
                      <w:rPr>
                        <w:noProof/>
                      </w:rPr>
                      <w:t>1</w:t>
                    </w:r>
                    <w:r>
                      <w:fldChar w:fldCharType="end"/>
                    </w:r>
                    <w:r>
                      <w:t xml:space="preserve"> van </w:t>
                    </w:r>
                    <w:r>
                      <w:fldChar w:fldCharType="begin"/>
                    </w:r>
                    <w:r>
                      <w:instrText>NUMPAGES</w:instrText>
                    </w:r>
                    <w:r>
                      <w:fldChar w:fldCharType="separate"/>
                    </w:r>
                    <w:r w:rsidR="00A84E9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3B17020" wp14:editId="29275BAF">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D76F9BA" w14:textId="77777777" w:rsidR="0004234E" w:rsidRDefault="007B7A43">
                          <w:pPr>
                            <w:pStyle w:val="AfzendgegevensKop0"/>
                          </w:pPr>
                          <w:r>
                            <w:t>Ministerie van Infrastructuur en Waterstaat</w:t>
                          </w:r>
                        </w:p>
                        <w:p w14:paraId="18571B9B" w14:textId="77777777" w:rsidR="0004234E" w:rsidRDefault="0004234E">
                          <w:pPr>
                            <w:pStyle w:val="WitregelW1"/>
                          </w:pPr>
                        </w:p>
                        <w:p w14:paraId="60CAC447" w14:textId="77777777" w:rsidR="0004234E" w:rsidRDefault="007B7A43">
                          <w:pPr>
                            <w:pStyle w:val="Afzendgegevens"/>
                          </w:pPr>
                          <w:r>
                            <w:t>Rijnstraat 8</w:t>
                          </w:r>
                        </w:p>
                        <w:p w14:paraId="5DD8AFC2" w14:textId="77777777" w:rsidR="0004234E" w:rsidRPr="00A1794A" w:rsidRDefault="007B7A43">
                          <w:pPr>
                            <w:pStyle w:val="Afzendgegevens"/>
                            <w:rPr>
                              <w:lang w:val="de-DE"/>
                            </w:rPr>
                          </w:pPr>
                          <w:r w:rsidRPr="00A1794A">
                            <w:rPr>
                              <w:lang w:val="de-DE"/>
                            </w:rPr>
                            <w:t>2515 XP  Den Haag</w:t>
                          </w:r>
                        </w:p>
                        <w:p w14:paraId="5CDB88C1" w14:textId="77777777" w:rsidR="0004234E" w:rsidRPr="00A1794A" w:rsidRDefault="007B7A43">
                          <w:pPr>
                            <w:pStyle w:val="Afzendgegevens"/>
                            <w:rPr>
                              <w:lang w:val="de-DE"/>
                            </w:rPr>
                          </w:pPr>
                          <w:r w:rsidRPr="00A1794A">
                            <w:rPr>
                              <w:lang w:val="de-DE"/>
                            </w:rPr>
                            <w:t>Postbus 20901</w:t>
                          </w:r>
                        </w:p>
                        <w:p w14:paraId="6D1A47CD" w14:textId="77777777" w:rsidR="0004234E" w:rsidRPr="00A1794A" w:rsidRDefault="007B7A43">
                          <w:pPr>
                            <w:pStyle w:val="Afzendgegevens"/>
                            <w:rPr>
                              <w:lang w:val="de-DE"/>
                            </w:rPr>
                          </w:pPr>
                          <w:r w:rsidRPr="00A1794A">
                            <w:rPr>
                              <w:lang w:val="de-DE"/>
                            </w:rPr>
                            <w:t>2500 EX Den Haag</w:t>
                          </w:r>
                        </w:p>
                        <w:p w14:paraId="24416EB2" w14:textId="77777777" w:rsidR="0004234E" w:rsidRPr="00A1794A" w:rsidRDefault="0004234E">
                          <w:pPr>
                            <w:pStyle w:val="WitregelW1"/>
                            <w:rPr>
                              <w:lang w:val="de-DE"/>
                            </w:rPr>
                          </w:pPr>
                        </w:p>
                        <w:p w14:paraId="7D4079CD" w14:textId="77777777" w:rsidR="0004234E" w:rsidRPr="00A1794A" w:rsidRDefault="007B7A43">
                          <w:pPr>
                            <w:pStyle w:val="Afzendgegevens"/>
                            <w:rPr>
                              <w:lang w:val="de-DE"/>
                            </w:rPr>
                          </w:pPr>
                          <w:r w:rsidRPr="00A1794A">
                            <w:rPr>
                              <w:lang w:val="de-DE"/>
                            </w:rPr>
                            <w:t>T   070-456 0000</w:t>
                          </w:r>
                        </w:p>
                        <w:p w14:paraId="2D8DB731" w14:textId="77777777" w:rsidR="0004234E" w:rsidRDefault="007B7A43">
                          <w:pPr>
                            <w:pStyle w:val="Afzendgegevens"/>
                          </w:pPr>
                          <w:r>
                            <w:t>F   070-456 1111</w:t>
                          </w:r>
                        </w:p>
                        <w:p w14:paraId="30B9A73F" w14:textId="77777777" w:rsidR="0004234E" w:rsidRDefault="0004234E">
                          <w:pPr>
                            <w:pStyle w:val="WitregelW2"/>
                          </w:pPr>
                        </w:p>
                        <w:p w14:paraId="3411CB9F" w14:textId="0C241CC6" w:rsidR="00116033" w:rsidRDefault="00116033">
                          <w:pPr>
                            <w:pStyle w:val="Referentiegegevenskop"/>
                          </w:pPr>
                          <w:r>
                            <w:t>Kenmerk</w:t>
                          </w:r>
                        </w:p>
                        <w:p w14:paraId="60A35CA5" w14:textId="096E12E9" w:rsidR="00116033" w:rsidRPr="00116033" w:rsidRDefault="00116033">
                          <w:pPr>
                            <w:pStyle w:val="Referentiegegevenskop"/>
                            <w:rPr>
                              <w:b w:val="0"/>
                              <w:bCs/>
                            </w:rPr>
                          </w:pPr>
                          <w:r w:rsidRPr="00116033">
                            <w:rPr>
                              <w:b w:val="0"/>
                              <w:bCs/>
                            </w:rPr>
                            <w:t>IENW/BSK-2025/102366</w:t>
                          </w:r>
                        </w:p>
                        <w:p w14:paraId="58506A13" w14:textId="77777777" w:rsidR="00116033" w:rsidRPr="00116033" w:rsidRDefault="00116033" w:rsidP="00116033"/>
                        <w:p w14:paraId="5D51EA8F" w14:textId="29BD5CF1" w:rsidR="0004234E" w:rsidRDefault="007B7A43">
                          <w:pPr>
                            <w:pStyle w:val="Referentiegegevenskop"/>
                          </w:pPr>
                          <w:r>
                            <w:t>Bijlagen</w:t>
                          </w:r>
                        </w:p>
                        <w:p w14:paraId="2AA06583" w14:textId="22714E4B" w:rsidR="0004234E" w:rsidRDefault="00D84C6B">
                          <w:pPr>
                            <w:pStyle w:val="Referentiegegevens"/>
                          </w:pPr>
                          <w:r>
                            <w:t>4</w:t>
                          </w:r>
                        </w:p>
                      </w:txbxContent>
                    </wps:txbx>
                    <wps:bodyPr vert="horz" wrap="square" lIns="0" tIns="0" rIns="0" bIns="0" anchor="t" anchorCtr="0"/>
                  </wps:wsp>
                </a:graphicData>
              </a:graphic>
            </wp:anchor>
          </w:drawing>
        </mc:Choice>
        <mc:Fallback>
          <w:pict>
            <v:shape w14:anchorId="63B1702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D76F9BA" w14:textId="77777777" w:rsidR="0004234E" w:rsidRDefault="007B7A43">
                    <w:pPr>
                      <w:pStyle w:val="AfzendgegevensKop0"/>
                    </w:pPr>
                    <w:r>
                      <w:t>Ministerie van Infrastructuur en Waterstaat</w:t>
                    </w:r>
                  </w:p>
                  <w:p w14:paraId="18571B9B" w14:textId="77777777" w:rsidR="0004234E" w:rsidRDefault="0004234E">
                    <w:pPr>
                      <w:pStyle w:val="WitregelW1"/>
                    </w:pPr>
                  </w:p>
                  <w:p w14:paraId="60CAC447" w14:textId="77777777" w:rsidR="0004234E" w:rsidRDefault="007B7A43">
                    <w:pPr>
                      <w:pStyle w:val="Afzendgegevens"/>
                    </w:pPr>
                    <w:r>
                      <w:t>Rijnstraat 8</w:t>
                    </w:r>
                  </w:p>
                  <w:p w14:paraId="5DD8AFC2" w14:textId="77777777" w:rsidR="0004234E" w:rsidRPr="00A1794A" w:rsidRDefault="007B7A43">
                    <w:pPr>
                      <w:pStyle w:val="Afzendgegevens"/>
                      <w:rPr>
                        <w:lang w:val="de-DE"/>
                      </w:rPr>
                    </w:pPr>
                    <w:r w:rsidRPr="00A1794A">
                      <w:rPr>
                        <w:lang w:val="de-DE"/>
                      </w:rPr>
                      <w:t>2515 XP  Den Haag</w:t>
                    </w:r>
                  </w:p>
                  <w:p w14:paraId="5CDB88C1" w14:textId="77777777" w:rsidR="0004234E" w:rsidRPr="00A1794A" w:rsidRDefault="007B7A43">
                    <w:pPr>
                      <w:pStyle w:val="Afzendgegevens"/>
                      <w:rPr>
                        <w:lang w:val="de-DE"/>
                      </w:rPr>
                    </w:pPr>
                    <w:r w:rsidRPr="00A1794A">
                      <w:rPr>
                        <w:lang w:val="de-DE"/>
                      </w:rPr>
                      <w:t>Postbus 20901</w:t>
                    </w:r>
                  </w:p>
                  <w:p w14:paraId="6D1A47CD" w14:textId="77777777" w:rsidR="0004234E" w:rsidRPr="00A1794A" w:rsidRDefault="007B7A43">
                    <w:pPr>
                      <w:pStyle w:val="Afzendgegevens"/>
                      <w:rPr>
                        <w:lang w:val="de-DE"/>
                      </w:rPr>
                    </w:pPr>
                    <w:r w:rsidRPr="00A1794A">
                      <w:rPr>
                        <w:lang w:val="de-DE"/>
                      </w:rPr>
                      <w:t>2500 EX Den Haag</w:t>
                    </w:r>
                  </w:p>
                  <w:p w14:paraId="24416EB2" w14:textId="77777777" w:rsidR="0004234E" w:rsidRPr="00A1794A" w:rsidRDefault="0004234E">
                    <w:pPr>
                      <w:pStyle w:val="WitregelW1"/>
                      <w:rPr>
                        <w:lang w:val="de-DE"/>
                      </w:rPr>
                    </w:pPr>
                  </w:p>
                  <w:p w14:paraId="7D4079CD" w14:textId="77777777" w:rsidR="0004234E" w:rsidRPr="00A1794A" w:rsidRDefault="007B7A43">
                    <w:pPr>
                      <w:pStyle w:val="Afzendgegevens"/>
                      <w:rPr>
                        <w:lang w:val="de-DE"/>
                      </w:rPr>
                    </w:pPr>
                    <w:r w:rsidRPr="00A1794A">
                      <w:rPr>
                        <w:lang w:val="de-DE"/>
                      </w:rPr>
                      <w:t>T   070-456 0000</w:t>
                    </w:r>
                  </w:p>
                  <w:p w14:paraId="2D8DB731" w14:textId="77777777" w:rsidR="0004234E" w:rsidRDefault="007B7A43">
                    <w:pPr>
                      <w:pStyle w:val="Afzendgegevens"/>
                    </w:pPr>
                    <w:r>
                      <w:t>F   070-456 1111</w:t>
                    </w:r>
                  </w:p>
                  <w:p w14:paraId="30B9A73F" w14:textId="77777777" w:rsidR="0004234E" w:rsidRDefault="0004234E">
                    <w:pPr>
                      <w:pStyle w:val="WitregelW2"/>
                    </w:pPr>
                  </w:p>
                  <w:p w14:paraId="3411CB9F" w14:textId="0C241CC6" w:rsidR="00116033" w:rsidRDefault="00116033">
                    <w:pPr>
                      <w:pStyle w:val="Referentiegegevenskop"/>
                    </w:pPr>
                    <w:r>
                      <w:t>Kenmerk</w:t>
                    </w:r>
                  </w:p>
                  <w:p w14:paraId="60A35CA5" w14:textId="096E12E9" w:rsidR="00116033" w:rsidRPr="00116033" w:rsidRDefault="00116033">
                    <w:pPr>
                      <w:pStyle w:val="Referentiegegevenskop"/>
                      <w:rPr>
                        <w:b w:val="0"/>
                        <w:bCs/>
                      </w:rPr>
                    </w:pPr>
                    <w:r w:rsidRPr="00116033">
                      <w:rPr>
                        <w:b w:val="0"/>
                        <w:bCs/>
                      </w:rPr>
                      <w:t>IENW/BSK-2025/102366</w:t>
                    </w:r>
                  </w:p>
                  <w:p w14:paraId="58506A13" w14:textId="77777777" w:rsidR="00116033" w:rsidRPr="00116033" w:rsidRDefault="00116033" w:rsidP="00116033"/>
                  <w:p w14:paraId="5D51EA8F" w14:textId="29BD5CF1" w:rsidR="0004234E" w:rsidRDefault="007B7A43">
                    <w:pPr>
                      <w:pStyle w:val="Referentiegegevenskop"/>
                    </w:pPr>
                    <w:r>
                      <w:t>Bijlagen</w:t>
                    </w:r>
                  </w:p>
                  <w:p w14:paraId="2AA06583" w14:textId="22714E4B" w:rsidR="0004234E" w:rsidRDefault="00D84C6B">
                    <w:pPr>
                      <w:pStyle w:val="Referentiegegevens"/>
                    </w:pPr>
                    <w:r>
                      <w:t>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5F51D2B" wp14:editId="076CD73C">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5A3AA06" w14:textId="77777777" w:rsidR="0004234E" w:rsidRDefault="007B7A43">
                          <w:pPr>
                            <w:spacing w:line="240" w:lineRule="auto"/>
                          </w:pPr>
                          <w:r>
                            <w:rPr>
                              <w:noProof/>
                              <w:lang w:val="en-GB" w:eastAsia="en-GB"/>
                            </w:rPr>
                            <w:drawing>
                              <wp:inline distT="0" distB="0" distL="0" distR="0" wp14:anchorId="5B3BB475" wp14:editId="1C86D14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F51D2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5A3AA06" w14:textId="77777777" w:rsidR="0004234E" w:rsidRDefault="007B7A43">
                    <w:pPr>
                      <w:spacing w:line="240" w:lineRule="auto"/>
                    </w:pPr>
                    <w:r>
                      <w:rPr>
                        <w:noProof/>
                        <w:lang w:val="en-GB" w:eastAsia="en-GB"/>
                      </w:rPr>
                      <w:drawing>
                        <wp:inline distT="0" distB="0" distL="0" distR="0" wp14:anchorId="5B3BB475" wp14:editId="1C86D14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7589DFC0" wp14:editId="4559C97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D981925" w14:textId="77777777" w:rsidR="0004234E" w:rsidRDefault="007B7A43">
                          <w:pPr>
                            <w:spacing w:line="240" w:lineRule="auto"/>
                          </w:pPr>
                          <w:r>
                            <w:rPr>
                              <w:noProof/>
                              <w:lang w:val="en-GB" w:eastAsia="en-GB"/>
                            </w:rPr>
                            <w:drawing>
                              <wp:inline distT="0" distB="0" distL="0" distR="0" wp14:anchorId="7B179CC1" wp14:editId="53E5A40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89DFC0"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D981925" w14:textId="77777777" w:rsidR="0004234E" w:rsidRDefault="007B7A43">
                    <w:pPr>
                      <w:spacing w:line="240" w:lineRule="auto"/>
                    </w:pPr>
                    <w:r>
                      <w:rPr>
                        <w:noProof/>
                        <w:lang w:val="en-GB" w:eastAsia="en-GB"/>
                      </w:rPr>
                      <w:drawing>
                        <wp:inline distT="0" distB="0" distL="0" distR="0" wp14:anchorId="7B179CC1" wp14:editId="53E5A40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093298F" wp14:editId="48AE1D6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360F5FE" w14:textId="77777777" w:rsidR="0004234E" w:rsidRDefault="007B7A4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093298F"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360F5FE" w14:textId="77777777" w:rsidR="0004234E" w:rsidRDefault="007B7A4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AABCD91" wp14:editId="0BFA0DE5">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1E60DDD" w14:textId="77777777" w:rsidR="0004234E" w:rsidRDefault="007B7A4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AABCD91"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1E60DDD" w14:textId="77777777" w:rsidR="0004234E" w:rsidRDefault="007B7A4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2F3B1FB" wp14:editId="29FFAEF8">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4234E" w14:paraId="68E139A0" w14:textId="77777777">
                            <w:trPr>
                              <w:trHeight w:val="200"/>
                            </w:trPr>
                            <w:tc>
                              <w:tcPr>
                                <w:tcW w:w="1140" w:type="dxa"/>
                              </w:tcPr>
                              <w:p w14:paraId="24FEF39C" w14:textId="77777777" w:rsidR="0004234E" w:rsidRDefault="0004234E"/>
                            </w:tc>
                            <w:tc>
                              <w:tcPr>
                                <w:tcW w:w="5400" w:type="dxa"/>
                              </w:tcPr>
                              <w:p w14:paraId="63D476DF" w14:textId="77777777" w:rsidR="0004234E" w:rsidRDefault="0004234E"/>
                            </w:tc>
                          </w:tr>
                          <w:tr w:rsidR="0004234E" w14:paraId="221A7780" w14:textId="77777777">
                            <w:trPr>
                              <w:trHeight w:val="240"/>
                            </w:trPr>
                            <w:tc>
                              <w:tcPr>
                                <w:tcW w:w="1140" w:type="dxa"/>
                              </w:tcPr>
                              <w:p w14:paraId="236CAF8E" w14:textId="77777777" w:rsidR="0004234E" w:rsidRDefault="007B7A43">
                                <w:r>
                                  <w:t>Datum</w:t>
                                </w:r>
                              </w:p>
                            </w:tc>
                            <w:tc>
                              <w:tcPr>
                                <w:tcW w:w="5400" w:type="dxa"/>
                              </w:tcPr>
                              <w:p w14:paraId="1B979ACD" w14:textId="5619A9EF" w:rsidR="0004234E" w:rsidRPr="00D84C6B" w:rsidRDefault="00D84C6B">
                                <w:r w:rsidRPr="00D84C6B">
                                  <w:t>25 april 2025</w:t>
                                </w:r>
                              </w:p>
                            </w:tc>
                          </w:tr>
                          <w:tr w:rsidR="0004234E" w14:paraId="5206BEA3" w14:textId="77777777">
                            <w:trPr>
                              <w:trHeight w:val="240"/>
                            </w:trPr>
                            <w:tc>
                              <w:tcPr>
                                <w:tcW w:w="1140" w:type="dxa"/>
                              </w:tcPr>
                              <w:p w14:paraId="6C6738D9" w14:textId="77777777" w:rsidR="0004234E" w:rsidRDefault="007B7A43">
                                <w:r>
                                  <w:t>Betreft</w:t>
                                </w:r>
                              </w:p>
                            </w:tc>
                            <w:tc>
                              <w:tcPr>
                                <w:tcW w:w="5400" w:type="dxa"/>
                              </w:tcPr>
                              <w:p w14:paraId="4EFCC462" w14:textId="7C092793" w:rsidR="0004234E" w:rsidRDefault="00F76D33">
                                <w:r>
                                  <w:t>Vi</w:t>
                                </w:r>
                                <w:r w:rsidRPr="00F76D33">
                                  <w:t>erde voortgangsbrief implementatie RED-III vervoer</w:t>
                                </w:r>
                              </w:p>
                            </w:tc>
                          </w:tr>
                          <w:tr w:rsidR="0004234E" w14:paraId="59373A0D" w14:textId="77777777">
                            <w:trPr>
                              <w:trHeight w:val="200"/>
                            </w:trPr>
                            <w:tc>
                              <w:tcPr>
                                <w:tcW w:w="1140" w:type="dxa"/>
                              </w:tcPr>
                              <w:p w14:paraId="67CC67A7" w14:textId="77777777" w:rsidR="0004234E" w:rsidRDefault="0004234E"/>
                            </w:tc>
                            <w:tc>
                              <w:tcPr>
                                <w:tcW w:w="5400" w:type="dxa"/>
                              </w:tcPr>
                              <w:p w14:paraId="27B155D9" w14:textId="77777777" w:rsidR="0004234E" w:rsidRDefault="0004234E"/>
                            </w:tc>
                          </w:tr>
                        </w:tbl>
                        <w:p w14:paraId="36BAE4DB" w14:textId="77777777" w:rsidR="003700E4" w:rsidRDefault="003700E4"/>
                      </w:txbxContent>
                    </wps:txbx>
                    <wps:bodyPr vert="horz" wrap="square" lIns="0" tIns="0" rIns="0" bIns="0" anchor="t" anchorCtr="0"/>
                  </wps:wsp>
                </a:graphicData>
              </a:graphic>
            </wp:anchor>
          </w:drawing>
        </mc:Choice>
        <mc:Fallback>
          <w:pict>
            <v:shape w14:anchorId="12F3B1FB"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04234E" w14:paraId="68E139A0" w14:textId="77777777">
                      <w:trPr>
                        <w:trHeight w:val="200"/>
                      </w:trPr>
                      <w:tc>
                        <w:tcPr>
                          <w:tcW w:w="1140" w:type="dxa"/>
                        </w:tcPr>
                        <w:p w14:paraId="24FEF39C" w14:textId="77777777" w:rsidR="0004234E" w:rsidRDefault="0004234E"/>
                      </w:tc>
                      <w:tc>
                        <w:tcPr>
                          <w:tcW w:w="5400" w:type="dxa"/>
                        </w:tcPr>
                        <w:p w14:paraId="63D476DF" w14:textId="77777777" w:rsidR="0004234E" w:rsidRDefault="0004234E"/>
                      </w:tc>
                    </w:tr>
                    <w:tr w:rsidR="0004234E" w14:paraId="221A7780" w14:textId="77777777">
                      <w:trPr>
                        <w:trHeight w:val="240"/>
                      </w:trPr>
                      <w:tc>
                        <w:tcPr>
                          <w:tcW w:w="1140" w:type="dxa"/>
                        </w:tcPr>
                        <w:p w14:paraId="236CAF8E" w14:textId="77777777" w:rsidR="0004234E" w:rsidRDefault="007B7A43">
                          <w:r>
                            <w:t>Datum</w:t>
                          </w:r>
                        </w:p>
                      </w:tc>
                      <w:tc>
                        <w:tcPr>
                          <w:tcW w:w="5400" w:type="dxa"/>
                        </w:tcPr>
                        <w:p w14:paraId="1B979ACD" w14:textId="5619A9EF" w:rsidR="0004234E" w:rsidRPr="00D84C6B" w:rsidRDefault="00D84C6B">
                          <w:r w:rsidRPr="00D84C6B">
                            <w:t>25 april 2025</w:t>
                          </w:r>
                        </w:p>
                      </w:tc>
                    </w:tr>
                    <w:tr w:rsidR="0004234E" w14:paraId="5206BEA3" w14:textId="77777777">
                      <w:trPr>
                        <w:trHeight w:val="240"/>
                      </w:trPr>
                      <w:tc>
                        <w:tcPr>
                          <w:tcW w:w="1140" w:type="dxa"/>
                        </w:tcPr>
                        <w:p w14:paraId="6C6738D9" w14:textId="77777777" w:rsidR="0004234E" w:rsidRDefault="007B7A43">
                          <w:r>
                            <w:t>Betreft</w:t>
                          </w:r>
                        </w:p>
                      </w:tc>
                      <w:tc>
                        <w:tcPr>
                          <w:tcW w:w="5400" w:type="dxa"/>
                        </w:tcPr>
                        <w:p w14:paraId="4EFCC462" w14:textId="7C092793" w:rsidR="0004234E" w:rsidRDefault="00F76D33">
                          <w:r>
                            <w:t>Vi</w:t>
                          </w:r>
                          <w:r w:rsidRPr="00F76D33">
                            <w:t>erde voortgangsbrief implementatie RED-III vervoer</w:t>
                          </w:r>
                        </w:p>
                      </w:tc>
                    </w:tr>
                    <w:tr w:rsidR="0004234E" w14:paraId="59373A0D" w14:textId="77777777">
                      <w:trPr>
                        <w:trHeight w:val="200"/>
                      </w:trPr>
                      <w:tc>
                        <w:tcPr>
                          <w:tcW w:w="1140" w:type="dxa"/>
                        </w:tcPr>
                        <w:p w14:paraId="67CC67A7" w14:textId="77777777" w:rsidR="0004234E" w:rsidRDefault="0004234E"/>
                      </w:tc>
                      <w:tc>
                        <w:tcPr>
                          <w:tcW w:w="5400" w:type="dxa"/>
                        </w:tcPr>
                        <w:p w14:paraId="27B155D9" w14:textId="77777777" w:rsidR="0004234E" w:rsidRDefault="0004234E"/>
                      </w:tc>
                    </w:tr>
                  </w:tbl>
                  <w:p w14:paraId="36BAE4DB" w14:textId="77777777" w:rsidR="003700E4" w:rsidRDefault="003700E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0E83031" wp14:editId="768DA84E">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1685AC0" w14:textId="77777777" w:rsidR="003700E4" w:rsidRDefault="003700E4"/>
                      </w:txbxContent>
                    </wps:txbx>
                    <wps:bodyPr vert="horz" wrap="square" lIns="0" tIns="0" rIns="0" bIns="0" anchor="t" anchorCtr="0"/>
                  </wps:wsp>
                </a:graphicData>
              </a:graphic>
            </wp:anchor>
          </w:drawing>
        </mc:Choice>
        <mc:Fallback>
          <w:pict>
            <v:shape w14:anchorId="50E83031"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1685AC0" w14:textId="77777777" w:rsidR="003700E4" w:rsidRDefault="003700E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049B1C"/>
    <w:multiLevelType w:val="multilevel"/>
    <w:tmpl w:val="D6A80EDB"/>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9386BB0"/>
    <w:multiLevelType w:val="multilevel"/>
    <w:tmpl w:val="47DC1EC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9C18B4C"/>
    <w:multiLevelType w:val="multilevel"/>
    <w:tmpl w:val="C467983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E8F898B"/>
    <w:multiLevelType w:val="multilevel"/>
    <w:tmpl w:val="4127459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1F57E10"/>
    <w:multiLevelType w:val="multilevel"/>
    <w:tmpl w:val="F5553B7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216AA32"/>
    <w:multiLevelType w:val="multilevel"/>
    <w:tmpl w:val="8B5B57C2"/>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3C91333"/>
    <w:multiLevelType w:val="multilevel"/>
    <w:tmpl w:val="84EAD8F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6C92442"/>
    <w:multiLevelType w:val="multilevel"/>
    <w:tmpl w:val="309D564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8E06064"/>
    <w:multiLevelType w:val="multilevel"/>
    <w:tmpl w:val="2FF6966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DB0E2A9A"/>
    <w:multiLevelType w:val="multilevel"/>
    <w:tmpl w:val="9E72EB1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0729A57"/>
    <w:multiLevelType w:val="multilevel"/>
    <w:tmpl w:val="4A22C25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301D71C"/>
    <w:multiLevelType w:val="multilevel"/>
    <w:tmpl w:val="F6EEB2F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473E504"/>
    <w:multiLevelType w:val="multilevel"/>
    <w:tmpl w:val="67512F0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89657E3"/>
    <w:multiLevelType w:val="multilevel"/>
    <w:tmpl w:val="50D7597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194B95"/>
    <w:multiLevelType w:val="hybridMultilevel"/>
    <w:tmpl w:val="0B725C3A"/>
    <w:lvl w:ilvl="0" w:tplc="581483C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A9396B6"/>
    <w:multiLevelType w:val="multilevel"/>
    <w:tmpl w:val="B918975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B8EF6C"/>
    <w:multiLevelType w:val="multilevel"/>
    <w:tmpl w:val="0F5E97B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05D2C50"/>
    <w:multiLevelType w:val="multilevel"/>
    <w:tmpl w:val="65050F6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B16CC7"/>
    <w:multiLevelType w:val="hybridMultilevel"/>
    <w:tmpl w:val="01BE0D8C"/>
    <w:lvl w:ilvl="0" w:tplc="4E3A6CBC">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4309DE6"/>
    <w:multiLevelType w:val="multilevel"/>
    <w:tmpl w:val="F6AC3AB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0" w15:restartNumberingAfterBreak="0">
    <w:nsid w:val="4DE8F38B"/>
    <w:multiLevelType w:val="multilevel"/>
    <w:tmpl w:val="E239090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1F3A04"/>
    <w:multiLevelType w:val="multilevel"/>
    <w:tmpl w:val="323A52B1"/>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17282B"/>
    <w:multiLevelType w:val="hybridMultilevel"/>
    <w:tmpl w:val="52C6DF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9D4918"/>
    <w:multiLevelType w:val="hybridMultilevel"/>
    <w:tmpl w:val="4412F178"/>
    <w:lvl w:ilvl="0" w:tplc="415CDAFA">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A38F974"/>
    <w:multiLevelType w:val="multilevel"/>
    <w:tmpl w:val="FCCD033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D2F4C7"/>
    <w:multiLevelType w:val="multilevel"/>
    <w:tmpl w:val="A4FC80EC"/>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68BCF1"/>
    <w:multiLevelType w:val="multilevel"/>
    <w:tmpl w:val="8A890AB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25"/>
  </w:num>
  <w:num w:numId="4">
    <w:abstractNumId w:val="9"/>
  </w:num>
  <w:num w:numId="5">
    <w:abstractNumId w:val="19"/>
  </w:num>
  <w:num w:numId="6">
    <w:abstractNumId w:val="0"/>
  </w:num>
  <w:num w:numId="7">
    <w:abstractNumId w:val="7"/>
  </w:num>
  <w:num w:numId="8">
    <w:abstractNumId w:val="1"/>
  </w:num>
  <w:num w:numId="9">
    <w:abstractNumId w:val="2"/>
  </w:num>
  <w:num w:numId="10">
    <w:abstractNumId w:val="11"/>
  </w:num>
  <w:num w:numId="11">
    <w:abstractNumId w:val="3"/>
  </w:num>
  <w:num w:numId="12">
    <w:abstractNumId w:val="8"/>
  </w:num>
  <w:num w:numId="13">
    <w:abstractNumId w:val="26"/>
  </w:num>
  <w:num w:numId="14">
    <w:abstractNumId w:val="12"/>
  </w:num>
  <w:num w:numId="15">
    <w:abstractNumId w:val="24"/>
  </w:num>
  <w:num w:numId="16">
    <w:abstractNumId w:val="15"/>
  </w:num>
  <w:num w:numId="17">
    <w:abstractNumId w:val="17"/>
  </w:num>
  <w:num w:numId="18">
    <w:abstractNumId w:val="10"/>
  </w:num>
  <w:num w:numId="19">
    <w:abstractNumId w:val="5"/>
  </w:num>
  <w:num w:numId="20">
    <w:abstractNumId w:val="16"/>
  </w:num>
  <w:num w:numId="21">
    <w:abstractNumId w:val="21"/>
  </w:num>
  <w:num w:numId="22">
    <w:abstractNumId w:val="20"/>
  </w:num>
  <w:num w:numId="23">
    <w:abstractNumId w:val="6"/>
  </w:num>
  <w:num w:numId="24">
    <w:abstractNumId w:val="18"/>
  </w:num>
  <w:num w:numId="25">
    <w:abstractNumId w:val="22"/>
  </w:num>
  <w:num w:numId="26">
    <w:abstractNumId w:val="2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4A"/>
    <w:rsid w:val="000252C3"/>
    <w:rsid w:val="0004234E"/>
    <w:rsid w:val="00042B7B"/>
    <w:rsid w:val="00045461"/>
    <w:rsid w:val="00067666"/>
    <w:rsid w:val="000702B4"/>
    <w:rsid w:val="000734D6"/>
    <w:rsid w:val="000B05CB"/>
    <w:rsid w:val="000C5186"/>
    <w:rsid w:val="000E0494"/>
    <w:rsid w:val="00116033"/>
    <w:rsid w:val="00125C53"/>
    <w:rsid w:val="001319AE"/>
    <w:rsid w:val="001805A6"/>
    <w:rsid w:val="00190E53"/>
    <w:rsid w:val="00196E41"/>
    <w:rsid w:val="00203BD9"/>
    <w:rsid w:val="002235D6"/>
    <w:rsid w:val="00244F8E"/>
    <w:rsid w:val="00260F47"/>
    <w:rsid w:val="00283204"/>
    <w:rsid w:val="002C6EF4"/>
    <w:rsid w:val="002E77DC"/>
    <w:rsid w:val="002F23D5"/>
    <w:rsid w:val="002F3FE7"/>
    <w:rsid w:val="00307C29"/>
    <w:rsid w:val="00330A38"/>
    <w:rsid w:val="00333BFC"/>
    <w:rsid w:val="0035637E"/>
    <w:rsid w:val="003700E4"/>
    <w:rsid w:val="0038209F"/>
    <w:rsid w:val="003871BE"/>
    <w:rsid w:val="0039272A"/>
    <w:rsid w:val="003B46E3"/>
    <w:rsid w:val="00407386"/>
    <w:rsid w:val="00415334"/>
    <w:rsid w:val="004269BB"/>
    <w:rsid w:val="0046045F"/>
    <w:rsid w:val="00465186"/>
    <w:rsid w:val="0046616A"/>
    <w:rsid w:val="00485A88"/>
    <w:rsid w:val="004C0C72"/>
    <w:rsid w:val="004F7AF6"/>
    <w:rsid w:val="00503A7A"/>
    <w:rsid w:val="00570C70"/>
    <w:rsid w:val="005820D0"/>
    <w:rsid w:val="005A110F"/>
    <w:rsid w:val="005A1882"/>
    <w:rsid w:val="005B18E7"/>
    <w:rsid w:val="005B2382"/>
    <w:rsid w:val="005B2EEB"/>
    <w:rsid w:val="005B37D2"/>
    <w:rsid w:val="005E408C"/>
    <w:rsid w:val="005E438A"/>
    <w:rsid w:val="00613303"/>
    <w:rsid w:val="006230C8"/>
    <w:rsid w:val="00662C31"/>
    <w:rsid w:val="00670965"/>
    <w:rsid w:val="006A6728"/>
    <w:rsid w:val="006A6DE8"/>
    <w:rsid w:val="006B696A"/>
    <w:rsid w:val="00725F87"/>
    <w:rsid w:val="0076031C"/>
    <w:rsid w:val="007614F1"/>
    <w:rsid w:val="007638EA"/>
    <w:rsid w:val="00772B6E"/>
    <w:rsid w:val="007764D2"/>
    <w:rsid w:val="00780467"/>
    <w:rsid w:val="0079207D"/>
    <w:rsid w:val="00795DF1"/>
    <w:rsid w:val="007A56C3"/>
    <w:rsid w:val="007A62D5"/>
    <w:rsid w:val="007B7A43"/>
    <w:rsid w:val="007E66C0"/>
    <w:rsid w:val="007E6A6F"/>
    <w:rsid w:val="00803C7E"/>
    <w:rsid w:val="00817E31"/>
    <w:rsid w:val="0084165A"/>
    <w:rsid w:val="00843753"/>
    <w:rsid w:val="00897588"/>
    <w:rsid w:val="008A2DCB"/>
    <w:rsid w:val="008A3F1C"/>
    <w:rsid w:val="008D64A1"/>
    <w:rsid w:val="008D7C93"/>
    <w:rsid w:val="008F19C7"/>
    <w:rsid w:val="00917548"/>
    <w:rsid w:val="00922C57"/>
    <w:rsid w:val="00954D6F"/>
    <w:rsid w:val="00956608"/>
    <w:rsid w:val="009633E0"/>
    <w:rsid w:val="009818E6"/>
    <w:rsid w:val="00995C04"/>
    <w:rsid w:val="009A0AA7"/>
    <w:rsid w:val="009C7011"/>
    <w:rsid w:val="009E2B2E"/>
    <w:rsid w:val="009E6AE5"/>
    <w:rsid w:val="00A126F2"/>
    <w:rsid w:val="00A1543B"/>
    <w:rsid w:val="00A1794A"/>
    <w:rsid w:val="00A47103"/>
    <w:rsid w:val="00A55C69"/>
    <w:rsid w:val="00A70D6D"/>
    <w:rsid w:val="00A830A1"/>
    <w:rsid w:val="00A84E90"/>
    <w:rsid w:val="00A97740"/>
    <w:rsid w:val="00AB1ADF"/>
    <w:rsid w:val="00AE27E4"/>
    <w:rsid w:val="00AE288A"/>
    <w:rsid w:val="00AF5069"/>
    <w:rsid w:val="00B13F3C"/>
    <w:rsid w:val="00B27428"/>
    <w:rsid w:val="00B27CE4"/>
    <w:rsid w:val="00B4772D"/>
    <w:rsid w:val="00B64606"/>
    <w:rsid w:val="00B65C27"/>
    <w:rsid w:val="00B678C3"/>
    <w:rsid w:val="00B714FA"/>
    <w:rsid w:val="00B76A80"/>
    <w:rsid w:val="00B83545"/>
    <w:rsid w:val="00B8426D"/>
    <w:rsid w:val="00BA4F18"/>
    <w:rsid w:val="00BD3561"/>
    <w:rsid w:val="00BF0DF8"/>
    <w:rsid w:val="00BF3335"/>
    <w:rsid w:val="00C04C86"/>
    <w:rsid w:val="00C47019"/>
    <w:rsid w:val="00C961E4"/>
    <w:rsid w:val="00CC0CEB"/>
    <w:rsid w:val="00CC1FE8"/>
    <w:rsid w:val="00CE352F"/>
    <w:rsid w:val="00CF7563"/>
    <w:rsid w:val="00D36766"/>
    <w:rsid w:val="00D63B00"/>
    <w:rsid w:val="00D749E9"/>
    <w:rsid w:val="00D84C6B"/>
    <w:rsid w:val="00D9497B"/>
    <w:rsid w:val="00DA3E8C"/>
    <w:rsid w:val="00E10453"/>
    <w:rsid w:val="00E36AC7"/>
    <w:rsid w:val="00E4059A"/>
    <w:rsid w:val="00E459CB"/>
    <w:rsid w:val="00E76745"/>
    <w:rsid w:val="00E85BDF"/>
    <w:rsid w:val="00E914A2"/>
    <w:rsid w:val="00EE06D3"/>
    <w:rsid w:val="00EE6BCF"/>
    <w:rsid w:val="00F02188"/>
    <w:rsid w:val="00F062C2"/>
    <w:rsid w:val="00F14DA0"/>
    <w:rsid w:val="00F33E1C"/>
    <w:rsid w:val="00F54428"/>
    <w:rsid w:val="00F55B19"/>
    <w:rsid w:val="00F74CAA"/>
    <w:rsid w:val="00F76D33"/>
    <w:rsid w:val="00FC7D27"/>
    <w:rsid w:val="00FD407C"/>
    <w:rsid w:val="00FF42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2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A1794A"/>
    <w:pPr>
      <w:tabs>
        <w:tab w:val="center" w:pos="4536"/>
        <w:tab w:val="right" w:pos="9072"/>
      </w:tabs>
      <w:spacing w:line="240" w:lineRule="auto"/>
    </w:pPr>
  </w:style>
  <w:style w:type="character" w:customStyle="1" w:styleId="HeaderChar">
    <w:name w:val="Header Char"/>
    <w:basedOn w:val="DefaultParagraphFont"/>
    <w:link w:val="Header"/>
    <w:uiPriority w:val="99"/>
    <w:rsid w:val="00A1794A"/>
    <w:rPr>
      <w:rFonts w:ascii="Verdana" w:hAnsi="Verdana"/>
      <w:color w:val="000000"/>
      <w:sz w:val="18"/>
      <w:szCs w:val="18"/>
    </w:rPr>
  </w:style>
  <w:style w:type="paragraph" w:styleId="Footer">
    <w:name w:val="footer"/>
    <w:basedOn w:val="Normal"/>
    <w:link w:val="FooterChar"/>
    <w:uiPriority w:val="99"/>
    <w:unhideWhenUsed/>
    <w:rsid w:val="00A1794A"/>
    <w:pPr>
      <w:tabs>
        <w:tab w:val="center" w:pos="4536"/>
        <w:tab w:val="right" w:pos="9072"/>
      </w:tabs>
      <w:spacing w:line="240" w:lineRule="auto"/>
    </w:pPr>
  </w:style>
  <w:style w:type="character" w:customStyle="1" w:styleId="FooterChar">
    <w:name w:val="Footer Char"/>
    <w:basedOn w:val="DefaultParagraphFont"/>
    <w:link w:val="Footer"/>
    <w:uiPriority w:val="99"/>
    <w:rsid w:val="00A1794A"/>
    <w:rPr>
      <w:rFonts w:ascii="Verdana" w:hAnsi="Verdana"/>
      <w:color w:val="000000"/>
      <w:sz w:val="18"/>
      <w:szCs w:val="18"/>
    </w:rPr>
  </w:style>
  <w:style w:type="paragraph" w:styleId="ListParagraph">
    <w:name w:val="List Paragraph"/>
    <w:basedOn w:val="Normal"/>
    <w:uiPriority w:val="34"/>
    <w:semiHidden/>
    <w:rsid w:val="0038209F"/>
    <w:pPr>
      <w:ind w:left="720"/>
      <w:contextualSpacing/>
    </w:pPr>
  </w:style>
  <w:style w:type="character" w:styleId="CommentReference">
    <w:name w:val="annotation reference"/>
    <w:basedOn w:val="DefaultParagraphFont"/>
    <w:uiPriority w:val="99"/>
    <w:semiHidden/>
    <w:unhideWhenUsed/>
    <w:rsid w:val="00B27CE4"/>
    <w:rPr>
      <w:sz w:val="16"/>
      <w:szCs w:val="16"/>
    </w:rPr>
  </w:style>
  <w:style w:type="paragraph" w:styleId="CommentText">
    <w:name w:val="annotation text"/>
    <w:basedOn w:val="Normal"/>
    <w:link w:val="CommentTextChar"/>
    <w:uiPriority w:val="99"/>
    <w:unhideWhenUsed/>
    <w:rsid w:val="00B27CE4"/>
    <w:pPr>
      <w:spacing w:line="240" w:lineRule="auto"/>
    </w:pPr>
    <w:rPr>
      <w:sz w:val="20"/>
      <w:szCs w:val="20"/>
    </w:rPr>
  </w:style>
  <w:style w:type="character" w:customStyle="1" w:styleId="CommentTextChar">
    <w:name w:val="Comment Text Char"/>
    <w:basedOn w:val="DefaultParagraphFont"/>
    <w:link w:val="CommentText"/>
    <w:uiPriority w:val="99"/>
    <w:rsid w:val="00B27CE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27CE4"/>
    <w:rPr>
      <w:b/>
      <w:bCs/>
    </w:rPr>
  </w:style>
  <w:style w:type="character" w:customStyle="1" w:styleId="CommentSubjectChar">
    <w:name w:val="Comment Subject Char"/>
    <w:basedOn w:val="CommentTextChar"/>
    <w:link w:val="CommentSubject"/>
    <w:uiPriority w:val="99"/>
    <w:semiHidden/>
    <w:rsid w:val="00B27CE4"/>
    <w:rPr>
      <w:rFonts w:ascii="Verdana" w:hAnsi="Verdana"/>
      <w:b/>
      <w:bCs/>
      <w:color w:val="000000"/>
    </w:rPr>
  </w:style>
  <w:style w:type="paragraph" w:styleId="Revision">
    <w:name w:val="Revision"/>
    <w:hidden/>
    <w:uiPriority w:val="99"/>
    <w:semiHidden/>
    <w:rsid w:val="00DA3E8C"/>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045461"/>
    <w:pPr>
      <w:spacing w:line="240" w:lineRule="auto"/>
    </w:pPr>
    <w:rPr>
      <w:sz w:val="20"/>
      <w:szCs w:val="20"/>
    </w:rPr>
  </w:style>
  <w:style w:type="character" w:customStyle="1" w:styleId="FootnoteTextChar">
    <w:name w:val="Footnote Text Char"/>
    <w:basedOn w:val="DefaultParagraphFont"/>
    <w:link w:val="FootnoteText"/>
    <w:uiPriority w:val="99"/>
    <w:semiHidden/>
    <w:rsid w:val="00045461"/>
    <w:rPr>
      <w:rFonts w:ascii="Verdana" w:hAnsi="Verdana"/>
      <w:color w:val="000000"/>
    </w:rPr>
  </w:style>
  <w:style w:type="character" w:styleId="FootnoteReference">
    <w:name w:val="footnote reference"/>
    <w:basedOn w:val="DefaultParagraphFont"/>
    <w:uiPriority w:val="99"/>
    <w:semiHidden/>
    <w:unhideWhenUsed/>
    <w:rsid w:val="000454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1328</ap:Words>
  <ap:Characters>7571</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Brief aan Parlement - Onderzoeksrapport CE Delft prijseffecten</vt:lpstr>
    </vt:vector>
  </ap:TitlesOfParts>
  <ap:LinksUpToDate>false</ap:LinksUpToDate>
  <ap:CharactersWithSpaces>8882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2025-04-25T07:55:00.0000000Z</dcterms:created>
  <dcterms:modified xsi:type="dcterms:W3CDTF">2025-04-25T07:55:00.0000000Z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Onderzoeksrapport CE Delft prijseffecten </vt:lpwstr>
  </property>
  <property fmtid="{D5CDD505-2E9C-101B-9397-08002B2CF9AE}" pid="5" name="Publicatiedatum">
    <vt:lpwstr/>
  </property>
  <property fmtid="{D5CDD505-2E9C-101B-9397-08002B2CF9AE}" pid="6" name="Verantwoordelijke organisatie">
    <vt:lpwstr>Dir.Duurzame Mobiliteit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A.S.M. Heinen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