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3C20" w:rsidR="005403B1" w:rsidP="00D92D5F" w:rsidRDefault="007A3C20" w14:paraId="0F6AB01B" w14:textId="5AF8A4DE">
      <w:pPr>
        <w:pStyle w:val="Kop2"/>
        <w:numPr>
          <w:ilvl w:val="0"/>
          <w:numId w:val="0"/>
        </w:numPr>
        <w:ind w:left="578" w:hanging="578"/>
      </w:pPr>
      <w:r w:rsidRPr="007A3C20">
        <w:t>Wet tegenbewijsregeling</w:t>
      </w:r>
      <w:r w:rsidR="009E7D11">
        <w:t xml:space="preserve"> box 3</w:t>
      </w:r>
    </w:p>
    <w:p w:rsidR="00447296" w:rsidP="00447296" w:rsidRDefault="00447296" w14:paraId="55A43851" w14:textId="77777777">
      <w:pPr>
        <w:rPr>
          <w:b/>
          <w:szCs w:val="18"/>
        </w:rPr>
      </w:pPr>
    </w:p>
    <w:p w:rsidRPr="000E7A72" w:rsidR="000D5326" w:rsidP="000D5326" w:rsidRDefault="000D5326" w14:paraId="15B5F05B" w14:textId="77777777">
      <w:pPr>
        <w:rPr>
          <w:b/>
          <w:szCs w:val="18"/>
        </w:rPr>
      </w:pPr>
      <w:r>
        <w:rPr>
          <w:b/>
          <w:szCs w:val="18"/>
        </w:rPr>
        <w:t>Kern van de maatregel</w:t>
      </w:r>
    </w:p>
    <w:p w:rsidR="000D5326" w:rsidP="000D5326" w:rsidRDefault="000D5326" w14:paraId="7FD29152" w14:textId="77777777">
      <w:pPr>
        <w:rPr>
          <w:szCs w:val="18"/>
        </w:rPr>
      </w:pPr>
      <w:r w:rsidRPr="00E1632E">
        <w:rPr>
          <w:szCs w:val="18"/>
        </w:rPr>
        <w:t xml:space="preserve">De Hoge Raad heeft in arresten van 6 en 14 juni 2024 geoordeeld dat de wetgeving voor box 3 nog steeds het </w:t>
      </w:r>
      <w:proofErr w:type="gramStart"/>
      <w:r w:rsidRPr="00E1632E">
        <w:rPr>
          <w:szCs w:val="18"/>
        </w:rPr>
        <w:t>discriminatieverbod</w:t>
      </w:r>
      <w:proofErr w:type="gramEnd"/>
      <w:r w:rsidRPr="00E1632E">
        <w:rPr>
          <w:szCs w:val="18"/>
        </w:rPr>
        <w:t xml:space="preserve"> en het eigendomsrecht schendt als het forfaitaire rendement hoger is dan het werkelijke rendement over het gehele </w:t>
      </w:r>
      <w:r>
        <w:rPr>
          <w:szCs w:val="18"/>
        </w:rPr>
        <w:t>box 3-</w:t>
      </w:r>
      <w:r w:rsidRPr="00E1632E">
        <w:rPr>
          <w:szCs w:val="18"/>
        </w:rPr>
        <w:t xml:space="preserve">vermogen. </w:t>
      </w:r>
      <w:r>
        <w:rPr>
          <w:szCs w:val="18"/>
        </w:rPr>
        <w:t xml:space="preserve">Dit betekent dat belastingplichtigen de mogelijkheid moeten krijgen om tegenbewijs in te dienen, zowel voor toekomstige jaren als voor een aantal jaren in het verleden. Het wetsvoorstel Wet tegenbewijsregeling box 3 codificeert deze uitspraken en biedt duidelijkheid over de wijze waarop het werkelijke rendement zal worden vastgesteld. </w:t>
      </w:r>
      <w:r w:rsidRPr="00E1632E">
        <w:rPr>
          <w:szCs w:val="18"/>
        </w:rPr>
        <w:t xml:space="preserve">Voor belastingplichtigen geldt dat als het werkelijke rendement over het gehele </w:t>
      </w:r>
      <w:r>
        <w:rPr>
          <w:szCs w:val="18"/>
        </w:rPr>
        <w:t>box 3-</w:t>
      </w:r>
      <w:r w:rsidRPr="00E1632E">
        <w:rPr>
          <w:szCs w:val="18"/>
        </w:rPr>
        <w:t>vermogen lager is dan het forfaitaire rendement en zij dit aannemelijk</w:t>
      </w:r>
      <w:r>
        <w:rPr>
          <w:szCs w:val="18"/>
        </w:rPr>
        <w:t xml:space="preserve"> maken</w:t>
      </w:r>
      <w:r w:rsidRPr="00E1632E">
        <w:rPr>
          <w:szCs w:val="18"/>
        </w:rPr>
        <w:t xml:space="preserve">, de belasting verminderd wordt, zodat alleen belasting wordt geheven over het werkelijke rendement over het gehele </w:t>
      </w:r>
      <w:r>
        <w:rPr>
          <w:szCs w:val="18"/>
        </w:rPr>
        <w:t>box 3-</w:t>
      </w:r>
      <w:r w:rsidRPr="00E1632E">
        <w:rPr>
          <w:szCs w:val="18"/>
        </w:rPr>
        <w:t>vermogen.</w:t>
      </w:r>
    </w:p>
    <w:p w:rsidR="000D5326" w:rsidP="000D5326" w:rsidRDefault="000D5326" w14:paraId="4C1DF4D1" w14:textId="77777777">
      <w:pPr>
        <w:rPr>
          <w:szCs w:val="18"/>
        </w:rPr>
      </w:pPr>
    </w:p>
    <w:p w:rsidR="000D5326" w:rsidP="000D5326" w:rsidRDefault="000D5326" w14:paraId="3445E3D9" w14:textId="77777777">
      <w:pPr>
        <w:rPr>
          <w:b/>
          <w:szCs w:val="18"/>
        </w:rPr>
      </w:pPr>
      <w:r>
        <w:rPr>
          <w:b/>
          <w:szCs w:val="18"/>
        </w:rPr>
        <w:t>Kern van de raming</w:t>
      </w:r>
    </w:p>
    <w:p w:rsidR="000D5326" w:rsidP="000D5326" w:rsidRDefault="000D5326" w14:paraId="7842C136" w14:textId="77777777">
      <w:pPr>
        <w:rPr>
          <w:bCs/>
          <w:szCs w:val="18"/>
        </w:rPr>
      </w:pPr>
      <w:r>
        <w:rPr>
          <w:bCs/>
          <w:szCs w:val="18"/>
        </w:rPr>
        <w:t xml:space="preserve">Het wetsvoorstel heeft in principe zelf geen additionele budgettaire effecten, omdat de effecten al het gevolg zijn van de uitspraken van de Hoge Raad. Deze toelichting ziet daarom op de budgettaire effecten van de tegenbewijsregeling als gevolg van deze uitspraken, vormgegeven zoals in dit wetsvoorstel. </w:t>
      </w:r>
    </w:p>
    <w:p w:rsidRPr="00B050F2" w:rsidR="000D5326" w:rsidP="000D5326" w:rsidRDefault="000D5326" w14:paraId="33FB3C77" w14:textId="77777777">
      <w:pPr>
        <w:rPr>
          <w:bCs/>
          <w:szCs w:val="18"/>
        </w:rPr>
      </w:pPr>
    </w:p>
    <w:p w:rsidRPr="002103E8" w:rsidR="000D5326" w:rsidP="000D5326" w:rsidRDefault="000D5326" w14:paraId="484B60D8" w14:textId="77777777">
      <w:pPr>
        <w:pStyle w:val="Bijschrift"/>
        <w:keepNext/>
        <w:rPr>
          <w:rFonts w:cstheme="minorHAnsi"/>
          <w:b w:val="0"/>
          <w:bCs w:val="0"/>
          <w:color w:val="auto"/>
          <w:sz w:val="22"/>
          <w:szCs w:val="22"/>
        </w:rPr>
      </w:pPr>
      <w:r w:rsidRPr="002103E8">
        <w:rPr>
          <w:rFonts w:eastAsia="Times New Roman" w:cstheme="minorHAnsi"/>
          <w:b w:val="0"/>
          <w:bCs w:val="0"/>
          <w:smallCaps w:val="0"/>
          <w:color w:val="auto"/>
          <w:spacing w:val="0"/>
          <w:szCs w:val="28"/>
          <w:lang w:eastAsia="nl-NL"/>
        </w:rPr>
        <w:t>Tabel 1 Budgettaire gevolgen tegenbewijsregeling in miljoenen euro’s tot en met 2025 in lopende prijzen, vanaf 2026 in prijspeil 2025 en geschatte aantal ingediende tegenbewijzen.</w:t>
      </w:r>
    </w:p>
    <w:tbl>
      <w:tblPr>
        <w:tblStyle w:val="Rastertabel5donker-Accent1"/>
        <w:tblW w:w="0" w:type="auto"/>
        <w:tblLayout w:type="fixed"/>
        <w:tblLook w:val="04A0" w:firstRow="1" w:lastRow="0" w:firstColumn="1" w:lastColumn="0" w:noHBand="0" w:noVBand="1"/>
      </w:tblPr>
      <w:tblGrid>
        <w:gridCol w:w="1129"/>
        <w:gridCol w:w="1418"/>
        <w:gridCol w:w="1559"/>
      </w:tblGrid>
      <w:tr w:rsidR="000D5326" w:rsidTr="00BE2A18" w14:paraId="0FD1933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Pr="00E1632E" w:rsidR="000D5326" w:rsidP="00BE2A18" w:rsidRDefault="000D5326" w14:paraId="0ECF207A" w14:textId="77777777">
            <w:pPr>
              <w:keepNext/>
              <w:rPr>
                <w:rFonts w:asciiTheme="minorHAnsi" w:hAnsiTheme="minorHAnsi" w:cstheme="minorHAnsi"/>
              </w:rPr>
            </w:pPr>
            <w:r w:rsidRPr="00E1632E">
              <w:rPr>
                <w:rFonts w:asciiTheme="minorHAnsi" w:hAnsiTheme="minorHAnsi" w:cstheme="minorHAnsi"/>
                <w:color w:val="000000"/>
                <w:szCs w:val="18"/>
              </w:rPr>
              <w:t>Jaar</w:t>
            </w:r>
          </w:p>
        </w:tc>
        <w:tc>
          <w:tcPr>
            <w:tcW w:w="1418" w:type="dxa"/>
          </w:tcPr>
          <w:p w:rsidRPr="00E1632E" w:rsidR="000D5326" w:rsidP="00BE2A18" w:rsidRDefault="000D5326" w14:paraId="3B1DB246" w14:textId="77777777">
            <w:pPr>
              <w:keepN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Cs w:val="18"/>
              </w:rPr>
            </w:pPr>
            <w:r w:rsidRPr="00E1632E">
              <w:rPr>
                <w:rFonts w:asciiTheme="minorHAnsi" w:hAnsiTheme="minorHAnsi" w:cstheme="minorHAnsi"/>
                <w:color w:val="000000"/>
                <w:szCs w:val="18"/>
              </w:rPr>
              <w:t>Budgettair</w:t>
            </w:r>
          </w:p>
        </w:tc>
        <w:tc>
          <w:tcPr>
            <w:tcW w:w="1559" w:type="dxa"/>
          </w:tcPr>
          <w:p w:rsidRPr="00E1632E" w:rsidR="000D5326" w:rsidP="00BE2A18" w:rsidRDefault="000D5326" w14:paraId="7D4D0BFB" w14:textId="77777777">
            <w:pPr>
              <w:keepN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632E">
              <w:rPr>
                <w:rFonts w:asciiTheme="minorHAnsi" w:hAnsiTheme="minorHAnsi" w:cstheme="minorHAnsi"/>
                <w:color w:val="000000"/>
                <w:szCs w:val="18"/>
              </w:rPr>
              <w:t>Aantal tegenbewijzen</w:t>
            </w:r>
          </w:p>
        </w:tc>
      </w:tr>
      <w:tr w:rsidR="000D5326" w:rsidTr="00BE2A18" w14:paraId="40E67D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Pr="00E1632E" w:rsidR="000D5326" w:rsidP="00BE2A18" w:rsidRDefault="000D5326" w14:paraId="760AA37D" w14:textId="77777777">
            <w:pPr>
              <w:keepNext/>
              <w:rPr>
                <w:rFonts w:asciiTheme="minorHAnsi" w:hAnsiTheme="minorHAnsi" w:cstheme="minorHAnsi"/>
                <w:i/>
                <w:iCs/>
                <w:szCs w:val="16"/>
              </w:rPr>
            </w:pPr>
            <w:r w:rsidRPr="00E1632E">
              <w:rPr>
                <w:rFonts w:asciiTheme="minorHAnsi" w:hAnsiTheme="minorHAnsi" w:cstheme="minorHAnsi"/>
                <w:color w:val="000000"/>
                <w:szCs w:val="16"/>
              </w:rPr>
              <w:t>2017</w:t>
            </w:r>
          </w:p>
        </w:tc>
        <w:tc>
          <w:tcPr>
            <w:tcW w:w="1418" w:type="dxa"/>
          </w:tcPr>
          <w:p w:rsidRPr="00E1632E" w:rsidR="000D5326" w:rsidP="00BE2A18" w:rsidRDefault="000D5326" w14:paraId="112ED6D1" w14:textId="77777777">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-3</w:t>
            </w:r>
          </w:p>
        </w:tc>
        <w:tc>
          <w:tcPr>
            <w:tcW w:w="1559" w:type="dxa"/>
            <w:vAlign w:val="bottom"/>
          </w:tcPr>
          <w:p w:rsidRPr="00E1632E" w:rsidR="000D5326" w:rsidP="00BE2A18" w:rsidRDefault="000D5326" w14:paraId="4CF3D2B0" w14:textId="77777777">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700</w:t>
            </w:r>
          </w:p>
        </w:tc>
      </w:tr>
      <w:tr w:rsidR="000D5326" w:rsidTr="00BE2A18" w14:paraId="4706D046" w14:textId="77777777">
        <w:tc>
          <w:tcPr>
            <w:cnfStyle w:val="001000000000" w:firstRow="0" w:lastRow="0" w:firstColumn="1" w:lastColumn="0" w:oddVBand="0" w:evenVBand="0" w:oddHBand="0" w:evenHBand="0" w:firstRowFirstColumn="0" w:firstRowLastColumn="0" w:lastRowFirstColumn="0" w:lastRowLastColumn="0"/>
            <w:tcW w:w="1129" w:type="dxa"/>
          </w:tcPr>
          <w:p w:rsidRPr="00E1632E" w:rsidR="000D5326" w:rsidP="00BE2A18" w:rsidRDefault="000D5326" w14:paraId="65716570" w14:textId="77777777">
            <w:pPr>
              <w:keepNext/>
              <w:rPr>
                <w:rFonts w:asciiTheme="minorHAnsi" w:hAnsiTheme="minorHAnsi" w:cstheme="minorHAnsi"/>
                <w:i/>
                <w:iCs/>
                <w:szCs w:val="16"/>
              </w:rPr>
            </w:pPr>
            <w:r w:rsidRPr="00E1632E">
              <w:rPr>
                <w:rFonts w:asciiTheme="minorHAnsi" w:hAnsiTheme="minorHAnsi" w:cstheme="minorHAnsi"/>
                <w:color w:val="000000"/>
                <w:szCs w:val="16"/>
              </w:rPr>
              <w:t>2018</w:t>
            </w:r>
          </w:p>
        </w:tc>
        <w:tc>
          <w:tcPr>
            <w:tcW w:w="1418" w:type="dxa"/>
          </w:tcPr>
          <w:p w:rsidRPr="00E1632E" w:rsidR="000D5326" w:rsidP="00BE2A18" w:rsidRDefault="000D5326" w14:paraId="4A4D6DFA" w14:textId="77777777">
            <w:pPr>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-21</w:t>
            </w:r>
          </w:p>
        </w:tc>
        <w:tc>
          <w:tcPr>
            <w:tcW w:w="1559" w:type="dxa"/>
            <w:vAlign w:val="bottom"/>
          </w:tcPr>
          <w:p w:rsidRPr="00E1632E" w:rsidR="000D5326" w:rsidP="00BE2A18" w:rsidRDefault="000D5326" w14:paraId="1780E611" w14:textId="77777777">
            <w:pPr>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2.500</w:t>
            </w:r>
          </w:p>
        </w:tc>
      </w:tr>
      <w:tr w:rsidR="000D5326" w:rsidTr="00BE2A18" w14:paraId="71FDD6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Pr="00E1632E" w:rsidR="000D5326" w:rsidP="00BE2A18" w:rsidRDefault="000D5326" w14:paraId="6B70ECD0" w14:textId="77777777">
            <w:pPr>
              <w:keepNext/>
              <w:rPr>
                <w:rFonts w:asciiTheme="minorHAnsi" w:hAnsiTheme="minorHAnsi" w:cstheme="minorHAnsi"/>
                <w:i/>
                <w:iCs/>
                <w:szCs w:val="16"/>
              </w:rPr>
            </w:pPr>
            <w:r w:rsidRPr="00E1632E">
              <w:rPr>
                <w:rFonts w:asciiTheme="minorHAnsi" w:hAnsiTheme="minorHAnsi" w:cstheme="minorHAnsi"/>
                <w:color w:val="000000"/>
                <w:szCs w:val="16"/>
              </w:rPr>
              <w:t>2019</w:t>
            </w:r>
          </w:p>
        </w:tc>
        <w:tc>
          <w:tcPr>
            <w:tcW w:w="1418" w:type="dxa"/>
          </w:tcPr>
          <w:p w:rsidRPr="00E1632E" w:rsidR="000D5326" w:rsidP="00BE2A18" w:rsidRDefault="000D5326" w14:paraId="6639CA2B" w14:textId="77777777">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-112</w:t>
            </w:r>
          </w:p>
        </w:tc>
        <w:tc>
          <w:tcPr>
            <w:tcW w:w="1559" w:type="dxa"/>
            <w:vAlign w:val="bottom"/>
          </w:tcPr>
          <w:p w:rsidRPr="00E1632E" w:rsidR="000D5326" w:rsidP="00BE2A18" w:rsidRDefault="000D5326" w14:paraId="520DAEF5" w14:textId="77777777">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33.800</w:t>
            </w:r>
          </w:p>
        </w:tc>
      </w:tr>
      <w:tr w:rsidR="000D5326" w:rsidTr="00BE2A18" w14:paraId="51DFD744" w14:textId="77777777">
        <w:tc>
          <w:tcPr>
            <w:cnfStyle w:val="001000000000" w:firstRow="0" w:lastRow="0" w:firstColumn="1" w:lastColumn="0" w:oddVBand="0" w:evenVBand="0" w:oddHBand="0" w:evenHBand="0" w:firstRowFirstColumn="0" w:firstRowLastColumn="0" w:lastRowFirstColumn="0" w:lastRowLastColumn="0"/>
            <w:tcW w:w="1129" w:type="dxa"/>
          </w:tcPr>
          <w:p w:rsidRPr="00E1632E" w:rsidR="000D5326" w:rsidP="00BE2A18" w:rsidRDefault="000D5326" w14:paraId="322C2256" w14:textId="77777777">
            <w:pPr>
              <w:keepNext/>
              <w:rPr>
                <w:rFonts w:asciiTheme="minorHAnsi" w:hAnsiTheme="minorHAnsi" w:cstheme="minorHAnsi"/>
                <w:i/>
                <w:iCs/>
                <w:szCs w:val="16"/>
              </w:rPr>
            </w:pPr>
            <w:r w:rsidRPr="00E1632E">
              <w:rPr>
                <w:rFonts w:asciiTheme="minorHAnsi" w:hAnsiTheme="minorHAnsi" w:cstheme="minorHAnsi"/>
                <w:color w:val="000000"/>
                <w:szCs w:val="16"/>
              </w:rPr>
              <w:t>2020</w:t>
            </w:r>
          </w:p>
        </w:tc>
        <w:tc>
          <w:tcPr>
            <w:tcW w:w="1418" w:type="dxa"/>
          </w:tcPr>
          <w:p w:rsidRPr="00E1632E" w:rsidR="000D5326" w:rsidP="00BE2A18" w:rsidRDefault="000D5326" w14:paraId="622E1309" w14:textId="77777777">
            <w:pPr>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-735</w:t>
            </w:r>
          </w:p>
        </w:tc>
        <w:tc>
          <w:tcPr>
            <w:tcW w:w="1559" w:type="dxa"/>
            <w:vAlign w:val="bottom"/>
          </w:tcPr>
          <w:p w:rsidRPr="00E1632E" w:rsidR="000D5326" w:rsidP="00BE2A18" w:rsidRDefault="000D5326" w14:paraId="1C9D1949" w14:textId="77777777">
            <w:pPr>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229.400</w:t>
            </w:r>
          </w:p>
        </w:tc>
      </w:tr>
      <w:tr w:rsidR="000D5326" w:rsidTr="00BE2A18" w14:paraId="789CD0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Pr="00E1632E" w:rsidR="000D5326" w:rsidP="00BE2A18" w:rsidRDefault="000D5326" w14:paraId="13522C10" w14:textId="77777777">
            <w:pPr>
              <w:keepNext/>
              <w:rPr>
                <w:rFonts w:asciiTheme="minorHAnsi" w:hAnsiTheme="minorHAnsi" w:cstheme="minorHAnsi"/>
                <w:i/>
                <w:iCs/>
                <w:szCs w:val="16"/>
              </w:rPr>
            </w:pPr>
            <w:r w:rsidRPr="00E1632E">
              <w:rPr>
                <w:rFonts w:asciiTheme="minorHAnsi" w:hAnsiTheme="minorHAnsi" w:cstheme="minorHAnsi"/>
                <w:color w:val="000000"/>
                <w:szCs w:val="16"/>
              </w:rPr>
              <w:t>2021</w:t>
            </w:r>
          </w:p>
        </w:tc>
        <w:tc>
          <w:tcPr>
            <w:tcW w:w="1418" w:type="dxa"/>
          </w:tcPr>
          <w:p w:rsidRPr="00E1632E" w:rsidR="000D5326" w:rsidP="00BE2A18" w:rsidRDefault="000D5326" w14:paraId="52712BEA" w14:textId="77777777">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-489</w:t>
            </w:r>
          </w:p>
        </w:tc>
        <w:tc>
          <w:tcPr>
            <w:tcW w:w="1559" w:type="dxa"/>
            <w:vAlign w:val="bottom"/>
          </w:tcPr>
          <w:p w:rsidRPr="00E1632E" w:rsidR="000D5326" w:rsidP="00BE2A18" w:rsidRDefault="000D5326" w14:paraId="5AAEA27F" w14:textId="77777777">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195.000</w:t>
            </w:r>
          </w:p>
        </w:tc>
      </w:tr>
      <w:tr w:rsidR="000D5326" w:rsidTr="00BE2A18" w14:paraId="30A3BF0D" w14:textId="77777777">
        <w:tc>
          <w:tcPr>
            <w:cnfStyle w:val="001000000000" w:firstRow="0" w:lastRow="0" w:firstColumn="1" w:lastColumn="0" w:oddVBand="0" w:evenVBand="0" w:oddHBand="0" w:evenHBand="0" w:firstRowFirstColumn="0" w:firstRowLastColumn="0" w:lastRowFirstColumn="0" w:lastRowLastColumn="0"/>
            <w:tcW w:w="1129" w:type="dxa"/>
          </w:tcPr>
          <w:p w:rsidRPr="00E1632E" w:rsidR="000D5326" w:rsidP="00BE2A18" w:rsidRDefault="000D5326" w14:paraId="33091348" w14:textId="77777777">
            <w:pPr>
              <w:keepNext/>
              <w:rPr>
                <w:rFonts w:asciiTheme="minorHAnsi" w:hAnsiTheme="minorHAnsi" w:cstheme="minorHAnsi"/>
                <w:i/>
                <w:iCs/>
                <w:szCs w:val="16"/>
              </w:rPr>
            </w:pPr>
            <w:r w:rsidRPr="00E1632E">
              <w:rPr>
                <w:rFonts w:asciiTheme="minorHAnsi" w:hAnsiTheme="minorHAnsi" w:cstheme="minorHAnsi"/>
                <w:color w:val="000000"/>
                <w:szCs w:val="16"/>
              </w:rPr>
              <w:t>2022</w:t>
            </w:r>
          </w:p>
        </w:tc>
        <w:tc>
          <w:tcPr>
            <w:tcW w:w="1418" w:type="dxa"/>
          </w:tcPr>
          <w:p w:rsidRPr="00E1632E" w:rsidR="000D5326" w:rsidP="00BE2A18" w:rsidRDefault="000D5326" w14:paraId="7E3587B2" w14:textId="77777777">
            <w:pPr>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-1.485</w:t>
            </w:r>
          </w:p>
        </w:tc>
        <w:tc>
          <w:tcPr>
            <w:tcW w:w="1559" w:type="dxa"/>
            <w:vAlign w:val="bottom"/>
          </w:tcPr>
          <w:p w:rsidRPr="00E1632E" w:rsidR="000D5326" w:rsidP="00BE2A18" w:rsidRDefault="000D5326" w14:paraId="66A3AFFF" w14:textId="77777777">
            <w:pPr>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400.800</w:t>
            </w:r>
          </w:p>
        </w:tc>
      </w:tr>
      <w:tr w:rsidR="000D5326" w:rsidTr="00BE2A18" w14:paraId="502873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Pr="00E1632E" w:rsidR="000D5326" w:rsidP="00BE2A18" w:rsidRDefault="000D5326" w14:paraId="14E52167" w14:textId="77777777">
            <w:pPr>
              <w:keepNext/>
              <w:rPr>
                <w:rFonts w:asciiTheme="minorHAnsi" w:hAnsiTheme="minorHAnsi" w:cstheme="minorHAnsi"/>
                <w:i/>
                <w:iCs/>
                <w:szCs w:val="16"/>
              </w:rPr>
            </w:pPr>
            <w:r w:rsidRPr="00E1632E">
              <w:rPr>
                <w:rFonts w:asciiTheme="minorHAnsi" w:hAnsiTheme="minorHAnsi" w:cstheme="minorHAnsi"/>
                <w:color w:val="000000"/>
                <w:szCs w:val="16"/>
              </w:rPr>
              <w:t>2023</w:t>
            </w:r>
          </w:p>
        </w:tc>
        <w:tc>
          <w:tcPr>
            <w:tcW w:w="1418" w:type="dxa"/>
          </w:tcPr>
          <w:p w:rsidRPr="00E1632E" w:rsidR="000D5326" w:rsidP="00BE2A18" w:rsidRDefault="000D5326" w14:paraId="353F316E" w14:textId="77777777">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-1.483</w:t>
            </w:r>
          </w:p>
        </w:tc>
        <w:tc>
          <w:tcPr>
            <w:tcW w:w="1559" w:type="dxa"/>
            <w:vAlign w:val="bottom"/>
          </w:tcPr>
          <w:p w:rsidRPr="00E1632E" w:rsidR="000D5326" w:rsidP="00BE2A18" w:rsidRDefault="000D5326" w14:paraId="5458079A" w14:textId="77777777">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632E">
              <w:rPr>
                <w:rFonts w:asciiTheme="minorHAnsi" w:hAnsiTheme="minorHAnsi" w:cstheme="minorHAnsi"/>
                <w:color w:val="000000"/>
              </w:rPr>
              <w:t>317.200</w:t>
            </w:r>
          </w:p>
        </w:tc>
      </w:tr>
      <w:tr w:rsidR="000D5326" w:rsidTr="00BE2A18" w14:paraId="37D7D9C1" w14:textId="77777777">
        <w:tc>
          <w:tcPr>
            <w:cnfStyle w:val="001000000000" w:firstRow="0" w:lastRow="0" w:firstColumn="1" w:lastColumn="0" w:oddVBand="0" w:evenVBand="0" w:oddHBand="0" w:evenHBand="0" w:firstRowFirstColumn="0" w:firstRowLastColumn="0" w:lastRowFirstColumn="0" w:lastRowLastColumn="0"/>
            <w:tcW w:w="1129" w:type="dxa"/>
          </w:tcPr>
          <w:p w:rsidRPr="00E1632E" w:rsidR="000D5326" w:rsidP="00BE2A18" w:rsidRDefault="000D5326" w14:paraId="3AD41285" w14:textId="77777777">
            <w:pPr>
              <w:keepNext/>
              <w:rPr>
                <w:rFonts w:asciiTheme="minorHAnsi" w:hAnsiTheme="minorHAnsi" w:cstheme="minorHAnsi"/>
                <w:szCs w:val="16"/>
              </w:rPr>
            </w:pPr>
            <w:r w:rsidRPr="00E1632E">
              <w:rPr>
                <w:rFonts w:asciiTheme="minorHAnsi" w:hAnsiTheme="minorHAnsi" w:cstheme="minorHAnsi"/>
                <w:color w:val="000000"/>
                <w:szCs w:val="16"/>
              </w:rPr>
              <w:t>2024</w:t>
            </w:r>
          </w:p>
        </w:tc>
        <w:tc>
          <w:tcPr>
            <w:tcW w:w="1418" w:type="dxa"/>
          </w:tcPr>
          <w:p w:rsidRPr="00E1632E" w:rsidR="000D5326" w:rsidP="00BE2A18" w:rsidRDefault="000D5326" w14:paraId="74D757FF" w14:textId="77777777">
            <w:pPr>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-2.136</w:t>
            </w:r>
          </w:p>
        </w:tc>
        <w:tc>
          <w:tcPr>
            <w:tcW w:w="1559" w:type="dxa"/>
            <w:vAlign w:val="bottom"/>
          </w:tcPr>
          <w:p w:rsidRPr="00E1632E" w:rsidR="000D5326" w:rsidP="00BE2A18" w:rsidRDefault="000D5326" w14:paraId="0457D01F" w14:textId="77777777">
            <w:pPr>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377.900</w:t>
            </w:r>
          </w:p>
        </w:tc>
      </w:tr>
      <w:tr w:rsidR="000D5326" w:rsidTr="00BE2A18" w14:paraId="16B7FA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Pr="00E1632E" w:rsidR="000D5326" w:rsidP="00BE2A18" w:rsidRDefault="000D5326" w14:paraId="6EC98632" w14:textId="77777777">
            <w:pPr>
              <w:keepNext/>
              <w:rPr>
                <w:rFonts w:asciiTheme="minorHAnsi" w:hAnsiTheme="minorHAnsi" w:cstheme="minorHAnsi"/>
                <w:szCs w:val="16"/>
              </w:rPr>
            </w:pPr>
            <w:r w:rsidRPr="00E1632E">
              <w:rPr>
                <w:rFonts w:asciiTheme="minorHAnsi" w:hAnsiTheme="minorHAnsi" w:cstheme="minorHAnsi"/>
                <w:color w:val="000000"/>
                <w:szCs w:val="16"/>
              </w:rPr>
              <w:t>2025</w:t>
            </w:r>
          </w:p>
        </w:tc>
        <w:tc>
          <w:tcPr>
            <w:tcW w:w="1418" w:type="dxa"/>
          </w:tcPr>
          <w:p w:rsidRPr="00E1632E" w:rsidR="000D5326" w:rsidP="00BE2A18" w:rsidRDefault="000D5326" w14:paraId="442E1823" w14:textId="77777777">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-1.570</w:t>
            </w:r>
          </w:p>
        </w:tc>
        <w:tc>
          <w:tcPr>
            <w:tcW w:w="1559" w:type="dxa"/>
            <w:vAlign w:val="bottom"/>
          </w:tcPr>
          <w:p w:rsidRPr="00E1632E" w:rsidR="000D5326" w:rsidP="00BE2A18" w:rsidRDefault="000D5326" w14:paraId="3760C6D0" w14:textId="77777777">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361.200</w:t>
            </w:r>
          </w:p>
        </w:tc>
      </w:tr>
      <w:tr w:rsidR="000D5326" w:rsidTr="00BE2A18" w14:paraId="45BB56B4" w14:textId="77777777">
        <w:tc>
          <w:tcPr>
            <w:cnfStyle w:val="001000000000" w:firstRow="0" w:lastRow="0" w:firstColumn="1" w:lastColumn="0" w:oddVBand="0" w:evenVBand="0" w:oddHBand="0" w:evenHBand="0" w:firstRowFirstColumn="0" w:firstRowLastColumn="0" w:lastRowFirstColumn="0" w:lastRowLastColumn="0"/>
            <w:tcW w:w="1129" w:type="dxa"/>
          </w:tcPr>
          <w:p w:rsidRPr="00E1632E" w:rsidR="000D5326" w:rsidP="00BE2A18" w:rsidRDefault="000D5326" w14:paraId="2B015C95" w14:textId="77777777">
            <w:pPr>
              <w:keepNext/>
              <w:rPr>
                <w:rFonts w:asciiTheme="minorHAnsi" w:hAnsiTheme="minorHAnsi" w:cstheme="minorHAnsi"/>
                <w:szCs w:val="16"/>
              </w:rPr>
            </w:pPr>
            <w:r w:rsidRPr="00E1632E">
              <w:rPr>
                <w:rFonts w:asciiTheme="minorHAnsi" w:hAnsiTheme="minorHAnsi" w:cstheme="minorHAnsi"/>
                <w:color w:val="000000"/>
                <w:szCs w:val="16"/>
              </w:rPr>
              <w:t>2026</w:t>
            </w:r>
          </w:p>
        </w:tc>
        <w:tc>
          <w:tcPr>
            <w:tcW w:w="1418" w:type="dxa"/>
          </w:tcPr>
          <w:p w:rsidRPr="00E1632E" w:rsidR="000D5326" w:rsidP="00BE2A18" w:rsidRDefault="000D5326" w14:paraId="6E498403" w14:textId="77777777">
            <w:pPr>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-1.999</w:t>
            </w:r>
          </w:p>
        </w:tc>
        <w:tc>
          <w:tcPr>
            <w:tcW w:w="1559" w:type="dxa"/>
            <w:vAlign w:val="bottom"/>
          </w:tcPr>
          <w:p w:rsidRPr="00E1632E" w:rsidR="000D5326" w:rsidP="00BE2A18" w:rsidRDefault="000D5326" w14:paraId="155A56A9" w14:textId="77777777">
            <w:pPr>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427.900</w:t>
            </w:r>
          </w:p>
        </w:tc>
      </w:tr>
      <w:tr w:rsidR="000D5326" w:rsidTr="00BE2A18" w14:paraId="03D57B95" w14:textId="77777777">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129" w:type="dxa"/>
          </w:tcPr>
          <w:p w:rsidRPr="00E1632E" w:rsidR="000D5326" w:rsidP="00BE2A18" w:rsidRDefault="000D5326" w14:paraId="3EFA11E8" w14:textId="77777777">
            <w:pPr>
              <w:keepNext/>
              <w:rPr>
                <w:rFonts w:asciiTheme="minorHAnsi" w:hAnsiTheme="minorHAnsi" w:cstheme="minorHAnsi"/>
                <w:color w:val="000000"/>
                <w:szCs w:val="16"/>
              </w:rPr>
            </w:pPr>
            <w:r w:rsidRPr="00E1632E">
              <w:rPr>
                <w:rFonts w:asciiTheme="minorHAnsi" w:hAnsiTheme="minorHAnsi" w:cstheme="minorHAnsi"/>
                <w:color w:val="000000"/>
                <w:szCs w:val="16"/>
              </w:rPr>
              <w:t>2027</w:t>
            </w:r>
          </w:p>
        </w:tc>
        <w:tc>
          <w:tcPr>
            <w:tcW w:w="1418" w:type="dxa"/>
          </w:tcPr>
          <w:p w:rsidRPr="00E1632E" w:rsidR="000D5326" w:rsidP="00BE2A18" w:rsidRDefault="000D5326" w14:paraId="1A8DB4F2" w14:textId="77777777">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-2.382*</w:t>
            </w:r>
          </w:p>
        </w:tc>
        <w:tc>
          <w:tcPr>
            <w:tcW w:w="1559" w:type="dxa"/>
          </w:tcPr>
          <w:p w:rsidRPr="00E1632E" w:rsidR="000D5326" w:rsidP="00BE2A18" w:rsidRDefault="000D5326" w14:paraId="49635C37" w14:textId="7777777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E1632E">
              <w:rPr>
                <w:rFonts w:asciiTheme="minorHAnsi" w:hAnsiTheme="minorHAnsi" w:cstheme="minorHAnsi"/>
                <w:color w:val="000000"/>
              </w:rPr>
              <w:t>429.100</w:t>
            </w:r>
          </w:p>
        </w:tc>
      </w:tr>
    </w:tbl>
    <w:p w:rsidR="000D5326" w:rsidP="000D5326" w:rsidRDefault="000D5326" w14:paraId="2FF2AF30" w14:textId="77777777">
      <w:pPr>
        <w:keepNext/>
      </w:pPr>
      <w:r>
        <w:t>* Inclusief derving van €363 miljoen vanwege het uitstel overbruggingsstelsel.</w:t>
      </w:r>
    </w:p>
    <w:p w:rsidR="000D5326" w:rsidP="000D5326" w:rsidRDefault="000D5326" w14:paraId="0C3796CA" w14:textId="77777777">
      <w:pPr>
        <w:rPr>
          <w:szCs w:val="18"/>
        </w:rPr>
      </w:pPr>
    </w:p>
    <w:p w:rsidR="000D5326" w:rsidP="000D5326" w:rsidRDefault="000D5326" w14:paraId="4BA06866" w14:textId="77777777">
      <w:pPr>
        <w:keepNext/>
      </w:pPr>
      <w:r>
        <w:rPr>
          <w:b/>
          <w:bCs/>
        </w:rPr>
        <w:t>Toelichting bij de raming</w:t>
      </w:r>
      <w:r>
        <w:br/>
        <w:t xml:space="preserve">Het budgettaire effect is het verschil tussen de belasting die betaald is (of voor toekomstige jaren verwacht wordt in het </w:t>
      </w:r>
      <w:proofErr w:type="spellStart"/>
      <w:r>
        <w:t>basispad</w:t>
      </w:r>
      <w:proofErr w:type="spellEnd"/>
      <w:r>
        <w:t xml:space="preserve"> zonder tegenbewijs) en het geraamde bedrag dat overblijft na indiening van tegenbewijs. Het huidige overbruggingsstelsel is tijdelijk ingeboekt tot 2026, vandaar dat voor 2027 de derving wordt vermeerderd met de derving vanwege het langer van kracht zijn van dit overbruggingsstelsel (€ 363 miljoen) als gevolg van het uitstel van de Wet werkelijk rendement box 3 naar 2028.</w:t>
      </w:r>
    </w:p>
    <w:p w:rsidR="000D5326" w:rsidP="000D5326" w:rsidRDefault="000D5326" w14:paraId="63D1E08D" w14:textId="77777777">
      <w:pPr>
        <w:rPr>
          <w:szCs w:val="18"/>
        </w:rPr>
      </w:pPr>
    </w:p>
    <w:p w:rsidR="000D5326" w:rsidP="000D5326" w:rsidRDefault="000D5326" w14:paraId="05A076B7" w14:textId="77777777">
      <w:pPr>
        <w:keepNext/>
      </w:pPr>
      <w:r w:rsidRPr="000232A9">
        <w:t xml:space="preserve">De </w:t>
      </w:r>
      <w:r>
        <w:t xml:space="preserve">budgettaire </w:t>
      </w:r>
      <w:r w:rsidRPr="000232A9">
        <w:t>derving ligt voor de jaren 202</w:t>
      </w:r>
      <w:r>
        <w:t>3</w:t>
      </w:r>
      <w:r w:rsidRPr="000232A9">
        <w:t xml:space="preserve"> t/m 2027 tussen de 27% en 36% van de </w:t>
      </w:r>
      <w:r>
        <w:t>geraamde</w:t>
      </w:r>
      <w:r w:rsidRPr="000232A9">
        <w:t xml:space="preserve"> opbrengst </w:t>
      </w:r>
      <w:r>
        <w:t xml:space="preserve">van </w:t>
      </w:r>
      <w:r w:rsidRPr="000232A9">
        <w:t xml:space="preserve">box 3 </w:t>
      </w:r>
      <w:r>
        <w:t xml:space="preserve">volgens het </w:t>
      </w:r>
      <w:r w:rsidRPr="000232A9">
        <w:t xml:space="preserve">overbruggingsstelsel zonder tegenbewijs. </w:t>
      </w:r>
      <w:r>
        <w:t xml:space="preserve">De derving wordt veroorzaakt door verschillende mechanismen. Ten eerste zijn de box 3-inkomsten in het </w:t>
      </w:r>
      <w:proofErr w:type="spellStart"/>
      <w:r>
        <w:t>basispad</w:t>
      </w:r>
      <w:proofErr w:type="spellEnd"/>
      <w:r>
        <w:t xml:space="preserve"> over deze periode flink gestegen; deze</w:t>
      </w:r>
      <w:r w:rsidRPr="000232A9">
        <w:t xml:space="preserve"> </w:t>
      </w:r>
      <w:r>
        <w:t xml:space="preserve">nemen toe tot </w:t>
      </w:r>
      <w:r w:rsidRPr="000232A9">
        <w:t>€</w:t>
      </w:r>
      <w:r>
        <w:t> </w:t>
      </w:r>
      <w:r w:rsidRPr="000232A9">
        <w:t>8,2 miljard in 2027. D</w:t>
      </w:r>
      <w:r>
        <w:t>it wordt voornamelijk veroorzaakt door</w:t>
      </w:r>
      <w:r w:rsidRPr="000232A9">
        <w:t xml:space="preserve"> een </w:t>
      </w:r>
      <w:r>
        <w:t xml:space="preserve">toename van het vermogen en een </w:t>
      </w:r>
      <w:r w:rsidRPr="000232A9">
        <w:t xml:space="preserve">stijging van </w:t>
      </w:r>
      <w:r>
        <w:t xml:space="preserve">het tarief en van </w:t>
      </w:r>
      <w:r w:rsidRPr="000232A9">
        <w:t>de forfaits</w:t>
      </w:r>
      <w:r>
        <w:t>.</w:t>
      </w:r>
    </w:p>
    <w:p w:rsidR="000D5326" w:rsidP="000D5326" w:rsidRDefault="000D5326" w14:paraId="77F6F6C3" w14:textId="77777777">
      <w:pPr>
        <w:keepNext/>
      </w:pPr>
    </w:p>
    <w:p w:rsidRPr="000232A9" w:rsidR="000D5326" w:rsidP="000D5326" w:rsidRDefault="000D5326" w14:paraId="58657E17" w14:textId="77777777">
      <w:pPr>
        <w:keepNext/>
      </w:pPr>
      <w:r>
        <w:t xml:space="preserve">Ten tweede is er veel spreiding in de rendementen zowel over de jaren als over belastingplichtigen. In sommige jaren is duidelijk dat </w:t>
      </w:r>
      <w:r w:rsidRPr="000232A9">
        <w:t xml:space="preserve">gemiddelde rendementen aanzienlijk lager </w:t>
      </w:r>
      <w:r>
        <w:t xml:space="preserve">waren </w:t>
      </w:r>
      <w:r w:rsidRPr="000232A9">
        <w:t xml:space="preserve">dan het forfaitaire rendement. Zo was het gemiddelde rendement op aandelen en obligaties in 2022 negatief en </w:t>
      </w:r>
      <w:r>
        <w:t>lag de gemiddelde waardeontwikkeling van woningen in 2022 en</w:t>
      </w:r>
      <w:r w:rsidRPr="000232A9">
        <w:t xml:space="preserve"> 2023</w:t>
      </w:r>
      <w:r>
        <w:t xml:space="preserve"> ruim</w:t>
      </w:r>
      <w:r w:rsidRPr="000232A9">
        <w:t xml:space="preserve"> onder het forfaitaire </w:t>
      </w:r>
      <w:r w:rsidRPr="006F5959">
        <w:t>rendement (dit werkt</w:t>
      </w:r>
      <w:r>
        <w:t xml:space="preserve"> overigens</w:t>
      </w:r>
      <w:r w:rsidRPr="006F5959">
        <w:t xml:space="preserve"> </w:t>
      </w:r>
      <w:r w:rsidRPr="006F5959">
        <w:lastRenderedPageBreak/>
        <w:t xml:space="preserve">door in </w:t>
      </w:r>
      <w:r>
        <w:t>het werkelijke rendement</w:t>
      </w:r>
      <w:r w:rsidRPr="006F5959">
        <w:t xml:space="preserve"> van </w:t>
      </w:r>
      <w:r>
        <w:t xml:space="preserve">2023 en </w:t>
      </w:r>
      <w:r w:rsidRPr="00AA051C">
        <w:t>2024</w:t>
      </w:r>
      <w:r w:rsidRPr="002A0436">
        <w:t>, omdat peildata van de WOZ</w:t>
      </w:r>
      <w:r>
        <w:t>-waarde</w:t>
      </w:r>
      <w:r w:rsidRPr="002A0436">
        <w:t xml:space="preserve"> een jaar achter lopen</w:t>
      </w:r>
      <w:r w:rsidRPr="006F5959">
        <w:t>)</w:t>
      </w:r>
      <w:r w:rsidRPr="000232A9">
        <w:t xml:space="preserve">. </w:t>
      </w:r>
      <w:r>
        <w:t>Daarnaast</w:t>
      </w:r>
      <w:r w:rsidRPr="000232A9">
        <w:t xml:space="preserve"> kunnen de verschillen in rendement tussen belastingplichtigen groot zijn, ook in jaren waarin de meeste beurskoersen stegen. Zo stegen aandelen Facebook in 2023 met 194%, maar zagen beleggers in farmaciebedrijf Pfizer hun aandelen met ruim 40% in waarde dalen. Ook behoudende beleggers die met name obligaties bezaten zagen de waarde ervan afnemen, omdat de rente in 2023 steeg. Daarbij kan de waardestijging van woningen sterk verschillen tussen type woning en regio. Zo stegen de woningprijzen in 2020 volgens het CBS met 10,4% in Groningen, maar slechts met 4,7% in Amsterdam. Deze grote spreiding in rendement tussen verschillende belastingplichtigen heeft tot gevolg dat er jaarlijks naar verwachting ook veel belastingplichtigen zijn met een rendement dat lager is dan het forfaitaire rendement. Hierdoor valt de budgettaire derving hoog uit. Voor de toekomstige jaren zijn de rendementen natuurlijk nog niet bekend. Bij een goed beursjaar en een sterke waardeontwikkeling van vastgoed kan de derving lager uitvallen en bij een slecht beursjaar en dalende huizenprijzen juist hoger.</w:t>
      </w:r>
    </w:p>
    <w:p w:rsidRPr="002A0436" w:rsidR="000D5326" w:rsidP="000D5326" w:rsidRDefault="000D5326" w14:paraId="48A31DE2" w14:textId="77777777">
      <w:pPr>
        <w:rPr>
          <w:b/>
          <w:bCs/>
          <w:szCs w:val="18"/>
        </w:rPr>
      </w:pPr>
      <w:r>
        <w:rPr>
          <w:szCs w:val="18"/>
        </w:rPr>
        <w:br/>
      </w:r>
      <w:r>
        <w:rPr>
          <w:b/>
          <w:bCs/>
          <w:szCs w:val="18"/>
        </w:rPr>
        <w:t>Bronnen</w:t>
      </w:r>
    </w:p>
    <w:p w:rsidR="000D5326" w:rsidP="000D5326" w:rsidRDefault="000D5326" w14:paraId="34BE45A9" w14:textId="77777777">
      <w:pPr>
        <w:rPr>
          <w:szCs w:val="18"/>
        </w:rPr>
      </w:pPr>
      <w:r w:rsidRPr="000C076E">
        <w:rPr>
          <w:szCs w:val="18"/>
        </w:rPr>
        <w:t>De raming is gebaseerd op aangiftegegevens van de Belastingdienst uit de belastingjaren 2017-202</w:t>
      </w:r>
      <w:r>
        <w:rPr>
          <w:szCs w:val="18"/>
        </w:rPr>
        <w:t>1</w:t>
      </w:r>
      <w:r w:rsidRPr="000C076E">
        <w:rPr>
          <w:szCs w:val="18"/>
        </w:rPr>
        <w:t>, aangevuld met onder andere WOZ-gegevens van onroerende zaken</w:t>
      </w:r>
      <w:r>
        <w:rPr>
          <w:szCs w:val="18"/>
        </w:rPr>
        <w:t>. Daarnaast zijn</w:t>
      </w:r>
      <w:r w:rsidRPr="000C076E">
        <w:rPr>
          <w:szCs w:val="18"/>
        </w:rPr>
        <w:t xml:space="preserve"> macrocijfers over rendementen van</w:t>
      </w:r>
      <w:r>
        <w:rPr>
          <w:szCs w:val="18"/>
        </w:rPr>
        <w:t xml:space="preserve"> onder andere</w:t>
      </w:r>
      <w:r w:rsidRPr="000C076E">
        <w:rPr>
          <w:szCs w:val="18"/>
        </w:rPr>
        <w:t xml:space="preserve"> de Commissie Parameters</w:t>
      </w:r>
      <w:r>
        <w:rPr>
          <w:szCs w:val="18"/>
        </w:rPr>
        <w:t xml:space="preserve"> en</w:t>
      </w:r>
      <w:r w:rsidRPr="000C076E">
        <w:rPr>
          <w:szCs w:val="18"/>
        </w:rPr>
        <w:t xml:space="preserve"> het CPB </w:t>
      </w:r>
      <w:r>
        <w:rPr>
          <w:szCs w:val="18"/>
        </w:rPr>
        <w:t>gebruikt</w:t>
      </w:r>
      <w:r w:rsidRPr="000C076E">
        <w:rPr>
          <w:szCs w:val="18"/>
        </w:rPr>
        <w:t>.</w:t>
      </w:r>
      <w:r>
        <w:rPr>
          <w:szCs w:val="18"/>
        </w:rPr>
        <w:t xml:space="preserve"> Ook hebben enkele banken op vertrouwelijke </w:t>
      </w:r>
      <w:proofErr w:type="gramStart"/>
      <w:r>
        <w:rPr>
          <w:szCs w:val="18"/>
        </w:rPr>
        <w:t>basis gegevens</w:t>
      </w:r>
      <w:proofErr w:type="gramEnd"/>
      <w:r>
        <w:rPr>
          <w:szCs w:val="18"/>
        </w:rPr>
        <w:t xml:space="preserve"> over het gemiddelde rendement van effectenportefeuilles en de spreiding daarin gedeeld.</w:t>
      </w:r>
      <w:r w:rsidRPr="000C076E">
        <w:rPr>
          <w:szCs w:val="18"/>
        </w:rPr>
        <w:t xml:space="preserve"> </w:t>
      </w:r>
    </w:p>
    <w:p w:rsidRPr="002A0436" w:rsidR="000D5326" w:rsidP="000D5326" w:rsidRDefault="000D5326" w14:paraId="02834714" w14:textId="77777777">
      <w:pPr>
        <w:rPr>
          <w:b/>
          <w:bCs/>
          <w:szCs w:val="18"/>
        </w:rPr>
      </w:pPr>
      <w:r>
        <w:rPr>
          <w:szCs w:val="18"/>
        </w:rPr>
        <w:br/>
      </w:r>
      <w:r>
        <w:rPr>
          <w:b/>
          <w:bCs/>
          <w:szCs w:val="18"/>
        </w:rPr>
        <w:t>Ramingsmethode</w:t>
      </w:r>
    </w:p>
    <w:p w:rsidR="000D5326" w:rsidP="000D5326" w:rsidRDefault="000D5326" w14:paraId="014A8636" w14:textId="77777777">
      <w:pPr>
        <w:rPr>
          <w:szCs w:val="18"/>
        </w:rPr>
      </w:pPr>
      <w:r w:rsidRPr="007A2C58">
        <w:rPr>
          <w:bCs/>
          <w:szCs w:val="18"/>
        </w:rPr>
        <w:t xml:space="preserve">Voor alle belastingplichtigen </w:t>
      </w:r>
      <w:r>
        <w:rPr>
          <w:bCs/>
          <w:szCs w:val="18"/>
        </w:rPr>
        <w:t>is</w:t>
      </w:r>
      <w:r w:rsidRPr="007A2C58">
        <w:rPr>
          <w:bCs/>
          <w:szCs w:val="18"/>
        </w:rPr>
        <w:t xml:space="preserve"> per jaar een rendement gesimuleerd op basis van een </w:t>
      </w:r>
      <w:r>
        <w:rPr>
          <w:bCs/>
          <w:szCs w:val="18"/>
        </w:rPr>
        <w:t>geraamd</w:t>
      </w:r>
      <w:r w:rsidRPr="007A2C58">
        <w:rPr>
          <w:bCs/>
          <w:szCs w:val="18"/>
        </w:rPr>
        <w:t xml:space="preserve"> gemiddelde voor dat jaar en </w:t>
      </w:r>
      <w:r>
        <w:rPr>
          <w:bCs/>
          <w:szCs w:val="18"/>
        </w:rPr>
        <w:t>verwachte</w:t>
      </w:r>
      <w:r w:rsidRPr="007A2C58">
        <w:rPr>
          <w:bCs/>
          <w:szCs w:val="18"/>
        </w:rPr>
        <w:t xml:space="preserve"> spreiding. Vervolgens </w:t>
      </w:r>
      <w:r>
        <w:rPr>
          <w:bCs/>
          <w:szCs w:val="18"/>
        </w:rPr>
        <w:t>wordt</w:t>
      </w:r>
      <w:r w:rsidRPr="007A2C58">
        <w:rPr>
          <w:bCs/>
          <w:szCs w:val="18"/>
        </w:rPr>
        <w:t xml:space="preserve"> per belastingplichtige </w:t>
      </w:r>
      <w:r>
        <w:rPr>
          <w:bCs/>
          <w:szCs w:val="18"/>
        </w:rPr>
        <w:t xml:space="preserve">berekend </w:t>
      </w:r>
      <w:r w:rsidRPr="007A2C58">
        <w:rPr>
          <w:bCs/>
          <w:szCs w:val="18"/>
        </w:rPr>
        <w:t xml:space="preserve">of het gesimuleerde rendement lager is dan het forfaitaire rendement. In dat geval kan de belastingplichtige </w:t>
      </w:r>
      <w:r>
        <w:rPr>
          <w:bCs/>
          <w:szCs w:val="18"/>
        </w:rPr>
        <w:t xml:space="preserve">in het model </w:t>
      </w:r>
      <w:r w:rsidRPr="007A2C58">
        <w:rPr>
          <w:bCs/>
          <w:szCs w:val="18"/>
        </w:rPr>
        <w:t>profijt hebben van het indienen van tegenbewijs.</w:t>
      </w:r>
      <w:r w:rsidRPr="000179DA">
        <w:rPr>
          <w:szCs w:val="18"/>
        </w:rPr>
        <w:t xml:space="preserve"> </w:t>
      </w:r>
      <w:r>
        <w:rPr>
          <w:szCs w:val="18"/>
        </w:rPr>
        <w:t>Ten slotte is de vraag: welke belastingplichtigen dienen daadwerkelijk tegenbewijs in? Om dit te ramen is het noodzakelijk om enkele aannames te maken. Verondersteld wordt dat b</w:t>
      </w:r>
      <w:r w:rsidRPr="00AC3C18">
        <w:rPr>
          <w:szCs w:val="18"/>
        </w:rPr>
        <w:t xml:space="preserve">elastingplichtigen met een belastingconsulent </w:t>
      </w:r>
      <w:r>
        <w:rPr>
          <w:szCs w:val="18"/>
        </w:rPr>
        <w:t>en belastingplichtigen met</w:t>
      </w:r>
      <w:r w:rsidRPr="00AC3C18">
        <w:rPr>
          <w:szCs w:val="18"/>
        </w:rPr>
        <w:t xml:space="preserve"> een effectenportefeuille </w:t>
      </w:r>
      <w:r>
        <w:rPr>
          <w:szCs w:val="18"/>
        </w:rPr>
        <w:t>groter dan</w:t>
      </w:r>
      <w:r w:rsidRPr="00AC3C18">
        <w:rPr>
          <w:szCs w:val="18"/>
        </w:rPr>
        <w:t xml:space="preserve"> € 500.000 </w:t>
      </w:r>
      <w:r>
        <w:rPr>
          <w:szCs w:val="18"/>
        </w:rPr>
        <w:t>altijd tegenbewijs in</w:t>
      </w:r>
      <w:r w:rsidRPr="00AC3C18">
        <w:rPr>
          <w:szCs w:val="18"/>
        </w:rPr>
        <w:t>dienen indien dit gunstig is.</w:t>
      </w:r>
      <w:r>
        <w:rPr>
          <w:szCs w:val="18"/>
        </w:rPr>
        <w:t xml:space="preserve"> </w:t>
      </w:r>
      <w:r>
        <w:t>De belastingconsulent heeft een verplichting jegens de cliënt om dit te doen. Voor effectenportefeuilles groter dan € 500.000 geldt dat deze vaak belegd worden door een beleggingsadviseur en daarmee is de administratie vaak beter op orde. Vanwege de administratieve lasten die komen kijken bij het indienen van tegenbewijs, is de verwachting dat de overige belastingplichtigen niet allemaal tegenbewijs zullen indienen. In de raming is aangenomen dat 50% van hen tegenbewijs indient.</w:t>
      </w:r>
      <w:r>
        <w:rPr>
          <w:rStyle w:val="Voetnootmarkering"/>
        </w:rPr>
        <w:footnoteReference w:id="1"/>
      </w:r>
      <w:r>
        <w:t xml:space="preserve"> </w:t>
      </w:r>
      <w:r>
        <w:rPr>
          <w:bCs/>
          <w:szCs w:val="18"/>
        </w:rPr>
        <w:t>Voor 2017 en 2018 is daarnaast aangenomen dat iedereen die in aanmerking komt voor herstel tegenbewijs indient, omdat zij expliciet bezwaar hebben moeten maken tegen het eerder geboden herstel naar aanleiding van het kerstarrest.</w:t>
      </w:r>
    </w:p>
    <w:p w:rsidR="000D5326" w:rsidP="000D5326" w:rsidRDefault="000D5326" w14:paraId="230B8516" w14:textId="77777777">
      <w:pPr>
        <w:rPr>
          <w:szCs w:val="18"/>
        </w:rPr>
      </w:pPr>
    </w:p>
    <w:p w:rsidR="000D5326" w:rsidP="000D5326" w:rsidRDefault="000D5326" w14:paraId="0BFD61B3" w14:textId="77777777">
      <w:pPr>
        <w:rPr>
          <w:szCs w:val="18"/>
        </w:rPr>
      </w:pPr>
      <w:r>
        <w:rPr>
          <w:b/>
          <w:bCs/>
          <w:szCs w:val="18"/>
        </w:rPr>
        <w:t>Simulatie</w:t>
      </w:r>
    </w:p>
    <w:p w:rsidRPr="00CD2289" w:rsidR="000D5326" w:rsidP="000D5326" w:rsidRDefault="000D5326" w14:paraId="1299C604" w14:textId="77777777">
      <w:pPr>
        <w:rPr>
          <w:bCs/>
          <w:szCs w:val="18"/>
        </w:rPr>
      </w:pPr>
      <w:r>
        <w:rPr>
          <w:bCs/>
          <w:szCs w:val="18"/>
        </w:rPr>
        <w:t>De vermogens in box 3 zijn scheef verdeeld. Er is een kleine groep beleggers die een groot deel van het vermogen bezit. Een simulatiemodel is gevoelig voor dit soort uitschieters.</w:t>
      </w:r>
      <w:r w:rsidRPr="00034379">
        <w:t xml:space="preserve"> </w:t>
      </w:r>
      <w:r>
        <w:t>Dit wordt opgelost door belastingplichtigen met meer dan een miljoen aan bezittingen een aantal keer te “klonen”/kopiëren, afhankelijk van het vermogen. Vervolgens wordt aan deze personen voor alle macrosommen een gewicht meegegeven gelijk aan 1 gedeeld door het aantal kopieën. Dit levert een robuuste macroschatting op, die amper afhankelijk is van willekeur</w:t>
      </w:r>
      <w:r>
        <w:rPr>
          <w:bCs/>
          <w:szCs w:val="18"/>
        </w:rPr>
        <w:t>.</w:t>
      </w:r>
    </w:p>
    <w:p w:rsidR="000D5326" w:rsidP="000D5326" w:rsidRDefault="000D5326" w14:paraId="304E4934" w14:textId="77777777">
      <w:pPr>
        <w:rPr>
          <w:szCs w:val="18"/>
        </w:rPr>
      </w:pPr>
    </w:p>
    <w:p w:rsidRPr="00CD2289" w:rsidR="000D5326" w:rsidP="000D5326" w:rsidRDefault="000D5326" w14:paraId="465B257F" w14:textId="77777777">
      <w:pPr>
        <w:rPr>
          <w:bCs/>
          <w:szCs w:val="18"/>
        </w:rPr>
      </w:pPr>
      <w:r>
        <w:rPr>
          <w:b/>
          <w:szCs w:val="18"/>
        </w:rPr>
        <w:t>Rendementen</w:t>
      </w:r>
    </w:p>
    <w:p w:rsidR="000D5326" w:rsidP="000D5326" w:rsidRDefault="000D5326" w14:paraId="31BA53EA" w14:textId="77777777">
      <w:pPr>
        <w:rPr>
          <w:szCs w:val="18"/>
        </w:rPr>
      </w:pPr>
      <w:r>
        <w:rPr>
          <w:szCs w:val="18"/>
        </w:rPr>
        <w:t xml:space="preserve">De werkelijke vermogensverdeling van belastingplichtigen is bekend in de aangiftegegevens. Vervolgens wordt voor alle belastingplichtigen per vermogenscategorie een rendement gesimuleerd. De parameters die hiervoor gebruikt worden zijn gebaseerd op macrocijfers over rendementen </w:t>
      </w:r>
      <w:r w:rsidRPr="000C076E">
        <w:rPr>
          <w:szCs w:val="18"/>
        </w:rPr>
        <w:t>van de Commissie Parameters, het CPB en banken.</w:t>
      </w:r>
    </w:p>
    <w:p w:rsidR="000D5326" w:rsidP="000D5326" w:rsidRDefault="000D5326" w14:paraId="543200D6" w14:textId="77777777">
      <w:pPr>
        <w:rPr>
          <w:szCs w:val="18"/>
        </w:rPr>
      </w:pPr>
    </w:p>
    <w:p w:rsidR="000D5326" w:rsidP="000D5326" w:rsidRDefault="000D5326" w14:paraId="1D5700DD" w14:textId="77777777">
      <w:pPr>
        <w:rPr>
          <w:szCs w:val="18"/>
        </w:rPr>
      </w:pPr>
      <w:r>
        <w:rPr>
          <w:szCs w:val="18"/>
        </w:rPr>
        <w:lastRenderedPageBreak/>
        <w:t xml:space="preserve">Op basis van gegevens van DNB is geschat dat van bank- en spaartegoeden gemiddeld genomen de eerste € 9.000 op een bankrekening staat en dat daar geen rendement over behaald wordt. Voor het resterende bedrag wordt 18,8% toegerekend aan een depositorekening, met bijbehorende gemiddelde rendement. Over het bedrag dat dan nog overblijft wordt aangenomen dat het rendement gelijk is aan het gemiddelde rendement op een spaarrekening. </w:t>
      </w:r>
    </w:p>
    <w:p w:rsidR="000D5326" w:rsidP="000D5326" w:rsidRDefault="000D5326" w14:paraId="2DC8E013" w14:textId="77777777">
      <w:pPr>
        <w:rPr>
          <w:szCs w:val="18"/>
        </w:rPr>
      </w:pPr>
    </w:p>
    <w:p w:rsidR="000D5326" w:rsidP="000D5326" w:rsidRDefault="000D5326" w14:paraId="0E48FED0" w14:textId="77777777">
      <w:pPr>
        <w:rPr>
          <w:szCs w:val="18"/>
        </w:rPr>
      </w:pPr>
      <w:r>
        <w:rPr>
          <w:szCs w:val="18"/>
        </w:rPr>
        <w:t xml:space="preserve">Bij effecten wordt gedifferentieerd naar vier risicoprofielen met bijbehorende rendementen. Deze risicoprofielen zijn defensief, neutraal, offensief en zeer offensief. Ook wordt er door middel van willekeurige toewijzing een onderscheid gemaakt tussen zelfbeleggers en beleggen middels beheer of advies. De rendementen en spreiding per categorie zijn vervolgens bepaald aan de hand van gegevens van banken en cijfers van de Commissie Parameters. Volgens de Autoriteit Financiële Markten (AFM) behalen particuliere beleggers (in het bijzonder zelfbeleggers) gemiddeld lagere rendementen dan institutionele beleggers vanwege slechte timing en te veel transacties. Om deze reden is het gemiddelde rendement van zelfbeleggers in de raming verlaagd met een zogenaamde </w:t>
      </w:r>
      <w:proofErr w:type="spellStart"/>
      <w:r w:rsidRPr="002A0436">
        <w:rPr>
          <w:i/>
          <w:iCs/>
          <w:szCs w:val="18"/>
        </w:rPr>
        <w:t>behaviour</w:t>
      </w:r>
      <w:proofErr w:type="spellEnd"/>
      <w:r w:rsidRPr="002A0436">
        <w:rPr>
          <w:i/>
          <w:iCs/>
          <w:szCs w:val="18"/>
        </w:rPr>
        <w:t xml:space="preserve"> gap</w:t>
      </w:r>
      <w:r>
        <w:rPr>
          <w:szCs w:val="18"/>
        </w:rPr>
        <w:t xml:space="preserve"> van 1,5%-punt. </w:t>
      </w:r>
    </w:p>
    <w:p w:rsidR="000D5326" w:rsidP="000D5326" w:rsidRDefault="000D5326" w14:paraId="21643719" w14:textId="77777777">
      <w:pPr>
        <w:rPr>
          <w:szCs w:val="18"/>
        </w:rPr>
      </w:pPr>
    </w:p>
    <w:p w:rsidR="000D5326" w:rsidP="000D5326" w:rsidRDefault="000D5326" w14:paraId="1CA28324" w14:textId="77777777">
      <w:pPr>
        <w:rPr>
          <w:szCs w:val="18"/>
        </w:rPr>
      </w:pPr>
      <w:r>
        <w:t xml:space="preserve">Onroerend goed wordt opgesplitst naar verhuurde/niet-verhuurde onroerende zaken en naar woningen/niet-woningen, op basis van data uit belastingaangiften (WOZ, </w:t>
      </w:r>
      <w:proofErr w:type="spellStart"/>
      <w:r>
        <w:t>leegwaarderatio</w:t>
      </w:r>
      <w:proofErr w:type="spellEnd"/>
      <w:r>
        <w:t>)</w:t>
      </w:r>
      <w:r w:rsidRPr="00664079">
        <w:t>.</w:t>
      </w:r>
      <w:r>
        <w:t xml:space="preserve"> Voor woningen geldt dat d</w:t>
      </w:r>
      <w:r>
        <w:rPr>
          <w:szCs w:val="18"/>
        </w:rPr>
        <w:t xml:space="preserve">e Hoge Raad heeft geoordeeld dat voor de waardeontwikkeling uitgegaan mag worden van de WOZ-waarde met peildatum 1 januari van het voorgaande jaar. Deze waardeontwikkeling wordt gesimuleerd met de </w:t>
      </w:r>
      <w:r w:rsidRPr="00D807FB">
        <w:rPr>
          <w:szCs w:val="18"/>
        </w:rPr>
        <w:t>jaarlijkse gemiddelde prijsverandering van bestaande koopwoningen volgens het CBS</w:t>
      </w:r>
      <w:r>
        <w:rPr>
          <w:szCs w:val="18"/>
        </w:rPr>
        <w:t xml:space="preserve">. Voor 2026 en 2027 wordt gebruik gemaakt van openbare ramingen van de Rabobank. De waardeontwikkeling van niet-woningen is afgeleid uit historische aangifte gegevens gekoppeld met WOZ-gegevens. Voor de huuropbrengsten en (vanaf 2026) het voordeel uit eigen gebruik van woningen wordt aangesloten bij het </w:t>
      </w:r>
      <w:proofErr w:type="gramStart"/>
      <w:r>
        <w:rPr>
          <w:szCs w:val="18"/>
        </w:rPr>
        <w:t>SEO onderzoek</w:t>
      </w:r>
      <w:proofErr w:type="gramEnd"/>
      <w:r>
        <w:rPr>
          <w:szCs w:val="18"/>
        </w:rPr>
        <w:t xml:space="preserve"> naar de bruto economische huurwaarde. Voor niet-woningen wordt aangesloten bij een marktrapport van Stichting Vastgoeddata gecorrigeerd voor mutatieleegstand.</w:t>
      </w:r>
    </w:p>
    <w:p w:rsidR="000D5326" w:rsidP="000D5326" w:rsidRDefault="000D5326" w14:paraId="218DB361" w14:textId="77777777">
      <w:pPr>
        <w:rPr>
          <w:szCs w:val="18"/>
        </w:rPr>
      </w:pPr>
    </w:p>
    <w:p w:rsidR="000D5326" w:rsidP="000D5326" w:rsidRDefault="000D5326" w14:paraId="542745A9" w14:textId="77777777">
      <w:r>
        <w:rPr>
          <w:szCs w:val="18"/>
        </w:rPr>
        <w:t xml:space="preserve">Bij schulden en vorderingen wordt aangenomen dat het resultaat aansluit bij de gemiddelde rente op uitstaande hypotheekschulden van huishoudens. Omdat het risico op wanbetalingen hoger is betalen particuliere beleggers een ongeveer 1,5%-punt hogere rente dan huishoudens met een eigen woning. Deze opslag wordt bij schulden meegenomen. Vorderingen </w:t>
      </w:r>
      <w:r>
        <w:t>worden vaak aangegaan bij gelieerde partijen. Daarom wordt daar geen risico-opslag van 1,5%-punt meegenomen.</w:t>
      </w:r>
    </w:p>
    <w:p w:rsidR="000D5326" w:rsidP="000D5326" w:rsidRDefault="000D5326" w14:paraId="01A851CB" w14:textId="77777777"/>
    <w:p w:rsidR="000D5326" w:rsidP="000D5326" w:rsidRDefault="000D5326" w14:paraId="315693B7" w14:textId="77777777">
      <w:pPr>
        <w:rPr>
          <w:szCs w:val="18"/>
        </w:rPr>
      </w:pPr>
      <w:r>
        <w:t>De overige vermogensbestanddelen zijn slechts een klein deel van box 3.</w:t>
      </w:r>
      <w:r w:rsidRPr="00145C69">
        <w:t xml:space="preserve"> </w:t>
      </w:r>
      <w:r>
        <w:t xml:space="preserve">Bij niet-vrijgestelde kapitaalverzekeringen wordt aangenomen dat het rendement overeenkomt met dat van defensieve beleggers in beheer. De overige bezittingen worden opgesplitst in </w:t>
      </w:r>
      <w:proofErr w:type="gramStart"/>
      <w:r>
        <w:t>hoog renderende</w:t>
      </w:r>
      <w:proofErr w:type="gramEnd"/>
      <w:r>
        <w:t xml:space="preserve"> overige bezittingen met een rendement gelijk aan dat van aandelen en laag renderende overige bezittingen met een rendement gelijk aan de gemiddelde spaarrente.</w:t>
      </w:r>
    </w:p>
    <w:p w:rsidR="000D5326" w:rsidP="000D5326" w:rsidRDefault="000D5326" w14:paraId="616DAB72" w14:textId="77777777">
      <w:pPr>
        <w:rPr>
          <w:szCs w:val="18"/>
        </w:rPr>
      </w:pPr>
    </w:p>
    <w:p w:rsidRPr="00BB283A" w:rsidR="000D5326" w:rsidP="000D5326" w:rsidRDefault="000D5326" w14:paraId="47572332" w14:textId="77777777">
      <w:pPr>
        <w:rPr>
          <w:b/>
          <w:bCs/>
          <w:szCs w:val="18"/>
        </w:rPr>
      </w:pPr>
      <w:r>
        <w:rPr>
          <w:b/>
          <w:bCs/>
          <w:szCs w:val="18"/>
        </w:rPr>
        <w:t>Onzekerheid</w:t>
      </w:r>
    </w:p>
    <w:p w:rsidRPr="007337CA" w:rsidR="000D5326" w:rsidP="000D5326" w:rsidRDefault="000D5326" w14:paraId="74EE112C" w14:textId="77777777">
      <w:r>
        <w:rPr>
          <w:szCs w:val="18"/>
        </w:rPr>
        <w:t xml:space="preserve">Er zijn een aantal factoren die bijdragen aan de onzekerheid van de raming. </w:t>
      </w:r>
      <w:r w:rsidRPr="00BB283A">
        <w:rPr>
          <w:szCs w:val="18"/>
        </w:rPr>
        <w:t>Ten eerste is het voor toekomstige jaren onmogelijk om te voorspellen hoe de markten zich in de toekomst (gemiddeld) gaan ontwikkelen. Dat hangt onder andere af van (</w:t>
      </w:r>
      <w:proofErr w:type="spellStart"/>
      <w:r w:rsidRPr="00BB283A">
        <w:rPr>
          <w:szCs w:val="18"/>
        </w:rPr>
        <w:t>geo</w:t>
      </w:r>
      <w:proofErr w:type="spellEnd"/>
      <w:r w:rsidRPr="00BB283A">
        <w:rPr>
          <w:szCs w:val="18"/>
        </w:rPr>
        <w:t xml:space="preserve">)politieke ontwikkelingen. Rendementen op vermogen vormen bovendien een van nature volatielere grondslag dan het vermogen zelf. Ten tweede zijn er geen microdata beschikbaar met gegevens van het werkelijke rendement van belastingplichtigen, omdat in het oude box 3-stelsel die gegevens niet relevant waren. Het simuleren van deze gegevens zorgt ook voor onzekerheid. Hoewel cijfers over gemiddeldes en spreiding meestal wel beschikbaar zijn (zeker voor jaren uit het verleden), </w:t>
      </w:r>
      <w:proofErr w:type="gramStart"/>
      <w:r w:rsidRPr="00BB283A">
        <w:rPr>
          <w:szCs w:val="18"/>
        </w:rPr>
        <w:t xml:space="preserve">is  </w:t>
      </w:r>
      <w:r>
        <w:rPr>
          <w:szCs w:val="18"/>
        </w:rPr>
        <w:t>niet</w:t>
      </w:r>
      <w:proofErr w:type="gramEnd"/>
      <w:r>
        <w:rPr>
          <w:szCs w:val="18"/>
        </w:rPr>
        <w:t xml:space="preserve"> voor alle vermogensbestanddelen </w:t>
      </w:r>
      <w:r w:rsidRPr="00BB283A">
        <w:rPr>
          <w:szCs w:val="18"/>
        </w:rPr>
        <w:t>aan de hand van echte cijfers te verifiëren in hoeverre de gesimuleerde microdata ook de juiste verdeling opleveren van de werkelijke rendementen. Ten</w:t>
      </w:r>
      <w:r>
        <w:rPr>
          <w:szCs w:val="18"/>
        </w:rPr>
        <w:t xml:space="preserve"> </w:t>
      </w:r>
      <w:r w:rsidRPr="00BB283A">
        <w:rPr>
          <w:szCs w:val="18"/>
        </w:rPr>
        <w:t xml:space="preserve">slotte is het onzeker hoeveel mensen </w:t>
      </w:r>
      <w:r>
        <w:rPr>
          <w:szCs w:val="18"/>
        </w:rPr>
        <w:t xml:space="preserve">daadwerkelijk </w:t>
      </w:r>
      <w:r w:rsidRPr="00BB283A">
        <w:rPr>
          <w:szCs w:val="18"/>
        </w:rPr>
        <w:t>tegenbewijs zullen indienen.</w:t>
      </w:r>
    </w:p>
    <w:p w:rsidRPr="009B4AB3" w:rsidR="00F00C4A" w:rsidP="000D5326" w:rsidRDefault="00F00C4A" w14:paraId="4878EA91" w14:textId="5ED7BE8C">
      <w:pPr>
        <w:rPr>
          <w:szCs w:val="18"/>
        </w:rPr>
      </w:pPr>
    </w:p>
    <w:sectPr w:rsidRPr="009B4AB3" w:rsidR="00F00C4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703E" w14:textId="77777777" w:rsidR="006D5302" w:rsidRDefault="006D5302" w:rsidP="00CA5B2E">
      <w:pPr>
        <w:spacing w:line="240" w:lineRule="auto"/>
      </w:pPr>
      <w:r>
        <w:separator/>
      </w:r>
    </w:p>
  </w:endnote>
  <w:endnote w:type="continuationSeparator" w:id="0">
    <w:p w14:paraId="48A3FE79" w14:textId="77777777" w:rsidR="006D5302" w:rsidRDefault="006D5302" w:rsidP="00CA5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7301" w14:textId="77777777" w:rsidR="006D5302" w:rsidRDefault="006D5302" w:rsidP="00CA5B2E">
      <w:pPr>
        <w:spacing w:line="240" w:lineRule="auto"/>
      </w:pPr>
      <w:r>
        <w:separator/>
      </w:r>
    </w:p>
  </w:footnote>
  <w:footnote w:type="continuationSeparator" w:id="0">
    <w:p w14:paraId="5C3E9CF5" w14:textId="77777777" w:rsidR="006D5302" w:rsidRDefault="006D5302" w:rsidP="00CA5B2E">
      <w:pPr>
        <w:spacing w:line="240" w:lineRule="auto"/>
      </w:pPr>
      <w:r>
        <w:continuationSeparator/>
      </w:r>
    </w:p>
  </w:footnote>
  <w:footnote w:id="1">
    <w:p w14:paraId="1A8B1091" w14:textId="77777777" w:rsidR="000D5326" w:rsidRDefault="000D5326" w:rsidP="000D5326">
      <w:pPr>
        <w:pStyle w:val="Voetnoottekst"/>
      </w:pPr>
      <w:r>
        <w:rPr>
          <w:rStyle w:val="Voetnootmarkering"/>
        </w:rPr>
        <w:footnoteRef/>
      </w:r>
      <w:r>
        <w:t xml:space="preserve"> Met het CPB is afgesproken om bij significante gedragseffecten te kiezen tussen de vuistregels 20%, 50% en 80% wanneer empirisch onderzoek naar het effect ontbreekt. Hier is gekozen voor 50%: een aanzienlijk gedragseffect.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EE5"/>
    <w:multiLevelType w:val="hybridMultilevel"/>
    <w:tmpl w:val="9E6063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A75FA7"/>
    <w:multiLevelType w:val="hybridMultilevel"/>
    <w:tmpl w:val="CB5406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CC0CCD"/>
    <w:multiLevelType w:val="hybridMultilevel"/>
    <w:tmpl w:val="85604DCA"/>
    <w:lvl w:ilvl="0" w:tplc="855C8C82">
      <w:start w:val="10"/>
      <w:numFmt w:val="bullet"/>
      <w:lvlText w:val="-"/>
      <w:lvlJc w:val="left"/>
      <w:pPr>
        <w:ind w:left="360" w:hanging="360"/>
      </w:pPr>
      <w:rPr>
        <w:rFonts w:ascii="Verdana" w:eastAsiaTheme="minorHAnsi" w:hAnsi="Verdana" w:cstheme="minorBidi" w:hint="default"/>
      </w:rPr>
    </w:lvl>
    <w:lvl w:ilvl="1" w:tplc="FFFFFFFF">
      <w:start w:val="10"/>
      <w:numFmt w:val="bullet"/>
      <w:lvlText w:val="-"/>
      <w:lvlJc w:val="left"/>
      <w:pPr>
        <w:ind w:left="1440" w:hanging="360"/>
      </w:pPr>
      <w:rPr>
        <w:rFonts w:ascii="Verdana" w:eastAsiaTheme="minorHAnsi" w:hAnsi="Verdan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4600A"/>
    <w:multiLevelType w:val="hybridMultilevel"/>
    <w:tmpl w:val="68946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193A5B"/>
    <w:multiLevelType w:val="hybridMultilevel"/>
    <w:tmpl w:val="284421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CF7AB5"/>
    <w:multiLevelType w:val="multilevel"/>
    <w:tmpl w:val="FB96556C"/>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184532A1"/>
    <w:multiLevelType w:val="hybridMultilevel"/>
    <w:tmpl w:val="CBDC66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25D52234"/>
    <w:multiLevelType w:val="hybridMultilevel"/>
    <w:tmpl w:val="DF72BCE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98A59E3"/>
    <w:multiLevelType w:val="multilevel"/>
    <w:tmpl w:val="269A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535322"/>
    <w:multiLevelType w:val="hybridMultilevel"/>
    <w:tmpl w:val="0C2EB6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024041B"/>
    <w:multiLevelType w:val="hybridMultilevel"/>
    <w:tmpl w:val="613838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0987986"/>
    <w:multiLevelType w:val="hybridMultilevel"/>
    <w:tmpl w:val="34AE7042"/>
    <w:lvl w:ilvl="0" w:tplc="0413000F">
      <w:start w:val="1"/>
      <w:numFmt w:val="decimal"/>
      <w:lvlText w:val="%1."/>
      <w:lvlJc w:val="left"/>
      <w:pPr>
        <w:ind w:left="936" w:hanging="360"/>
      </w:pPr>
      <w:rPr>
        <w:rFonts w:hint="default"/>
      </w:rPr>
    </w:lvl>
    <w:lvl w:ilvl="1" w:tplc="FFFFFFFF" w:tentative="1">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2" w15:restartNumberingAfterBreak="0">
    <w:nsid w:val="37E624E6"/>
    <w:multiLevelType w:val="hybridMultilevel"/>
    <w:tmpl w:val="8580EE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A405E9B"/>
    <w:multiLevelType w:val="multilevel"/>
    <w:tmpl w:val="53065FC4"/>
    <w:lvl w:ilvl="0">
      <w:start w:val="1"/>
      <w:numFmt w:val="decimal"/>
      <w:lvlText w:val="%1."/>
      <w:lvlJc w:val="left"/>
      <w:pPr>
        <w:ind w:left="420" w:hanging="420"/>
      </w:pPr>
      <w:rPr>
        <w:rFonts w:asciiTheme="majorHAnsi" w:eastAsiaTheme="majorEastAsia" w:hAnsiTheme="majorHAnsi" w:cstheme="majorBidi" w:hint="default"/>
        <w:b w:val="0"/>
        <w:color w:val="404040" w:themeColor="text1" w:themeTint="BF"/>
        <w:sz w:val="28"/>
      </w:rPr>
    </w:lvl>
    <w:lvl w:ilvl="1">
      <w:start w:val="1"/>
      <w:numFmt w:val="decimal"/>
      <w:lvlText w:val="%1.%2."/>
      <w:lvlJc w:val="left"/>
      <w:pPr>
        <w:ind w:left="420" w:hanging="420"/>
      </w:pPr>
      <w:rPr>
        <w:rFonts w:asciiTheme="majorHAnsi" w:eastAsiaTheme="majorEastAsia" w:hAnsiTheme="majorHAnsi" w:cstheme="majorBidi" w:hint="default"/>
        <w:b w:val="0"/>
        <w:color w:val="404040" w:themeColor="text1" w:themeTint="BF"/>
        <w:sz w:val="28"/>
      </w:rPr>
    </w:lvl>
    <w:lvl w:ilvl="2">
      <w:start w:val="1"/>
      <w:numFmt w:val="decimal"/>
      <w:lvlText w:val="%1.%2.%3."/>
      <w:lvlJc w:val="left"/>
      <w:pPr>
        <w:ind w:left="720" w:hanging="720"/>
      </w:pPr>
      <w:rPr>
        <w:rFonts w:asciiTheme="majorHAnsi" w:eastAsiaTheme="majorEastAsia" w:hAnsiTheme="majorHAnsi" w:cstheme="majorBidi" w:hint="default"/>
        <w:b w:val="0"/>
        <w:color w:val="404040" w:themeColor="text1" w:themeTint="BF"/>
        <w:sz w:val="28"/>
      </w:rPr>
    </w:lvl>
    <w:lvl w:ilvl="3">
      <w:start w:val="1"/>
      <w:numFmt w:val="decimal"/>
      <w:lvlText w:val="%1.%2.%3.%4."/>
      <w:lvlJc w:val="left"/>
      <w:pPr>
        <w:ind w:left="720" w:hanging="720"/>
      </w:pPr>
      <w:rPr>
        <w:rFonts w:asciiTheme="majorHAnsi" w:eastAsiaTheme="majorEastAsia" w:hAnsiTheme="majorHAnsi" w:cstheme="majorBidi" w:hint="default"/>
        <w:b w:val="0"/>
        <w:color w:val="404040" w:themeColor="text1" w:themeTint="BF"/>
        <w:sz w:val="28"/>
      </w:rPr>
    </w:lvl>
    <w:lvl w:ilvl="4">
      <w:start w:val="1"/>
      <w:numFmt w:val="decimal"/>
      <w:lvlText w:val="%1.%2.%3.%4.%5."/>
      <w:lvlJc w:val="left"/>
      <w:pPr>
        <w:ind w:left="1080" w:hanging="1080"/>
      </w:pPr>
      <w:rPr>
        <w:rFonts w:asciiTheme="majorHAnsi" w:eastAsiaTheme="majorEastAsia" w:hAnsiTheme="majorHAnsi" w:cstheme="majorBidi" w:hint="default"/>
        <w:b w:val="0"/>
        <w:color w:val="404040" w:themeColor="text1" w:themeTint="BF"/>
        <w:sz w:val="28"/>
      </w:rPr>
    </w:lvl>
    <w:lvl w:ilvl="5">
      <w:start w:val="1"/>
      <w:numFmt w:val="decimal"/>
      <w:lvlText w:val="%1.%2.%3.%4.%5.%6."/>
      <w:lvlJc w:val="left"/>
      <w:pPr>
        <w:ind w:left="1080" w:hanging="1080"/>
      </w:pPr>
      <w:rPr>
        <w:rFonts w:asciiTheme="majorHAnsi" w:eastAsiaTheme="majorEastAsia" w:hAnsiTheme="majorHAnsi" w:cstheme="majorBidi" w:hint="default"/>
        <w:b w:val="0"/>
        <w:color w:val="404040" w:themeColor="text1" w:themeTint="BF"/>
        <w:sz w:val="28"/>
      </w:rPr>
    </w:lvl>
    <w:lvl w:ilvl="6">
      <w:start w:val="1"/>
      <w:numFmt w:val="decimal"/>
      <w:lvlText w:val="%1.%2.%3.%4.%5.%6.%7."/>
      <w:lvlJc w:val="left"/>
      <w:pPr>
        <w:ind w:left="1080" w:hanging="1080"/>
      </w:pPr>
      <w:rPr>
        <w:rFonts w:asciiTheme="majorHAnsi" w:eastAsiaTheme="majorEastAsia" w:hAnsiTheme="majorHAnsi" w:cstheme="majorBidi" w:hint="default"/>
        <w:b w:val="0"/>
        <w:color w:val="404040" w:themeColor="text1" w:themeTint="BF"/>
        <w:sz w:val="28"/>
      </w:rPr>
    </w:lvl>
    <w:lvl w:ilvl="7">
      <w:start w:val="1"/>
      <w:numFmt w:val="decimal"/>
      <w:lvlText w:val="%1.%2.%3.%4.%5.%6.%7.%8."/>
      <w:lvlJc w:val="left"/>
      <w:pPr>
        <w:ind w:left="1440" w:hanging="1440"/>
      </w:pPr>
      <w:rPr>
        <w:rFonts w:asciiTheme="majorHAnsi" w:eastAsiaTheme="majorEastAsia" w:hAnsiTheme="majorHAnsi" w:cstheme="majorBidi" w:hint="default"/>
        <w:b w:val="0"/>
        <w:color w:val="404040" w:themeColor="text1" w:themeTint="BF"/>
        <w:sz w:val="28"/>
      </w:rPr>
    </w:lvl>
    <w:lvl w:ilvl="8">
      <w:start w:val="1"/>
      <w:numFmt w:val="decimal"/>
      <w:lvlText w:val="%1.%2.%3.%4.%5.%6.%7.%8.%9."/>
      <w:lvlJc w:val="left"/>
      <w:pPr>
        <w:ind w:left="1440" w:hanging="1440"/>
      </w:pPr>
      <w:rPr>
        <w:rFonts w:asciiTheme="majorHAnsi" w:eastAsiaTheme="majorEastAsia" w:hAnsiTheme="majorHAnsi" w:cstheme="majorBidi" w:hint="default"/>
        <w:b w:val="0"/>
        <w:color w:val="404040" w:themeColor="text1" w:themeTint="BF"/>
        <w:sz w:val="28"/>
      </w:rPr>
    </w:lvl>
  </w:abstractNum>
  <w:abstractNum w:abstractNumId="14" w15:restartNumberingAfterBreak="0">
    <w:nsid w:val="3BCD5C60"/>
    <w:multiLevelType w:val="hybridMultilevel"/>
    <w:tmpl w:val="070835C2"/>
    <w:lvl w:ilvl="0" w:tplc="0413000F">
      <w:start w:val="1"/>
      <w:numFmt w:val="decimal"/>
      <w:lvlText w:val="%1."/>
      <w:lvlJc w:val="left"/>
      <w:pPr>
        <w:ind w:left="1068" w:hanging="360"/>
      </w:p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5" w15:restartNumberingAfterBreak="0">
    <w:nsid w:val="3BF85356"/>
    <w:multiLevelType w:val="hybridMultilevel"/>
    <w:tmpl w:val="BB94A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F473E59"/>
    <w:multiLevelType w:val="hybridMultilevel"/>
    <w:tmpl w:val="DF86B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F8B7846"/>
    <w:multiLevelType w:val="multilevel"/>
    <w:tmpl w:val="CE1A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C1F0A"/>
    <w:multiLevelType w:val="hybridMultilevel"/>
    <w:tmpl w:val="2CB6BDBE"/>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42667705"/>
    <w:multiLevelType w:val="hybridMultilevel"/>
    <w:tmpl w:val="83D2B530"/>
    <w:lvl w:ilvl="0" w:tplc="9080FC88">
      <w:numFmt w:val="bullet"/>
      <w:lvlText w:val="-"/>
      <w:lvlJc w:val="left"/>
      <w:pPr>
        <w:ind w:left="1068" w:hanging="360"/>
      </w:pPr>
      <w:rPr>
        <w:rFonts w:ascii="Calibri" w:eastAsiaTheme="minorEastAsia"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A5909B1"/>
    <w:multiLevelType w:val="hybridMultilevel"/>
    <w:tmpl w:val="F6BC14B8"/>
    <w:lvl w:ilvl="0" w:tplc="04130011">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FD43DA6"/>
    <w:multiLevelType w:val="hybridMultilevel"/>
    <w:tmpl w:val="3168EAE2"/>
    <w:lvl w:ilvl="0" w:tplc="04130011">
      <w:start w:val="2"/>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015053A"/>
    <w:multiLevelType w:val="hybridMultilevel"/>
    <w:tmpl w:val="5FE2F3A0"/>
    <w:lvl w:ilvl="0" w:tplc="04130017">
      <w:start w:val="1"/>
      <w:numFmt w:val="lowerLetter"/>
      <w:lvlText w:val="%1)"/>
      <w:lvlJc w:val="left"/>
      <w:pPr>
        <w:ind w:left="720" w:hanging="360"/>
      </w:pPr>
      <w:rPr>
        <w:rFonts w:hint="default"/>
      </w:rPr>
    </w:lvl>
    <w:lvl w:ilvl="1" w:tplc="011E5DAA">
      <w:numFmt w:val="bullet"/>
      <w:lvlText w:val="•"/>
      <w:lvlJc w:val="left"/>
      <w:pPr>
        <w:ind w:left="1440" w:hanging="360"/>
      </w:pPr>
      <w:rPr>
        <w:rFonts w:ascii="Verdana" w:eastAsia="Times New Roman" w:hAnsi="Verdana" w:cs="Times New Roman"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7777AEB"/>
    <w:multiLevelType w:val="hybridMultilevel"/>
    <w:tmpl w:val="18A23D6A"/>
    <w:lvl w:ilvl="0" w:tplc="05F6E7A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DEE08F8"/>
    <w:multiLevelType w:val="hybridMultilevel"/>
    <w:tmpl w:val="C29A3C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75644F7D"/>
    <w:multiLevelType w:val="hybridMultilevel"/>
    <w:tmpl w:val="62FA6B0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6" w15:restartNumberingAfterBreak="0">
    <w:nsid w:val="7EAA1098"/>
    <w:multiLevelType w:val="hybridMultilevel"/>
    <w:tmpl w:val="4290E4C2"/>
    <w:lvl w:ilvl="0" w:tplc="A55C49EA">
      <w:start w:val="1"/>
      <w:numFmt w:val="lowerLetter"/>
      <w:lvlText w:val="%1."/>
      <w:lvlJc w:val="left"/>
      <w:pPr>
        <w:ind w:left="720" w:hanging="360"/>
      </w:pPr>
      <w:rPr>
        <w:rFonts w:asciiTheme="minorHAnsi" w:eastAsiaTheme="minorEastAsia"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4108121">
    <w:abstractNumId w:val="15"/>
  </w:num>
  <w:num w:numId="2" w16cid:durableId="1527713005">
    <w:abstractNumId w:val="7"/>
  </w:num>
  <w:num w:numId="3" w16cid:durableId="2074619471">
    <w:abstractNumId w:val="21"/>
  </w:num>
  <w:num w:numId="4" w16cid:durableId="131557173">
    <w:abstractNumId w:val="20"/>
  </w:num>
  <w:num w:numId="5" w16cid:durableId="310251341">
    <w:abstractNumId w:val="10"/>
  </w:num>
  <w:num w:numId="6" w16cid:durableId="954749934">
    <w:abstractNumId w:val="9"/>
  </w:num>
  <w:num w:numId="7" w16cid:durableId="703410387">
    <w:abstractNumId w:val="5"/>
  </w:num>
  <w:num w:numId="8" w16cid:durableId="1177571764">
    <w:abstractNumId w:val="3"/>
  </w:num>
  <w:num w:numId="9" w16cid:durableId="778065638">
    <w:abstractNumId w:val="16"/>
  </w:num>
  <w:num w:numId="10" w16cid:durableId="952548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3592739">
    <w:abstractNumId w:val="1"/>
  </w:num>
  <w:num w:numId="12" w16cid:durableId="1578057718">
    <w:abstractNumId w:val="23"/>
  </w:num>
  <w:num w:numId="13" w16cid:durableId="15760915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9635956">
    <w:abstractNumId w:val="14"/>
    <w:lvlOverride w:ilvl="0">
      <w:startOverride w:val="1"/>
    </w:lvlOverride>
    <w:lvlOverride w:ilvl="1"/>
    <w:lvlOverride w:ilvl="2"/>
    <w:lvlOverride w:ilvl="3"/>
    <w:lvlOverride w:ilvl="4"/>
    <w:lvlOverride w:ilvl="5"/>
    <w:lvlOverride w:ilvl="6"/>
    <w:lvlOverride w:ilvl="7"/>
    <w:lvlOverride w:ilvl="8"/>
  </w:num>
  <w:num w:numId="15" w16cid:durableId="1395928062">
    <w:abstractNumId w:val="25"/>
  </w:num>
  <w:num w:numId="16" w16cid:durableId="8198564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8352392">
    <w:abstractNumId w:val="11"/>
  </w:num>
  <w:num w:numId="18" w16cid:durableId="221522532">
    <w:abstractNumId w:val="2"/>
  </w:num>
  <w:num w:numId="19" w16cid:durableId="12505756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580861">
    <w:abstractNumId w:val="18"/>
  </w:num>
  <w:num w:numId="21" w16cid:durableId="99834501">
    <w:abstractNumId w:val="19"/>
  </w:num>
  <w:num w:numId="22" w16cid:durableId="626744078">
    <w:abstractNumId w:val="6"/>
  </w:num>
  <w:num w:numId="23" w16cid:durableId="304435239">
    <w:abstractNumId w:val="26"/>
  </w:num>
  <w:num w:numId="24" w16cid:durableId="1617522967">
    <w:abstractNumId w:val="0"/>
  </w:num>
  <w:num w:numId="25" w16cid:durableId="940338144">
    <w:abstractNumId w:val="12"/>
  </w:num>
  <w:num w:numId="26" w16cid:durableId="937828130">
    <w:abstractNumId w:val="4"/>
  </w:num>
  <w:num w:numId="27" w16cid:durableId="616831669">
    <w:abstractNumId w:val="8"/>
  </w:num>
  <w:num w:numId="28" w16cid:durableId="820737664">
    <w:abstractNumId w:val="17"/>
  </w:num>
  <w:num w:numId="29" w16cid:durableId="8419732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efaultTableStyle w:val="Tabelramingstoelichting"/>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7F"/>
    <w:rsid w:val="00003849"/>
    <w:rsid w:val="000076A9"/>
    <w:rsid w:val="000105D8"/>
    <w:rsid w:val="00010C52"/>
    <w:rsid w:val="00015997"/>
    <w:rsid w:val="00015A5C"/>
    <w:rsid w:val="000179DA"/>
    <w:rsid w:val="000201F1"/>
    <w:rsid w:val="000204FF"/>
    <w:rsid w:val="00023A47"/>
    <w:rsid w:val="00025D74"/>
    <w:rsid w:val="000341DC"/>
    <w:rsid w:val="000418EC"/>
    <w:rsid w:val="00042349"/>
    <w:rsid w:val="000431ED"/>
    <w:rsid w:val="00053088"/>
    <w:rsid w:val="00061150"/>
    <w:rsid w:val="000643D7"/>
    <w:rsid w:val="00067439"/>
    <w:rsid w:val="00071535"/>
    <w:rsid w:val="000826D3"/>
    <w:rsid w:val="00087FBF"/>
    <w:rsid w:val="00093BDE"/>
    <w:rsid w:val="000953F6"/>
    <w:rsid w:val="00095C63"/>
    <w:rsid w:val="000A0FA9"/>
    <w:rsid w:val="000A2575"/>
    <w:rsid w:val="000A493A"/>
    <w:rsid w:val="000A5CE8"/>
    <w:rsid w:val="000B06DF"/>
    <w:rsid w:val="000B12F7"/>
    <w:rsid w:val="000B1815"/>
    <w:rsid w:val="000B4127"/>
    <w:rsid w:val="000B5041"/>
    <w:rsid w:val="000B7579"/>
    <w:rsid w:val="000B75FD"/>
    <w:rsid w:val="000C27F8"/>
    <w:rsid w:val="000C4202"/>
    <w:rsid w:val="000D4D75"/>
    <w:rsid w:val="000D5326"/>
    <w:rsid w:val="000D6DE0"/>
    <w:rsid w:val="000D7E6E"/>
    <w:rsid w:val="000E2F26"/>
    <w:rsid w:val="000F3D1C"/>
    <w:rsid w:val="000F6DEB"/>
    <w:rsid w:val="000F6E17"/>
    <w:rsid w:val="00101B1F"/>
    <w:rsid w:val="00105C0B"/>
    <w:rsid w:val="0011043C"/>
    <w:rsid w:val="001128F6"/>
    <w:rsid w:val="00112EC2"/>
    <w:rsid w:val="00121BA6"/>
    <w:rsid w:val="00126696"/>
    <w:rsid w:val="001306ED"/>
    <w:rsid w:val="00134F26"/>
    <w:rsid w:val="00136B8A"/>
    <w:rsid w:val="0013790E"/>
    <w:rsid w:val="00137C77"/>
    <w:rsid w:val="00145C69"/>
    <w:rsid w:val="001468AE"/>
    <w:rsid w:val="00156111"/>
    <w:rsid w:val="00157CC6"/>
    <w:rsid w:val="0016422A"/>
    <w:rsid w:val="00172758"/>
    <w:rsid w:val="0017409B"/>
    <w:rsid w:val="00174E9E"/>
    <w:rsid w:val="00180FA6"/>
    <w:rsid w:val="00181E4B"/>
    <w:rsid w:val="00182122"/>
    <w:rsid w:val="00194A9B"/>
    <w:rsid w:val="00195C92"/>
    <w:rsid w:val="001A0B24"/>
    <w:rsid w:val="001A6D82"/>
    <w:rsid w:val="001B399E"/>
    <w:rsid w:val="001D58B5"/>
    <w:rsid w:val="001D6987"/>
    <w:rsid w:val="001E31FD"/>
    <w:rsid w:val="001E5F20"/>
    <w:rsid w:val="001F3FC7"/>
    <w:rsid w:val="00206570"/>
    <w:rsid w:val="00207D7F"/>
    <w:rsid w:val="002103E8"/>
    <w:rsid w:val="002156B2"/>
    <w:rsid w:val="00216D4B"/>
    <w:rsid w:val="00223BE6"/>
    <w:rsid w:val="00227856"/>
    <w:rsid w:val="002344AF"/>
    <w:rsid w:val="002440BE"/>
    <w:rsid w:val="00244C40"/>
    <w:rsid w:val="00245A84"/>
    <w:rsid w:val="0024681D"/>
    <w:rsid w:val="00250A06"/>
    <w:rsid w:val="002517EA"/>
    <w:rsid w:val="0025346E"/>
    <w:rsid w:val="00254892"/>
    <w:rsid w:val="002614EB"/>
    <w:rsid w:val="0026316C"/>
    <w:rsid w:val="0026361D"/>
    <w:rsid w:val="002677CC"/>
    <w:rsid w:val="00286DA5"/>
    <w:rsid w:val="002959EC"/>
    <w:rsid w:val="00297264"/>
    <w:rsid w:val="00297681"/>
    <w:rsid w:val="002A0436"/>
    <w:rsid w:val="002A4465"/>
    <w:rsid w:val="002A4F3E"/>
    <w:rsid w:val="002A53DA"/>
    <w:rsid w:val="002A7618"/>
    <w:rsid w:val="002B078E"/>
    <w:rsid w:val="002B1CE1"/>
    <w:rsid w:val="002B20E7"/>
    <w:rsid w:val="002B2F8F"/>
    <w:rsid w:val="002B3EE2"/>
    <w:rsid w:val="002B4A31"/>
    <w:rsid w:val="002C1D96"/>
    <w:rsid w:val="002C36AE"/>
    <w:rsid w:val="002D01CB"/>
    <w:rsid w:val="002E128E"/>
    <w:rsid w:val="002E77E5"/>
    <w:rsid w:val="002F1A12"/>
    <w:rsid w:val="002F4F0D"/>
    <w:rsid w:val="002F6F1B"/>
    <w:rsid w:val="002F7312"/>
    <w:rsid w:val="0032625A"/>
    <w:rsid w:val="00331B29"/>
    <w:rsid w:val="003455D9"/>
    <w:rsid w:val="003514B1"/>
    <w:rsid w:val="0035151E"/>
    <w:rsid w:val="00357390"/>
    <w:rsid w:val="00360C75"/>
    <w:rsid w:val="003613A6"/>
    <w:rsid w:val="00364804"/>
    <w:rsid w:val="003652A9"/>
    <w:rsid w:val="003702A6"/>
    <w:rsid w:val="00372B8F"/>
    <w:rsid w:val="00375DEA"/>
    <w:rsid w:val="00381982"/>
    <w:rsid w:val="00385D8B"/>
    <w:rsid w:val="00386646"/>
    <w:rsid w:val="00387E92"/>
    <w:rsid w:val="00394E46"/>
    <w:rsid w:val="003967DF"/>
    <w:rsid w:val="003A2AE0"/>
    <w:rsid w:val="003A2C9D"/>
    <w:rsid w:val="003B16AD"/>
    <w:rsid w:val="003B6C84"/>
    <w:rsid w:val="003C1587"/>
    <w:rsid w:val="003C2C90"/>
    <w:rsid w:val="003D431F"/>
    <w:rsid w:val="003E1CB3"/>
    <w:rsid w:val="003E3BC9"/>
    <w:rsid w:val="003E3D75"/>
    <w:rsid w:val="003E53F6"/>
    <w:rsid w:val="003F45E2"/>
    <w:rsid w:val="003F52B5"/>
    <w:rsid w:val="00401BD3"/>
    <w:rsid w:val="00402304"/>
    <w:rsid w:val="00403849"/>
    <w:rsid w:val="00406399"/>
    <w:rsid w:val="004156E1"/>
    <w:rsid w:val="004206A5"/>
    <w:rsid w:val="004210EB"/>
    <w:rsid w:val="0042220E"/>
    <w:rsid w:val="00422CF7"/>
    <w:rsid w:val="004346AA"/>
    <w:rsid w:val="00437E2F"/>
    <w:rsid w:val="004417D1"/>
    <w:rsid w:val="00447296"/>
    <w:rsid w:val="00451DB5"/>
    <w:rsid w:val="00452B25"/>
    <w:rsid w:val="00452F85"/>
    <w:rsid w:val="00456330"/>
    <w:rsid w:val="00460BAB"/>
    <w:rsid w:val="00461DC9"/>
    <w:rsid w:val="00466AB2"/>
    <w:rsid w:val="00466B81"/>
    <w:rsid w:val="00467850"/>
    <w:rsid w:val="00476E6D"/>
    <w:rsid w:val="00486A9B"/>
    <w:rsid w:val="004874BC"/>
    <w:rsid w:val="00490ABB"/>
    <w:rsid w:val="00495DFE"/>
    <w:rsid w:val="00497B45"/>
    <w:rsid w:val="004A1837"/>
    <w:rsid w:val="004A5619"/>
    <w:rsid w:val="004A584D"/>
    <w:rsid w:val="004B1D42"/>
    <w:rsid w:val="004B6AE4"/>
    <w:rsid w:val="004C34CA"/>
    <w:rsid w:val="004C3797"/>
    <w:rsid w:val="004D0BAF"/>
    <w:rsid w:val="004D13C7"/>
    <w:rsid w:val="004D2466"/>
    <w:rsid w:val="004D659A"/>
    <w:rsid w:val="004D688F"/>
    <w:rsid w:val="004E0D6C"/>
    <w:rsid w:val="004E257E"/>
    <w:rsid w:val="004E38A2"/>
    <w:rsid w:val="004E754D"/>
    <w:rsid w:val="004F1569"/>
    <w:rsid w:val="004F28A9"/>
    <w:rsid w:val="004F32A9"/>
    <w:rsid w:val="004F4015"/>
    <w:rsid w:val="00501195"/>
    <w:rsid w:val="0051542E"/>
    <w:rsid w:val="00515AEE"/>
    <w:rsid w:val="005162BA"/>
    <w:rsid w:val="0052202B"/>
    <w:rsid w:val="0052456A"/>
    <w:rsid w:val="00527CAC"/>
    <w:rsid w:val="005365EC"/>
    <w:rsid w:val="00537B51"/>
    <w:rsid w:val="005403B1"/>
    <w:rsid w:val="005404EA"/>
    <w:rsid w:val="00542D85"/>
    <w:rsid w:val="0054682C"/>
    <w:rsid w:val="00551D7D"/>
    <w:rsid w:val="005569F0"/>
    <w:rsid w:val="00556C93"/>
    <w:rsid w:val="005658E8"/>
    <w:rsid w:val="00565D31"/>
    <w:rsid w:val="0057068B"/>
    <w:rsid w:val="00580992"/>
    <w:rsid w:val="00580D2E"/>
    <w:rsid w:val="00583358"/>
    <w:rsid w:val="00583369"/>
    <w:rsid w:val="00590FD1"/>
    <w:rsid w:val="0059164A"/>
    <w:rsid w:val="005A159C"/>
    <w:rsid w:val="005A7966"/>
    <w:rsid w:val="005B390E"/>
    <w:rsid w:val="005B3E2A"/>
    <w:rsid w:val="005B40C3"/>
    <w:rsid w:val="005B7509"/>
    <w:rsid w:val="005C54E8"/>
    <w:rsid w:val="005D00F5"/>
    <w:rsid w:val="005D6026"/>
    <w:rsid w:val="005E067F"/>
    <w:rsid w:val="005E267F"/>
    <w:rsid w:val="005F6951"/>
    <w:rsid w:val="005F7AD4"/>
    <w:rsid w:val="0060272A"/>
    <w:rsid w:val="00614298"/>
    <w:rsid w:val="00616FA4"/>
    <w:rsid w:val="00620657"/>
    <w:rsid w:val="0062355D"/>
    <w:rsid w:val="00640B49"/>
    <w:rsid w:val="00641214"/>
    <w:rsid w:val="00644475"/>
    <w:rsid w:val="006444F6"/>
    <w:rsid w:val="00645F85"/>
    <w:rsid w:val="00653125"/>
    <w:rsid w:val="006601F8"/>
    <w:rsid w:val="0066238C"/>
    <w:rsid w:val="00662EEF"/>
    <w:rsid w:val="006668D2"/>
    <w:rsid w:val="00666B8D"/>
    <w:rsid w:val="00670942"/>
    <w:rsid w:val="006748B9"/>
    <w:rsid w:val="00675EF7"/>
    <w:rsid w:val="00677D4F"/>
    <w:rsid w:val="00677E9E"/>
    <w:rsid w:val="00683303"/>
    <w:rsid w:val="00686D6F"/>
    <w:rsid w:val="00687782"/>
    <w:rsid w:val="00692A3B"/>
    <w:rsid w:val="00694513"/>
    <w:rsid w:val="00695D00"/>
    <w:rsid w:val="006A1EBD"/>
    <w:rsid w:val="006A36D0"/>
    <w:rsid w:val="006B229A"/>
    <w:rsid w:val="006B41E6"/>
    <w:rsid w:val="006B6FB1"/>
    <w:rsid w:val="006C4107"/>
    <w:rsid w:val="006C4BE4"/>
    <w:rsid w:val="006C7706"/>
    <w:rsid w:val="006D0032"/>
    <w:rsid w:val="006D15BA"/>
    <w:rsid w:val="006D5302"/>
    <w:rsid w:val="006E214F"/>
    <w:rsid w:val="006F4AA9"/>
    <w:rsid w:val="006F4E67"/>
    <w:rsid w:val="006F5959"/>
    <w:rsid w:val="006F7414"/>
    <w:rsid w:val="006F78B7"/>
    <w:rsid w:val="00701217"/>
    <w:rsid w:val="00701BE4"/>
    <w:rsid w:val="007040F3"/>
    <w:rsid w:val="00706E8C"/>
    <w:rsid w:val="00710754"/>
    <w:rsid w:val="00714331"/>
    <w:rsid w:val="00732A29"/>
    <w:rsid w:val="007337CA"/>
    <w:rsid w:val="007339D7"/>
    <w:rsid w:val="007359D2"/>
    <w:rsid w:val="007373F8"/>
    <w:rsid w:val="00740945"/>
    <w:rsid w:val="00743EB5"/>
    <w:rsid w:val="00751105"/>
    <w:rsid w:val="00754A52"/>
    <w:rsid w:val="00760175"/>
    <w:rsid w:val="00761BF9"/>
    <w:rsid w:val="00762A96"/>
    <w:rsid w:val="00764587"/>
    <w:rsid w:val="00770C34"/>
    <w:rsid w:val="00773F69"/>
    <w:rsid w:val="00776ABA"/>
    <w:rsid w:val="00784FFD"/>
    <w:rsid w:val="00786659"/>
    <w:rsid w:val="0078731F"/>
    <w:rsid w:val="00792529"/>
    <w:rsid w:val="00794E28"/>
    <w:rsid w:val="007958B3"/>
    <w:rsid w:val="007A3C20"/>
    <w:rsid w:val="007A5848"/>
    <w:rsid w:val="007A6C53"/>
    <w:rsid w:val="007A73E7"/>
    <w:rsid w:val="007B0A8C"/>
    <w:rsid w:val="007B2316"/>
    <w:rsid w:val="007B2833"/>
    <w:rsid w:val="007B2C55"/>
    <w:rsid w:val="007B5E80"/>
    <w:rsid w:val="007D183D"/>
    <w:rsid w:val="007D3C21"/>
    <w:rsid w:val="007D5DD6"/>
    <w:rsid w:val="007E1FF3"/>
    <w:rsid w:val="007E263F"/>
    <w:rsid w:val="007E4E79"/>
    <w:rsid w:val="007F1862"/>
    <w:rsid w:val="007F22D5"/>
    <w:rsid w:val="007F6104"/>
    <w:rsid w:val="00800BED"/>
    <w:rsid w:val="00806BFB"/>
    <w:rsid w:val="00806E62"/>
    <w:rsid w:val="0081196E"/>
    <w:rsid w:val="00812EEA"/>
    <w:rsid w:val="0081328E"/>
    <w:rsid w:val="008145E5"/>
    <w:rsid w:val="00816FBD"/>
    <w:rsid w:val="00817AA1"/>
    <w:rsid w:val="00820948"/>
    <w:rsid w:val="0082127C"/>
    <w:rsid w:val="00821C53"/>
    <w:rsid w:val="00831EF7"/>
    <w:rsid w:val="00841A01"/>
    <w:rsid w:val="00846F2B"/>
    <w:rsid w:val="00852008"/>
    <w:rsid w:val="008532EC"/>
    <w:rsid w:val="0085350B"/>
    <w:rsid w:val="00853A94"/>
    <w:rsid w:val="00854081"/>
    <w:rsid w:val="00862439"/>
    <w:rsid w:val="00863507"/>
    <w:rsid w:val="008674D6"/>
    <w:rsid w:val="00870F4D"/>
    <w:rsid w:val="00875AEE"/>
    <w:rsid w:val="00880948"/>
    <w:rsid w:val="00880D8E"/>
    <w:rsid w:val="00891432"/>
    <w:rsid w:val="008A0CE1"/>
    <w:rsid w:val="008A11C5"/>
    <w:rsid w:val="008A5CBA"/>
    <w:rsid w:val="008B4E04"/>
    <w:rsid w:val="008C1837"/>
    <w:rsid w:val="008C4838"/>
    <w:rsid w:val="008D3C1C"/>
    <w:rsid w:val="008E1F23"/>
    <w:rsid w:val="008E2230"/>
    <w:rsid w:val="008F760F"/>
    <w:rsid w:val="00911BF9"/>
    <w:rsid w:val="00912C82"/>
    <w:rsid w:val="00913C9C"/>
    <w:rsid w:val="00916DD2"/>
    <w:rsid w:val="009265EB"/>
    <w:rsid w:val="00927145"/>
    <w:rsid w:val="00927CAC"/>
    <w:rsid w:val="00931351"/>
    <w:rsid w:val="00934094"/>
    <w:rsid w:val="0093460C"/>
    <w:rsid w:val="00935A08"/>
    <w:rsid w:val="009401E4"/>
    <w:rsid w:val="00945261"/>
    <w:rsid w:val="009519FD"/>
    <w:rsid w:val="009571BA"/>
    <w:rsid w:val="00963590"/>
    <w:rsid w:val="00963779"/>
    <w:rsid w:val="00966F21"/>
    <w:rsid w:val="00970A49"/>
    <w:rsid w:val="00972215"/>
    <w:rsid w:val="009725FC"/>
    <w:rsid w:val="00972812"/>
    <w:rsid w:val="00972A5F"/>
    <w:rsid w:val="009733DA"/>
    <w:rsid w:val="009814FC"/>
    <w:rsid w:val="00981E09"/>
    <w:rsid w:val="00983662"/>
    <w:rsid w:val="00987E74"/>
    <w:rsid w:val="00987FED"/>
    <w:rsid w:val="00993356"/>
    <w:rsid w:val="009940DE"/>
    <w:rsid w:val="00994889"/>
    <w:rsid w:val="00996628"/>
    <w:rsid w:val="009A168C"/>
    <w:rsid w:val="009B030A"/>
    <w:rsid w:val="009B35C8"/>
    <w:rsid w:val="009B4AB3"/>
    <w:rsid w:val="009B5020"/>
    <w:rsid w:val="009B5C38"/>
    <w:rsid w:val="009C2942"/>
    <w:rsid w:val="009C4DD2"/>
    <w:rsid w:val="009C56A6"/>
    <w:rsid w:val="009C7F05"/>
    <w:rsid w:val="009D6AEA"/>
    <w:rsid w:val="009D7BFD"/>
    <w:rsid w:val="009E44C2"/>
    <w:rsid w:val="009E7D11"/>
    <w:rsid w:val="009F1085"/>
    <w:rsid w:val="009F3F68"/>
    <w:rsid w:val="009F6934"/>
    <w:rsid w:val="00A053E0"/>
    <w:rsid w:val="00A13F1B"/>
    <w:rsid w:val="00A14031"/>
    <w:rsid w:val="00A154FC"/>
    <w:rsid w:val="00A15714"/>
    <w:rsid w:val="00A15A40"/>
    <w:rsid w:val="00A21EE0"/>
    <w:rsid w:val="00A22175"/>
    <w:rsid w:val="00A27D4F"/>
    <w:rsid w:val="00A30E18"/>
    <w:rsid w:val="00A349DE"/>
    <w:rsid w:val="00A409FE"/>
    <w:rsid w:val="00A41982"/>
    <w:rsid w:val="00A520C7"/>
    <w:rsid w:val="00A54FDC"/>
    <w:rsid w:val="00A60C9C"/>
    <w:rsid w:val="00A7186D"/>
    <w:rsid w:val="00A72F10"/>
    <w:rsid w:val="00A7500F"/>
    <w:rsid w:val="00A86471"/>
    <w:rsid w:val="00A90852"/>
    <w:rsid w:val="00A94735"/>
    <w:rsid w:val="00AA051C"/>
    <w:rsid w:val="00AA2E34"/>
    <w:rsid w:val="00AA5216"/>
    <w:rsid w:val="00AA6593"/>
    <w:rsid w:val="00AB5C60"/>
    <w:rsid w:val="00AC3697"/>
    <w:rsid w:val="00AC3C18"/>
    <w:rsid w:val="00AC6978"/>
    <w:rsid w:val="00AD27D8"/>
    <w:rsid w:val="00AD3BE7"/>
    <w:rsid w:val="00AE1B80"/>
    <w:rsid w:val="00AE42FB"/>
    <w:rsid w:val="00AE5F20"/>
    <w:rsid w:val="00AE7BD6"/>
    <w:rsid w:val="00AF59DE"/>
    <w:rsid w:val="00AF70F6"/>
    <w:rsid w:val="00AF79A1"/>
    <w:rsid w:val="00B050F2"/>
    <w:rsid w:val="00B0762B"/>
    <w:rsid w:val="00B10FFE"/>
    <w:rsid w:val="00B11CFD"/>
    <w:rsid w:val="00B12329"/>
    <w:rsid w:val="00B32340"/>
    <w:rsid w:val="00B376CE"/>
    <w:rsid w:val="00B4011E"/>
    <w:rsid w:val="00B42DE2"/>
    <w:rsid w:val="00B4477E"/>
    <w:rsid w:val="00B4679D"/>
    <w:rsid w:val="00B545FE"/>
    <w:rsid w:val="00B5540D"/>
    <w:rsid w:val="00B61D95"/>
    <w:rsid w:val="00B63333"/>
    <w:rsid w:val="00B67920"/>
    <w:rsid w:val="00B705EB"/>
    <w:rsid w:val="00B70727"/>
    <w:rsid w:val="00B7207B"/>
    <w:rsid w:val="00B7328C"/>
    <w:rsid w:val="00B76960"/>
    <w:rsid w:val="00B83EEB"/>
    <w:rsid w:val="00B85105"/>
    <w:rsid w:val="00B86768"/>
    <w:rsid w:val="00B91CE9"/>
    <w:rsid w:val="00BA2D95"/>
    <w:rsid w:val="00BA363C"/>
    <w:rsid w:val="00BB0687"/>
    <w:rsid w:val="00BB283A"/>
    <w:rsid w:val="00BB309D"/>
    <w:rsid w:val="00BC7AE5"/>
    <w:rsid w:val="00BD0CAD"/>
    <w:rsid w:val="00BD1AFC"/>
    <w:rsid w:val="00BD47DC"/>
    <w:rsid w:val="00BD60D8"/>
    <w:rsid w:val="00BD6886"/>
    <w:rsid w:val="00BE2E60"/>
    <w:rsid w:val="00BF0849"/>
    <w:rsid w:val="00BF3392"/>
    <w:rsid w:val="00C02485"/>
    <w:rsid w:val="00C10C3F"/>
    <w:rsid w:val="00C16842"/>
    <w:rsid w:val="00C23037"/>
    <w:rsid w:val="00C23D34"/>
    <w:rsid w:val="00C307EE"/>
    <w:rsid w:val="00C37010"/>
    <w:rsid w:val="00C4298D"/>
    <w:rsid w:val="00C42CB2"/>
    <w:rsid w:val="00C477F8"/>
    <w:rsid w:val="00C52E3C"/>
    <w:rsid w:val="00C56BEC"/>
    <w:rsid w:val="00C61148"/>
    <w:rsid w:val="00C65F91"/>
    <w:rsid w:val="00C6682A"/>
    <w:rsid w:val="00C716EE"/>
    <w:rsid w:val="00C73295"/>
    <w:rsid w:val="00C77FBF"/>
    <w:rsid w:val="00C8118F"/>
    <w:rsid w:val="00C814BB"/>
    <w:rsid w:val="00C81957"/>
    <w:rsid w:val="00C82E58"/>
    <w:rsid w:val="00C96408"/>
    <w:rsid w:val="00CA02BC"/>
    <w:rsid w:val="00CA1AF3"/>
    <w:rsid w:val="00CA3FBD"/>
    <w:rsid w:val="00CA5B2E"/>
    <w:rsid w:val="00CA6FC8"/>
    <w:rsid w:val="00CB781A"/>
    <w:rsid w:val="00CC1D43"/>
    <w:rsid w:val="00CC1E5F"/>
    <w:rsid w:val="00CC4579"/>
    <w:rsid w:val="00CC53C4"/>
    <w:rsid w:val="00CC5EDC"/>
    <w:rsid w:val="00CC730D"/>
    <w:rsid w:val="00CC7B3C"/>
    <w:rsid w:val="00CD0704"/>
    <w:rsid w:val="00CD1298"/>
    <w:rsid w:val="00CD15FA"/>
    <w:rsid w:val="00CD1909"/>
    <w:rsid w:val="00CD2289"/>
    <w:rsid w:val="00CE2BD1"/>
    <w:rsid w:val="00CE7559"/>
    <w:rsid w:val="00CF0398"/>
    <w:rsid w:val="00CF2B84"/>
    <w:rsid w:val="00CF5045"/>
    <w:rsid w:val="00D00B7B"/>
    <w:rsid w:val="00D0329F"/>
    <w:rsid w:val="00D039CD"/>
    <w:rsid w:val="00D067A2"/>
    <w:rsid w:val="00D10D3F"/>
    <w:rsid w:val="00D123CB"/>
    <w:rsid w:val="00D166BA"/>
    <w:rsid w:val="00D22FE4"/>
    <w:rsid w:val="00D26552"/>
    <w:rsid w:val="00D36696"/>
    <w:rsid w:val="00D37250"/>
    <w:rsid w:val="00D4236C"/>
    <w:rsid w:val="00D43083"/>
    <w:rsid w:val="00D50619"/>
    <w:rsid w:val="00D629BD"/>
    <w:rsid w:val="00D655AD"/>
    <w:rsid w:val="00D65AF4"/>
    <w:rsid w:val="00D711C6"/>
    <w:rsid w:val="00D72356"/>
    <w:rsid w:val="00D734FB"/>
    <w:rsid w:val="00D74BD5"/>
    <w:rsid w:val="00D75171"/>
    <w:rsid w:val="00D764B4"/>
    <w:rsid w:val="00D807FB"/>
    <w:rsid w:val="00D92D5F"/>
    <w:rsid w:val="00D94691"/>
    <w:rsid w:val="00D955EF"/>
    <w:rsid w:val="00DA1910"/>
    <w:rsid w:val="00DA437B"/>
    <w:rsid w:val="00DA4CC2"/>
    <w:rsid w:val="00DB0556"/>
    <w:rsid w:val="00DB25DA"/>
    <w:rsid w:val="00DC0BF5"/>
    <w:rsid w:val="00DC0D4B"/>
    <w:rsid w:val="00DD28B0"/>
    <w:rsid w:val="00DE6CA7"/>
    <w:rsid w:val="00DF14FA"/>
    <w:rsid w:val="00DF306D"/>
    <w:rsid w:val="00DF565E"/>
    <w:rsid w:val="00DF5C4E"/>
    <w:rsid w:val="00E0122E"/>
    <w:rsid w:val="00E0422D"/>
    <w:rsid w:val="00E1632E"/>
    <w:rsid w:val="00E166A5"/>
    <w:rsid w:val="00E16B43"/>
    <w:rsid w:val="00E27510"/>
    <w:rsid w:val="00E3296D"/>
    <w:rsid w:val="00E33112"/>
    <w:rsid w:val="00E352BD"/>
    <w:rsid w:val="00E362BE"/>
    <w:rsid w:val="00E40089"/>
    <w:rsid w:val="00E4268C"/>
    <w:rsid w:val="00E432CA"/>
    <w:rsid w:val="00E50AA0"/>
    <w:rsid w:val="00E5220C"/>
    <w:rsid w:val="00E551C4"/>
    <w:rsid w:val="00E5522D"/>
    <w:rsid w:val="00E5591B"/>
    <w:rsid w:val="00E63885"/>
    <w:rsid w:val="00E64E84"/>
    <w:rsid w:val="00E8562E"/>
    <w:rsid w:val="00E9300A"/>
    <w:rsid w:val="00E93879"/>
    <w:rsid w:val="00E94C5B"/>
    <w:rsid w:val="00E960C9"/>
    <w:rsid w:val="00EA1A5E"/>
    <w:rsid w:val="00EA673E"/>
    <w:rsid w:val="00EA6912"/>
    <w:rsid w:val="00EB15BC"/>
    <w:rsid w:val="00EB7BDE"/>
    <w:rsid w:val="00ED1E7E"/>
    <w:rsid w:val="00ED1FB2"/>
    <w:rsid w:val="00ED2B73"/>
    <w:rsid w:val="00ED4DD3"/>
    <w:rsid w:val="00ED5AA5"/>
    <w:rsid w:val="00EE042A"/>
    <w:rsid w:val="00EE14FD"/>
    <w:rsid w:val="00EE5431"/>
    <w:rsid w:val="00F001AB"/>
    <w:rsid w:val="00F00C4A"/>
    <w:rsid w:val="00F10DFD"/>
    <w:rsid w:val="00F14BE9"/>
    <w:rsid w:val="00F20076"/>
    <w:rsid w:val="00F23660"/>
    <w:rsid w:val="00F34ADF"/>
    <w:rsid w:val="00F37584"/>
    <w:rsid w:val="00F41DB5"/>
    <w:rsid w:val="00F44AE4"/>
    <w:rsid w:val="00F44FE1"/>
    <w:rsid w:val="00F4627C"/>
    <w:rsid w:val="00F4638E"/>
    <w:rsid w:val="00F469D1"/>
    <w:rsid w:val="00F50A36"/>
    <w:rsid w:val="00F520A1"/>
    <w:rsid w:val="00F637E6"/>
    <w:rsid w:val="00F64EAE"/>
    <w:rsid w:val="00F73D1D"/>
    <w:rsid w:val="00F80808"/>
    <w:rsid w:val="00F80A75"/>
    <w:rsid w:val="00F81669"/>
    <w:rsid w:val="00F81E2C"/>
    <w:rsid w:val="00F92C8C"/>
    <w:rsid w:val="00F93707"/>
    <w:rsid w:val="00F96397"/>
    <w:rsid w:val="00FA5B47"/>
    <w:rsid w:val="00FB3017"/>
    <w:rsid w:val="00FB5947"/>
    <w:rsid w:val="00FC499F"/>
    <w:rsid w:val="00FD0D44"/>
    <w:rsid w:val="00FD2EC5"/>
    <w:rsid w:val="00FE17AF"/>
    <w:rsid w:val="00FE37D3"/>
    <w:rsid w:val="00FE398A"/>
    <w:rsid w:val="00FE6A20"/>
    <w:rsid w:val="00FF3D0E"/>
    <w:rsid w:val="00FF497B"/>
    <w:rsid w:val="00FF4D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50CAE1B"/>
  <w15:chartTrackingRefBased/>
  <w15:docId w15:val="{6D6546E8-1778-423F-8287-898AC67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6F2B"/>
    <w:pPr>
      <w:spacing w:after="0"/>
    </w:pPr>
  </w:style>
  <w:style w:type="paragraph" w:styleId="Kop1">
    <w:name w:val="heading 1"/>
    <w:basedOn w:val="Standaard"/>
    <w:next w:val="Standaard"/>
    <w:link w:val="Kop1Char"/>
    <w:uiPriority w:val="9"/>
    <w:qFormat/>
    <w:rsid w:val="00D72356"/>
    <w:pPr>
      <w:keepNext/>
      <w:keepLines/>
      <w:pageBreakBefore/>
      <w:numPr>
        <w:numId w:val="7"/>
      </w:numPr>
      <w:spacing w:before="320" w:line="240" w:lineRule="auto"/>
      <w:ind w:left="431" w:hanging="431"/>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D1FB2"/>
    <w:pPr>
      <w:keepNext/>
      <w:keepLines/>
      <w:pageBreakBefore/>
      <w:numPr>
        <w:ilvl w:val="1"/>
        <w:numId w:val="7"/>
      </w:numPr>
      <w:spacing w:before="80" w:line="240" w:lineRule="auto"/>
      <w:ind w:left="578" w:hanging="578"/>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unhideWhenUsed/>
    <w:qFormat/>
    <w:rsid w:val="00CA5B2E"/>
    <w:pPr>
      <w:keepNext/>
      <w:keepLines/>
      <w:numPr>
        <w:ilvl w:val="2"/>
        <w:numId w:val="7"/>
      </w:numPr>
      <w:spacing w:before="4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CA5B2E"/>
    <w:pPr>
      <w:keepNext/>
      <w:keepLines/>
      <w:numPr>
        <w:ilvl w:val="3"/>
        <w:numId w:val="7"/>
      </w:numPr>
      <w:spacing w:before="4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CA5B2E"/>
    <w:pPr>
      <w:keepNext/>
      <w:keepLines/>
      <w:numPr>
        <w:ilvl w:val="4"/>
        <w:numId w:val="7"/>
      </w:numPr>
      <w:spacing w:before="4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CA5B2E"/>
    <w:pPr>
      <w:keepNext/>
      <w:keepLines/>
      <w:numPr>
        <w:ilvl w:val="5"/>
        <w:numId w:val="7"/>
      </w:numPr>
      <w:spacing w:before="4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CA5B2E"/>
    <w:pPr>
      <w:keepNext/>
      <w:keepLines/>
      <w:numPr>
        <w:ilvl w:val="6"/>
        <w:numId w:val="7"/>
      </w:numPr>
      <w:spacing w:before="4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iPriority w:val="9"/>
    <w:semiHidden/>
    <w:unhideWhenUsed/>
    <w:qFormat/>
    <w:rsid w:val="00CA5B2E"/>
    <w:pPr>
      <w:keepNext/>
      <w:keepLines/>
      <w:numPr>
        <w:ilvl w:val="7"/>
        <w:numId w:val="7"/>
      </w:numPr>
      <w:spacing w:before="4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CA5B2E"/>
    <w:pPr>
      <w:keepNext/>
      <w:keepLines/>
      <w:numPr>
        <w:ilvl w:val="8"/>
        <w:numId w:val="7"/>
      </w:numPr>
      <w:spacing w:before="4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Lichtelijst-accent111">
    <w:name w:val="Lichte lijst - accent 111"/>
    <w:basedOn w:val="Standaardtabel"/>
    <w:uiPriority w:val="61"/>
    <w:rsid w:val="00CA5B2E"/>
    <w:pPr>
      <w:spacing w:after="0" w:line="240" w:lineRule="auto"/>
    </w:pPr>
    <w:rPr>
      <w:rFonts w:ascii="Times New Roman" w:eastAsia="Times New Roman" w:hAnsi="Times New Roman" w:cs="Times New Roman"/>
      <w:lang w:eastAsia="nl-N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Voetnoottekst">
    <w:name w:val="footnote text"/>
    <w:aliases w:val="Voetnoottekst CE Delft,Voetnoottekst Char1,Voetnoottekst Char2 Char,Voetnoottekst Char1 Char Char,Voetnoottekst Char3 Char Char Char,Voetnoottekst Char2 Char Char Char Char,Voetnoottekst Char1 Char Char Char Char Char,Voetnoottekst Char2"/>
    <w:basedOn w:val="Standaard"/>
    <w:link w:val="VoetnoottekstChar"/>
    <w:uiPriority w:val="99"/>
    <w:rsid w:val="00CA5B2E"/>
    <w:pPr>
      <w:spacing w:line="180" w:lineRule="atLeast"/>
    </w:pPr>
    <w:rPr>
      <w:rFonts w:eastAsia="Times New Roman" w:cs="Times New Roman"/>
      <w:sz w:val="13"/>
      <w:lang w:eastAsia="nl-NL"/>
    </w:rPr>
  </w:style>
  <w:style w:type="character" w:customStyle="1" w:styleId="VoetnoottekstChar">
    <w:name w:val="Voetnoottekst Char"/>
    <w:aliases w:val="Voetnoottekst CE Delft Char,Voetnoottekst Char1 Char,Voetnoottekst Char2 Char Char,Voetnoottekst Char1 Char Char Char,Voetnoottekst Char3 Char Char Char Char,Voetnoottekst Char2 Char Char Char Char Char,Voetnoottekst Char2 Char1"/>
    <w:basedOn w:val="Standaardalinea-lettertype"/>
    <w:link w:val="Voetnoottekst"/>
    <w:uiPriority w:val="99"/>
    <w:rsid w:val="00CA5B2E"/>
    <w:rPr>
      <w:rFonts w:eastAsia="Times New Roman" w:cs="Times New Roman"/>
      <w:sz w:val="13"/>
      <w:szCs w:val="20"/>
      <w:lang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unhideWhenUsed/>
    <w:qFormat/>
    <w:rsid w:val="00CA5B2E"/>
    <w:rPr>
      <w:rFonts w:cs="Times New Roman"/>
      <w:vertAlign w:val="superscript"/>
    </w:rPr>
  </w:style>
  <w:style w:type="character" w:styleId="Hyperlink">
    <w:name w:val="Hyperlink"/>
    <w:basedOn w:val="Standaardalinea-lettertype"/>
    <w:uiPriority w:val="99"/>
    <w:rsid w:val="00CA5B2E"/>
    <w:rPr>
      <w:color w:val="0000FF"/>
      <w:u w:val="single"/>
    </w:rPr>
  </w:style>
  <w:style w:type="character" w:customStyle="1" w:styleId="Kop1Char">
    <w:name w:val="Kop 1 Char"/>
    <w:basedOn w:val="Standaardalinea-lettertype"/>
    <w:link w:val="Kop1"/>
    <w:uiPriority w:val="9"/>
    <w:rsid w:val="00D72356"/>
    <w:rPr>
      <w:rFonts w:asciiTheme="majorHAnsi" w:eastAsiaTheme="majorEastAsia" w:hAnsiTheme="majorHAnsi" w:cstheme="majorBidi"/>
      <w:color w:val="2E74B5" w:themeColor="accent1" w:themeShade="BF"/>
      <w:sz w:val="32"/>
      <w:szCs w:val="32"/>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A5B2E"/>
    <w:pPr>
      <w:ind w:left="720"/>
      <w:contextualSpacing/>
    </w:pPr>
  </w:style>
  <w:style w:type="character" w:customStyle="1" w:styleId="Kop2Char">
    <w:name w:val="Kop 2 Char"/>
    <w:basedOn w:val="Standaardalinea-lettertype"/>
    <w:link w:val="Kop2"/>
    <w:uiPriority w:val="9"/>
    <w:rsid w:val="00ED1FB2"/>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rsid w:val="00CA5B2E"/>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CA5B2E"/>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CA5B2E"/>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CA5B2E"/>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CA5B2E"/>
    <w:rPr>
      <w:rFonts w:asciiTheme="majorHAnsi" w:eastAsiaTheme="majorEastAsia" w:hAnsiTheme="majorHAnsi" w:cstheme="majorBidi"/>
      <w:i/>
      <w:iCs/>
      <w:color w:val="1F4E79" w:themeColor="accent1" w:themeShade="80"/>
      <w:sz w:val="21"/>
      <w:szCs w:val="21"/>
    </w:rPr>
  </w:style>
  <w:style w:type="character" w:customStyle="1" w:styleId="Kop8Char">
    <w:name w:val="Kop 8 Char"/>
    <w:basedOn w:val="Standaardalinea-lettertype"/>
    <w:link w:val="Kop8"/>
    <w:uiPriority w:val="9"/>
    <w:semiHidden/>
    <w:rsid w:val="00CA5B2E"/>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CA5B2E"/>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unhideWhenUsed/>
    <w:qFormat/>
    <w:rsid w:val="00CA5B2E"/>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CA5B2E"/>
    <w:pPr>
      <w:spacing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elChar">
    <w:name w:val="Titel Char"/>
    <w:basedOn w:val="Standaardalinea-lettertype"/>
    <w:link w:val="Titel"/>
    <w:uiPriority w:val="10"/>
    <w:rsid w:val="00CA5B2E"/>
    <w:rPr>
      <w:rFonts w:asciiTheme="majorHAnsi" w:eastAsiaTheme="majorEastAsia" w:hAnsiTheme="majorHAnsi" w:cstheme="majorBidi"/>
      <w:color w:val="5B9BD5" w:themeColor="accent1"/>
      <w:spacing w:val="-10"/>
      <w:sz w:val="56"/>
      <w:szCs w:val="56"/>
    </w:rPr>
  </w:style>
  <w:style w:type="paragraph" w:styleId="Ondertitel">
    <w:name w:val="Subtitle"/>
    <w:basedOn w:val="Standaard"/>
    <w:next w:val="Standaard"/>
    <w:link w:val="OndertitelChar"/>
    <w:uiPriority w:val="11"/>
    <w:qFormat/>
    <w:rsid w:val="00CA5B2E"/>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CA5B2E"/>
    <w:rPr>
      <w:rFonts w:asciiTheme="majorHAnsi" w:eastAsiaTheme="majorEastAsia" w:hAnsiTheme="majorHAnsi" w:cstheme="majorBidi"/>
      <w:sz w:val="24"/>
      <w:szCs w:val="24"/>
    </w:rPr>
  </w:style>
  <w:style w:type="character" w:styleId="Zwaar">
    <w:name w:val="Strong"/>
    <w:basedOn w:val="Standaardalinea-lettertype"/>
    <w:uiPriority w:val="22"/>
    <w:qFormat/>
    <w:rsid w:val="00CA5B2E"/>
    <w:rPr>
      <w:b/>
      <w:bCs/>
    </w:rPr>
  </w:style>
  <w:style w:type="character" w:styleId="Nadruk">
    <w:name w:val="Emphasis"/>
    <w:basedOn w:val="Standaardalinea-lettertype"/>
    <w:uiPriority w:val="20"/>
    <w:qFormat/>
    <w:rsid w:val="00CA5B2E"/>
    <w:rPr>
      <w:i/>
      <w:iCs/>
    </w:rPr>
  </w:style>
  <w:style w:type="paragraph" w:styleId="Geenafstand">
    <w:name w:val="No Spacing"/>
    <w:uiPriority w:val="1"/>
    <w:qFormat/>
    <w:rsid w:val="00CA5B2E"/>
    <w:pPr>
      <w:spacing w:after="0" w:line="240" w:lineRule="auto"/>
    </w:pPr>
  </w:style>
  <w:style w:type="paragraph" w:styleId="Citaat">
    <w:name w:val="Quote"/>
    <w:basedOn w:val="Standaard"/>
    <w:next w:val="Standaard"/>
    <w:link w:val="CitaatChar"/>
    <w:uiPriority w:val="29"/>
    <w:qFormat/>
    <w:rsid w:val="00CA5B2E"/>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CA5B2E"/>
    <w:rPr>
      <w:i/>
      <w:iCs/>
      <w:color w:val="404040" w:themeColor="text1" w:themeTint="BF"/>
    </w:rPr>
  </w:style>
  <w:style w:type="paragraph" w:styleId="Duidelijkcitaat">
    <w:name w:val="Intense Quote"/>
    <w:basedOn w:val="Standaard"/>
    <w:next w:val="Standaard"/>
    <w:link w:val="DuidelijkcitaatChar"/>
    <w:uiPriority w:val="30"/>
    <w:qFormat/>
    <w:rsid w:val="00CA5B2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CA5B2E"/>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CA5B2E"/>
    <w:rPr>
      <w:i/>
      <w:iCs/>
      <w:color w:val="404040" w:themeColor="text1" w:themeTint="BF"/>
    </w:rPr>
  </w:style>
  <w:style w:type="character" w:styleId="Intensievebenadrukking">
    <w:name w:val="Intense Emphasis"/>
    <w:basedOn w:val="Standaardalinea-lettertype"/>
    <w:uiPriority w:val="21"/>
    <w:qFormat/>
    <w:rsid w:val="00CA5B2E"/>
    <w:rPr>
      <w:b/>
      <w:bCs/>
      <w:i/>
      <w:iCs/>
    </w:rPr>
  </w:style>
  <w:style w:type="character" w:styleId="Subtieleverwijzing">
    <w:name w:val="Subtle Reference"/>
    <w:basedOn w:val="Standaardalinea-lettertype"/>
    <w:uiPriority w:val="31"/>
    <w:qFormat/>
    <w:rsid w:val="00CA5B2E"/>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CA5B2E"/>
    <w:rPr>
      <w:b/>
      <w:bCs/>
      <w:smallCaps/>
      <w:spacing w:val="5"/>
      <w:u w:val="single"/>
    </w:rPr>
  </w:style>
  <w:style w:type="character" w:styleId="Titelvanboek">
    <w:name w:val="Book Title"/>
    <w:basedOn w:val="Standaardalinea-lettertype"/>
    <w:uiPriority w:val="33"/>
    <w:qFormat/>
    <w:rsid w:val="00CA5B2E"/>
    <w:rPr>
      <w:b/>
      <w:bCs/>
      <w:smallCaps/>
    </w:rPr>
  </w:style>
  <w:style w:type="paragraph" w:styleId="Kopvaninhoudsopgave">
    <w:name w:val="TOC Heading"/>
    <w:basedOn w:val="Kop1"/>
    <w:next w:val="Standaard"/>
    <w:uiPriority w:val="39"/>
    <w:unhideWhenUsed/>
    <w:qFormat/>
    <w:rsid w:val="00CA5B2E"/>
    <w:pPr>
      <w:outlineLvl w:val="9"/>
    </w:pPr>
  </w:style>
  <w:style w:type="paragraph" w:styleId="Inhopg1">
    <w:name w:val="toc 1"/>
    <w:basedOn w:val="Standaard"/>
    <w:next w:val="Standaard"/>
    <w:autoRedefine/>
    <w:uiPriority w:val="39"/>
    <w:unhideWhenUsed/>
    <w:rsid w:val="00515AEE"/>
    <w:pPr>
      <w:tabs>
        <w:tab w:val="left" w:pos="440"/>
        <w:tab w:val="right" w:pos="9062"/>
      </w:tabs>
      <w:spacing w:before="200"/>
      <w:ind w:left="425" w:hanging="425"/>
    </w:pPr>
    <w:rPr>
      <w:rFonts w:eastAsia="Times New Roman"/>
      <w:b/>
      <w:noProof/>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3B6C84"/>
  </w:style>
  <w:style w:type="paragraph" w:styleId="Inhopg2">
    <w:name w:val="toc 2"/>
    <w:basedOn w:val="Standaard"/>
    <w:next w:val="Standaard"/>
    <w:autoRedefine/>
    <w:uiPriority w:val="39"/>
    <w:unhideWhenUsed/>
    <w:rsid w:val="004874BC"/>
    <w:pPr>
      <w:tabs>
        <w:tab w:val="right" w:pos="9072"/>
      </w:tabs>
      <w:ind w:left="851" w:hanging="425"/>
    </w:pPr>
    <w:rPr>
      <w:noProof/>
    </w:rPr>
  </w:style>
  <w:style w:type="paragraph" w:styleId="Plattetekst">
    <w:name w:val="Body Text"/>
    <w:basedOn w:val="Standaard"/>
    <w:link w:val="PlattetekstChar"/>
    <w:rsid w:val="009F3F68"/>
    <w:pPr>
      <w:widowControl w:val="0"/>
      <w:tabs>
        <w:tab w:val="left" w:pos="1418"/>
        <w:tab w:val="left" w:pos="2835"/>
        <w:tab w:val="left" w:pos="4253"/>
        <w:tab w:val="left" w:pos="5670"/>
      </w:tabs>
      <w:suppressAutoHyphens/>
      <w:spacing w:line="360" w:lineRule="auto"/>
    </w:pPr>
    <w:rPr>
      <w:rFonts w:ascii="Arial" w:eastAsia="Times New Roman" w:hAnsi="Arial" w:cs="Times New Roman"/>
      <w:lang w:eastAsia="nl-NL"/>
    </w:rPr>
  </w:style>
  <w:style w:type="character" w:customStyle="1" w:styleId="PlattetekstChar">
    <w:name w:val="Platte tekst Char"/>
    <w:basedOn w:val="Standaardalinea-lettertype"/>
    <w:link w:val="Plattetekst"/>
    <w:rsid w:val="009F3F68"/>
    <w:rPr>
      <w:rFonts w:ascii="Arial" w:eastAsia="Times New Roman" w:hAnsi="Arial" w:cs="Times New Roman"/>
      <w:lang w:eastAsia="nl-NL"/>
    </w:rPr>
  </w:style>
  <w:style w:type="character" w:styleId="Verwijzingopmerking">
    <w:name w:val="annotation reference"/>
    <w:basedOn w:val="Standaardalinea-lettertype"/>
    <w:uiPriority w:val="99"/>
    <w:semiHidden/>
    <w:unhideWhenUsed/>
    <w:rsid w:val="009F3F68"/>
    <w:rPr>
      <w:sz w:val="16"/>
      <w:szCs w:val="16"/>
    </w:rPr>
  </w:style>
  <w:style w:type="paragraph" w:styleId="Tekstopmerking">
    <w:name w:val="annotation text"/>
    <w:basedOn w:val="Standaard"/>
    <w:link w:val="TekstopmerkingChar"/>
    <w:uiPriority w:val="99"/>
    <w:unhideWhenUsed/>
    <w:rsid w:val="009F3F68"/>
    <w:pPr>
      <w:spacing w:line="240" w:lineRule="auto"/>
    </w:pPr>
    <w:rPr>
      <w:lang w:val="en-US"/>
    </w:rPr>
  </w:style>
  <w:style w:type="character" w:customStyle="1" w:styleId="TekstopmerkingChar">
    <w:name w:val="Tekst opmerking Char"/>
    <w:basedOn w:val="Standaardalinea-lettertype"/>
    <w:link w:val="Tekstopmerking"/>
    <w:uiPriority w:val="99"/>
    <w:rsid w:val="009F3F68"/>
    <w:rPr>
      <w:lang w:val="en-US"/>
    </w:rPr>
  </w:style>
  <w:style w:type="paragraph" w:styleId="Ballontekst">
    <w:name w:val="Balloon Text"/>
    <w:basedOn w:val="Standaard"/>
    <w:link w:val="BallontekstChar"/>
    <w:uiPriority w:val="99"/>
    <w:semiHidden/>
    <w:unhideWhenUsed/>
    <w:rsid w:val="009F3F6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3F68"/>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B91CE9"/>
    <w:rPr>
      <w:b/>
      <w:bCs/>
      <w:lang w:val="nl-NL"/>
    </w:rPr>
  </w:style>
  <w:style w:type="character" w:customStyle="1" w:styleId="OnderwerpvanopmerkingChar">
    <w:name w:val="Onderwerp van opmerking Char"/>
    <w:basedOn w:val="TekstopmerkingChar"/>
    <w:link w:val="Onderwerpvanopmerking"/>
    <w:uiPriority w:val="99"/>
    <w:semiHidden/>
    <w:rsid w:val="00B91CE9"/>
    <w:rPr>
      <w:b/>
      <w:bCs/>
      <w:lang w:val="en-US"/>
    </w:rPr>
  </w:style>
  <w:style w:type="table" w:customStyle="1" w:styleId="Rastertabel4-Accent11">
    <w:name w:val="Rastertabel 4 - Accent 11"/>
    <w:basedOn w:val="Standaardtabel"/>
    <w:uiPriority w:val="49"/>
    <w:rsid w:val="008E1F23"/>
    <w:pPr>
      <w:spacing w:after="0" w:line="240" w:lineRule="auto"/>
    </w:pPr>
    <w:rPr>
      <w:rFonts w:eastAsiaTheme="minorHAns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ramingstoelichting">
    <w:name w:val="Tabel ramingstoelichting"/>
    <w:basedOn w:val="Standaardtabel"/>
    <w:uiPriority w:val="61"/>
    <w:rsid w:val="00764587"/>
    <w:pPr>
      <w:spacing w:after="0" w:line="240" w:lineRule="auto"/>
      <w:jc w:val="center"/>
    </w:pPr>
    <w:rPr>
      <w:rFonts w:eastAsia="Times New Roman" w:cs="Times New Roman"/>
      <w:lang w:eastAsia="nl-N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jc w:val="center"/>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pPr>
        <w:jc w:val="left"/>
      </w:pPr>
      <w:rPr>
        <w:b w:val="0"/>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Koptekst">
    <w:name w:val="header"/>
    <w:basedOn w:val="Standaard"/>
    <w:link w:val="KoptekstChar"/>
    <w:uiPriority w:val="99"/>
    <w:unhideWhenUsed/>
    <w:rsid w:val="001468A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468AE"/>
  </w:style>
  <w:style w:type="paragraph" w:styleId="Voettekst">
    <w:name w:val="footer"/>
    <w:basedOn w:val="Standaard"/>
    <w:link w:val="VoettekstChar"/>
    <w:uiPriority w:val="99"/>
    <w:unhideWhenUsed/>
    <w:rsid w:val="001468A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468AE"/>
  </w:style>
  <w:style w:type="table" w:styleId="Tabelraster">
    <w:name w:val="Table Grid"/>
    <w:basedOn w:val="Standaardtabel"/>
    <w:uiPriority w:val="59"/>
    <w:rsid w:val="00181E4B"/>
    <w:pPr>
      <w:spacing w:after="0" w:line="240" w:lineRule="auto"/>
    </w:pPr>
    <w:rPr>
      <w:rFonts w:ascii="Verdana" w:eastAsiaTheme="minorHAnsi" w:hAnsi="Verdana"/>
      <w:sz w:val="18"/>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4E67"/>
    <w:pPr>
      <w:autoSpaceDE w:val="0"/>
      <w:autoSpaceDN w:val="0"/>
      <w:adjustRightInd w:val="0"/>
      <w:spacing w:after="0" w:line="240" w:lineRule="auto"/>
    </w:pPr>
    <w:rPr>
      <w:rFonts w:ascii="Verdana" w:eastAsiaTheme="minorHAnsi" w:hAnsi="Verdana" w:cs="Verdana"/>
      <w:color w:val="000000"/>
      <w:sz w:val="24"/>
      <w:szCs w:val="24"/>
    </w:rPr>
  </w:style>
  <w:style w:type="table" w:styleId="Tabelrasterlicht">
    <w:name w:val="Grid Table Light"/>
    <w:basedOn w:val="Standaardtabel"/>
    <w:uiPriority w:val="40"/>
    <w:rsid w:val="00C23D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C23D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1licht-Accent1">
    <w:name w:val="Grid Table 1 Light Accent 1"/>
    <w:basedOn w:val="Standaardtabel"/>
    <w:uiPriority w:val="46"/>
    <w:rsid w:val="00C23D3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Lijsttabel3-Accent1">
    <w:name w:val="List Table 3 Accent 1"/>
    <w:basedOn w:val="Standaardtabel"/>
    <w:uiPriority w:val="48"/>
    <w:rsid w:val="00C23D3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2-Accent5">
    <w:name w:val="List Table 2 Accent 5"/>
    <w:basedOn w:val="Standaardtabel"/>
    <w:uiPriority w:val="47"/>
    <w:rsid w:val="00C23D3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e">
    <w:name w:val="Revision"/>
    <w:hidden/>
    <w:uiPriority w:val="99"/>
    <w:semiHidden/>
    <w:rsid w:val="00286DA5"/>
    <w:pPr>
      <w:spacing w:after="0" w:line="240" w:lineRule="auto"/>
    </w:pPr>
  </w:style>
  <w:style w:type="table" w:styleId="Rastertabel4-Accent1">
    <w:name w:val="Grid Table 4 Accent 1"/>
    <w:basedOn w:val="Standaardtabel"/>
    <w:uiPriority w:val="49"/>
    <w:rsid w:val="00195C92"/>
    <w:pPr>
      <w:spacing w:after="0" w:line="240" w:lineRule="auto"/>
    </w:pPr>
    <w:rPr>
      <w:rFonts w:eastAsiaTheme="minorHAns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Onopgelostemelding">
    <w:name w:val="Unresolved Mention"/>
    <w:basedOn w:val="Standaardalinea-lettertype"/>
    <w:uiPriority w:val="99"/>
    <w:semiHidden/>
    <w:unhideWhenUsed/>
    <w:rsid w:val="004E0D6C"/>
    <w:rPr>
      <w:color w:val="605E5C"/>
      <w:shd w:val="clear" w:color="auto" w:fill="E1DFDD"/>
    </w:rPr>
  </w:style>
  <w:style w:type="table" w:styleId="Rastertabel5donker-Accent1">
    <w:name w:val="Grid Table 5 Dark Accent 1"/>
    <w:basedOn w:val="Standaardtabel"/>
    <w:uiPriority w:val="50"/>
    <w:rsid w:val="00E1632E"/>
    <w:pPr>
      <w:spacing w:after="0" w:line="240" w:lineRule="auto"/>
    </w:pPr>
    <w:rPr>
      <w:rFonts w:ascii="Times New Roman" w:eastAsia="Times New Roman" w:hAnsi="Times New Roman" w:cs="Times New Roman"/>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7376">
      <w:bodyDiv w:val="1"/>
      <w:marLeft w:val="0"/>
      <w:marRight w:val="0"/>
      <w:marTop w:val="0"/>
      <w:marBottom w:val="0"/>
      <w:divBdr>
        <w:top w:val="none" w:sz="0" w:space="0" w:color="auto"/>
        <w:left w:val="none" w:sz="0" w:space="0" w:color="auto"/>
        <w:bottom w:val="none" w:sz="0" w:space="0" w:color="auto"/>
        <w:right w:val="none" w:sz="0" w:space="0" w:color="auto"/>
      </w:divBdr>
    </w:div>
    <w:div w:id="344989587">
      <w:bodyDiv w:val="1"/>
      <w:marLeft w:val="0"/>
      <w:marRight w:val="0"/>
      <w:marTop w:val="0"/>
      <w:marBottom w:val="0"/>
      <w:divBdr>
        <w:top w:val="none" w:sz="0" w:space="0" w:color="auto"/>
        <w:left w:val="none" w:sz="0" w:space="0" w:color="auto"/>
        <w:bottom w:val="none" w:sz="0" w:space="0" w:color="auto"/>
        <w:right w:val="none" w:sz="0" w:space="0" w:color="auto"/>
      </w:divBdr>
    </w:div>
    <w:div w:id="348875299">
      <w:bodyDiv w:val="1"/>
      <w:marLeft w:val="0"/>
      <w:marRight w:val="0"/>
      <w:marTop w:val="0"/>
      <w:marBottom w:val="0"/>
      <w:divBdr>
        <w:top w:val="none" w:sz="0" w:space="0" w:color="auto"/>
        <w:left w:val="none" w:sz="0" w:space="0" w:color="auto"/>
        <w:bottom w:val="none" w:sz="0" w:space="0" w:color="auto"/>
        <w:right w:val="none" w:sz="0" w:space="0" w:color="auto"/>
      </w:divBdr>
    </w:div>
    <w:div w:id="503403815">
      <w:bodyDiv w:val="1"/>
      <w:marLeft w:val="0"/>
      <w:marRight w:val="0"/>
      <w:marTop w:val="0"/>
      <w:marBottom w:val="0"/>
      <w:divBdr>
        <w:top w:val="none" w:sz="0" w:space="0" w:color="auto"/>
        <w:left w:val="none" w:sz="0" w:space="0" w:color="auto"/>
        <w:bottom w:val="none" w:sz="0" w:space="0" w:color="auto"/>
        <w:right w:val="none" w:sz="0" w:space="0" w:color="auto"/>
      </w:divBdr>
    </w:div>
    <w:div w:id="661008280">
      <w:bodyDiv w:val="1"/>
      <w:marLeft w:val="0"/>
      <w:marRight w:val="0"/>
      <w:marTop w:val="0"/>
      <w:marBottom w:val="0"/>
      <w:divBdr>
        <w:top w:val="none" w:sz="0" w:space="0" w:color="auto"/>
        <w:left w:val="none" w:sz="0" w:space="0" w:color="auto"/>
        <w:bottom w:val="none" w:sz="0" w:space="0" w:color="auto"/>
        <w:right w:val="none" w:sz="0" w:space="0" w:color="auto"/>
      </w:divBdr>
    </w:div>
    <w:div w:id="666639582">
      <w:bodyDiv w:val="1"/>
      <w:marLeft w:val="0"/>
      <w:marRight w:val="0"/>
      <w:marTop w:val="0"/>
      <w:marBottom w:val="0"/>
      <w:divBdr>
        <w:top w:val="none" w:sz="0" w:space="0" w:color="auto"/>
        <w:left w:val="none" w:sz="0" w:space="0" w:color="auto"/>
        <w:bottom w:val="none" w:sz="0" w:space="0" w:color="auto"/>
        <w:right w:val="none" w:sz="0" w:space="0" w:color="auto"/>
      </w:divBdr>
    </w:div>
    <w:div w:id="790441798">
      <w:bodyDiv w:val="1"/>
      <w:marLeft w:val="0"/>
      <w:marRight w:val="0"/>
      <w:marTop w:val="0"/>
      <w:marBottom w:val="0"/>
      <w:divBdr>
        <w:top w:val="none" w:sz="0" w:space="0" w:color="auto"/>
        <w:left w:val="none" w:sz="0" w:space="0" w:color="auto"/>
        <w:bottom w:val="none" w:sz="0" w:space="0" w:color="auto"/>
        <w:right w:val="none" w:sz="0" w:space="0" w:color="auto"/>
      </w:divBdr>
    </w:div>
    <w:div w:id="808136191">
      <w:bodyDiv w:val="1"/>
      <w:marLeft w:val="0"/>
      <w:marRight w:val="0"/>
      <w:marTop w:val="0"/>
      <w:marBottom w:val="0"/>
      <w:divBdr>
        <w:top w:val="none" w:sz="0" w:space="0" w:color="auto"/>
        <w:left w:val="none" w:sz="0" w:space="0" w:color="auto"/>
        <w:bottom w:val="none" w:sz="0" w:space="0" w:color="auto"/>
        <w:right w:val="none" w:sz="0" w:space="0" w:color="auto"/>
      </w:divBdr>
    </w:div>
    <w:div w:id="1062173368">
      <w:bodyDiv w:val="1"/>
      <w:marLeft w:val="0"/>
      <w:marRight w:val="0"/>
      <w:marTop w:val="0"/>
      <w:marBottom w:val="0"/>
      <w:divBdr>
        <w:top w:val="none" w:sz="0" w:space="0" w:color="auto"/>
        <w:left w:val="none" w:sz="0" w:space="0" w:color="auto"/>
        <w:bottom w:val="none" w:sz="0" w:space="0" w:color="auto"/>
        <w:right w:val="none" w:sz="0" w:space="0" w:color="auto"/>
      </w:divBdr>
    </w:div>
    <w:div w:id="1414158093">
      <w:bodyDiv w:val="1"/>
      <w:marLeft w:val="0"/>
      <w:marRight w:val="0"/>
      <w:marTop w:val="0"/>
      <w:marBottom w:val="0"/>
      <w:divBdr>
        <w:top w:val="none" w:sz="0" w:space="0" w:color="auto"/>
        <w:left w:val="none" w:sz="0" w:space="0" w:color="auto"/>
        <w:bottom w:val="none" w:sz="0" w:space="0" w:color="auto"/>
        <w:right w:val="none" w:sz="0" w:space="0" w:color="auto"/>
      </w:divBdr>
    </w:div>
    <w:div w:id="1419599337">
      <w:bodyDiv w:val="1"/>
      <w:marLeft w:val="0"/>
      <w:marRight w:val="0"/>
      <w:marTop w:val="0"/>
      <w:marBottom w:val="0"/>
      <w:divBdr>
        <w:top w:val="none" w:sz="0" w:space="0" w:color="auto"/>
        <w:left w:val="none" w:sz="0" w:space="0" w:color="auto"/>
        <w:bottom w:val="none" w:sz="0" w:space="0" w:color="auto"/>
        <w:right w:val="none" w:sz="0" w:space="0" w:color="auto"/>
      </w:divBdr>
    </w:div>
    <w:div w:id="1425146205">
      <w:bodyDiv w:val="1"/>
      <w:marLeft w:val="0"/>
      <w:marRight w:val="0"/>
      <w:marTop w:val="0"/>
      <w:marBottom w:val="0"/>
      <w:divBdr>
        <w:top w:val="none" w:sz="0" w:space="0" w:color="auto"/>
        <w:left w:val="none" w:sz="0" w:space="0" w:color="auto"/>
        <w:bottom w:val="none" w:sz="0" w:space="0" w:color="auto"/>
        <w:right w:val="none" w:sz="0" w:space="0" w:color="auto"/>
      </w:divBdr>
    </w:div>
    <w:div w:id="1459493991">
      <w:bodyDiv w:val="1"/>
      <w:marLeft w:val="0"/>
      <w:marRight w:val="0"/>
      <w:marTop w:val="0"/>
      <w:marBottom w:val="0"/>
      <w:divBdr>
        <w:top w:val="none" w:sz="0" w:space="0" w:color="auto"/>
        <w:left w:val="none" w:sz="0" w:space="0" w:color="auto"/>
        <w:bottom w:val="none" w:sz="0" w:space="0" w:color="auto"/>
        <w:right w:val="none" w:sz="0" w:space="0" w:color="auto"/>
      </w:divBdr>
    </w:div>
    <w:div w:id="1505322764">
      <w:bodyDiv w:val="1"/>
      <w:marLeft w:val="0"/>
      <w:marRight w:val="0"/>
      <w:marTop w:val="0"/>
      <w:marBottom w:val="0"/>
      <w:divBdr>
        <w:top w:val="none" w:sz="0" w:space="0" w:color="auto"/>
        <w:left w:val="none" w:sz="0" w:space="0" w:color="auto"/>
        <w:bottom w:val="none" w:sz="0" w:space="0" w:color="auto"/>
        <w:right w:val="none" w:sz="0" w:space="0" w:color="auto"/>
      </w:divBdr>
    </w:div>
    <w:div w:id="1579435719">
      <w:bodyDiv w:val="1"/>
      <w:marLeft w:val="0"/>
      <w:marRight w:val="0"/>
      <w:marTop w:val="0"/>
      <w:marBottom w:val="0"/>
      <w:divBdr>
        <w:top w:val="none" w:sz="0" w:space="0" w:color="auto"/>
        <w:left w:val="none" w:sz="0" w:space="0" w:color="auto"/>
        <w:bottom w:val="none" w:sz="0" w:space="0" w:color="auto"/>
        <w:right w:val="none" w:sz="0" w:space="0" w:color="auto"/>
      </w:divBdr>
    </w:div>
    <w:div w:id="1592739747">
      <w:bodyDiv w:val="1"/>
      <w:marLeft w:val="0"/>
      <w:marRight w:val="0"/>
      <w:marTop w:val="0"/>
      <w:marBottom w:val="0"/>
      <w:divBdr>
        <w:top w:val="none" w:sz="0" w:space="0" w:color="auto"/>
        <w:left w:val="none" w:sz="0" w:space="0" w:color="auto"/>
        <w:bottom w:val="none" w:sz="0" w:space="0" w:color="auto"/>
        <w:right w:val="none" w:sz="0" w:space="0" w:color="auto"/>
      </w:divBdr>
    </w:div>
    <w:div w:id="1637291978">
      <w:bodyDiv w:val="1"/>
      <w:marLeft w:val="0"/>
      <w:marRight w:val="0"/>
      <w:marTop w:val="0"/>
      <w:marBottom w:val="0"/>
      <w:divBdr>
        <w:top w:val="none" w:sz="0" w:space="0" w:color="auto"/>
        <w:left w:val="none" w:sz="0" w:space="0" w:color="auto"/>
        <w:bottom w:val="none" w:sz="0" w:space="0" w:color="auto"/>
        <w:right w:val="none" w:sz="0" w:space="0" w:color="auto"/>
      </w:divBdr>
    </w:div>
    <w:div w:id="1705132967">
      <w:bodyDiv w:val="1"/>
      <w:marLeft w:val="0"/>
      <w:marRight w:val="0"/>
      <w:marTop w:val="0"/>
      <w:marBottom w:val="0"/>
      <w:divBdr>
        <w:top w:val="none" w:sz="0" w:space="0" w:color="auto"/>
        <w:left w:val="none" w:sz="0" w:space="0" w:color="auto"/>
        <w:bottom w:val="none" w:sz="0" w:space="0" w:color="auto"/>
        <w:right w:val="none" w:sz="0" w:space="0" w:color="auto"/>
      </w:divBdr>
    </w:div>
    <w:div w:id="1995139416">
      <w:bodyDiv w:val="1"/>
      <w:marLeft w:val="0"/>
      <w:marRight w:val="0"/>
      <w:marTop w:val="0"/>
      <w:marBottom w:val="0"/>
      <w:divBdr>
        <w:top w:val="none" w:sz="0" w:space="0" w:color="auto"/>
        <w:left w:val="none" w:sz="0" w:space="0" w:color="auto"/>
        <w:bottom w:val="none" w:sz="0" w:space="0" w:color="auto"/>
        <w:right w:val="none" w:sz="0" w:space="0" w:color="auto"/>
      </w:divBdr>
    </w:div>
    <w:div w:id="2059428109">
      <w:bodyDiv w:val="1"/>
      <w:marLeft w:val="0"/>
      <w:marRight w:val="0"/>
      <w:marTop w:val="0"/>
      <w:marBottom w:val="0"/>
      <w:divBdr>
        <w:top w:val="none" w:sz="0" w:space="0" w:color="auto"/>
        <w:left w:val="none" w:sz="0" w:space="0" w:color="auto"/>
        <w:bottom w:val="none" w:sz="0" w:space="0" w:color="auto"/>
        <w:right w:val="none" w:sz="0" w:space="0" w:color="auto"/>
      </w:divBdr>
    </w:div>
    <w:div w:id="206212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1730</ap:Words>
  <ap:Characters>9519</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2020-09-09T11:40:00.0000000Z</lastPrinted>
  <dcterms:created xsi:type="dcterms:W3CDTF">2025-04-24T13:56:00.0000000Z</dcterms:created>
  <dcterms:modified xsi:type="dcterms:W3CDTF">2025-04-24T13:56:00.0000000Z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2023-08-31T12:37:20Z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df92dcef-3820-4925-8054-963aaf1cce5a</vt:lpwstr>
  </property>
  <property fmtid="{D5CDD505-2E9C-101B-9397-08002B2CF9AE}" pid="8" name="MSIP_Label_f4b587cc-5349-4506-9b19-2242ab88a0ee_ContentBits">
    <vt:lpwstr>0</vt:lpwstr>
  </property>
</Properties>
</file>