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2025Z08274</w:t>
        <w:br/>
      </w:r>
      <w:proofErr w:type="spellEnd"/>
    </w:p>
    <w:p>
      <w:pPr>
        <w:pStyle w:val="Normal"/>
        <w:rPr>
          <w:b w:val="1"/>
          <w:bCs w:val="1"/>
        </w:rPr>
      </w:pPr>
      <w:r w:rsidR="250AE766">
        <w:rPr>
          <w:b w:val="0"/>
          <w:bCs w:val="0"/>
        </w:rPr>
        <w:t>(ingezonden 24 april 2025)</w:t>
        <w:br/>
      </w:r>
    </w:p>
    <w:p>
      <w:r>
        <w:t xml:space="preserve">Vragen van het lid Bruyning (Nieuw Sociaal Contract) aan de staatssecretaris van Justitie en Veiligheid over kindverhoor naar aanleiding van de podcast 'Scheidszaken' van het NOS Jeugdjournaal.</w:t>
      </w:r>
      <w:r>
        <w:br/>
      </w:r>
    </w:p>
    <w:p>
      <w:pPr>
        <w:pStyle w:val="ListParagraph"/>
        <w:numPr>
          <w:ilvl w:val="0"/>
          <w:numId w:val="100476460"/>
        </w:numPr>
        <w:ind w:left="360"/>
      </w:pPr>
      <w:r>
        <w:t>Herinnert u zich de vragen van het lid Bruyning van 22 juli 2024 over kindgesprekken van kinderen bij rechters, naar aanleiding van de podcast 'Scheidszaken' van het Jeugdjournaal?[1]</w:t>
      </w:r>
      <w:r>
        <w:br/>
      </w:r>
    </w:p>
    <w:p>
      <w:pPr>
        <w:pStyle w:val="ListParagraph"/>
        <w:numPr>
          <w:ilvl w:val="0"/>
          <w:numId w:val="100476460"/>
        </w:numPr>
        <w:ind w:left="360"/>
      </w:pPr>
      <w:r>
        <w:t>Heeft u nog kennis van uw beantwoording op deze vragen, die aan de Kamer is verzonden op 30 augustus 2024?[2]</w:t>
      </w:r>
      <w:r>
        <w:br/>
      </w:r>
    </w:p>
    <w:p>
      <w:pPr>
        <w:pStyle w:val="ListParagraph"/>
        <w:numPr>
          <w:ilvl w:val="0"/>
          <w:numId w:val="100476460"/>
        </w:numPr>
        <w:ind w:left="360"/>
      </w:pPr>
      <w:r>
        <w:t>Herinnert u zich de aanvullende vragen van het lid Bruyning over kindgesprekken van kinderen bij rechters, naar aanleiding van de podcast 'Scheidszaken' van het Jeugdjournaal, ingestuurd op 18 februari 2025?[3]</w:t>
      </w:r>
      <w:r>
        <w:br/>
      </w:r>
    </w:p>
    <w:p>
      <w:pPr>
        <w:pStyle w:val="ListParagraph"/>
        <w:numPr>
          <w:ilvl w:val="0"/>
          <w:numId w:val="100476460"/>
        </w:numPr>
        <w:ind w:left="360"/>
      </w:pPr>
      <w:r>
        <w:t>Heeft u nog kennis van uw beantwoording op deze vragen, die aan de Kamer is verzonden op 2 april 2025?[4]</w:t>
      </w:r>
      <w:r>
        <w:br/>
      </w:r>
    </w:p>
    <w:p>
      <w:pPr>
        <w:pStyle w:val="ListParagraph"/>
        <w:numPr>
          <w:ilvl w:val="0"/>
          <w:numId w:val="100476460"/>
        </w:numPr>
        <w:ind w:left="360"/>
      </w:pPr>
      <w:r>
        <w:t>Staat u nog steeds achter de beantwoording, dat volgens het VN-Kinderrechtencomité kinderen gehoord dienen te worden in een omgeving die niet intimiderend of vijandig is en waarin rekening wordt gehouden met de leeftijd van het kind?</w:t>
      </w:r>
      <w:r>
        <w:br/>
      </w:r>
    </w:p>
    <w:p>
      <w:pPr>
        <w:pStyle w:val="ListParagraph"/>
        <w:numPr>
          <w:ilvl w:val="0"/>
          <w:numId w:val="100476460"/>
        </w:numPr>
        <w:ind w:left="360"/>
      </w:pPr>
      <w:r>
        <w:t>Kunt u specifiek aangeven in welke gerechten kindvriendelijke ruimtes (nog) niet beschikbaar zijn? Kunt u aangeven wanneer kindvriendelijke ruimtes wel overal bij elk gerecht beschikbaar zijn en daadwerkelijk worden gebruikt en hoeveel er dan per gerecht beschikbaar zijn? Kunt u aangeven waarom vraag 7 van de hiervoor genoemde aanvullende vragen [5] niet volledig is beantwoord?</w:t>
      </w:r>
      <w:r>
        <w:br/>
      </w:r>
    </w:p>
    <w:p>
      <w:pPr>
        <w:pStyle w:val="ListParagraph"/>
        <w:numPr>
          <w:ilvl w:val="0"/>
          <w:numId w:val="100476460"/>
        </w:numPr>
        <w:ind w:left="360"/>
      </w:pPr>
      <w:r>
        <w:t>Kunt u gespecificeerd aangeven welke gerechten kinderen een andere dag oproepen voor het kinderverhoor en dus niet dezelfde dag als de ouders? Kunt u aangeven welke gerechten kinderen nog horen op dezelfde dag als dat ouders een zitting hebben? Kunt u ook aangeven welke afwegingen de gerechten maken als zij kinderen wel voorafgaand aan de zitting willen horen, met het risico op mogelijke onwenselijke confrontaties? Hebben ouders zelf invloed op het laten horen voorafgaand aan de zitting?</w:t>
      </w:r>
      <w:r>
        <w:br/>
      </w:r>
    </w:p>
    <w:p>
      <w:pPr>
        <w:pStyle w:val="ListParagraph"/>
        <w:numPr>
          <w:ilvl w:val="0"/>
          <w:numId w:val="100476460"/>
        </w:numPr>
        <w:ind w:left="360"/>
      </w:pPr>
      <w:r>
        <w:t>Kunt u aangeven waarom er onderscheid gemaakt is in civiele jeugdrechtzaken en gezag- en omgangszaken voor de planning van een kindverhoor? Vindt u dit onderscheid niet vreemd, omdat een kind in zowel een civiele jeugdrechtzaak als een gezags- en omgangszaak opgeroepen kan worden en de minderjarige de ene keer dus wel op een juiste wijze gehoord wordt en de andere keer niet?</w:t>
      </w:r>
      <w:r>
        <w:br/>
      </w:r>
    </w:p>
    <w:p>
      <w:pPr>
        <w:pStyle w:val="ListParagraph"/>
        <w:numPr>
          <w:ilvl w:val="0"/>
          <w:numId w:val="100476460"/>
        </w:numPr>
        <w:ind w:left="360"/>
      </w:pPr>
      <w:r>
        <w:t>Klopt het dat u ondanks meerdere toezeggingen nog altijd niet in gesprek geweest bent met de initiatiefnemers van de in de aanvullende vragen [6] vermelde brandbrief van 2 september 2024 over het participatierecht van kinderen en het kindgesprek bij de rechters? Hoe kijkt u aan tegen het feit dat er meer dan een halfjaar later nog altijd geen gesprek is geweest met de initiatiefnemers over een brandbrief?</w:t>
      </w:r>
      <w:r>
        <w:br/>
      </w:r>
    </w:p>
    <w:p>
      <w:r>
        <w:t xml:space="preserve"> </w:t>
      </w:r>
      <w:r>
        <w:br/>
      </w:r>
    </w:p>
    <w:p>
      <w:r>
        <w:t xml:space="preserve">[1] Aanhangsel Handelingen II, vergaderjaar 2023–2024, nr. 2396.</w:t>
      </w:r>
      <w:r>
        <w:br/>
      </w:r>
    </w:p>
    <w:p>
      <w:r>
        <w:t xml:space="preserve">[2] Aanhangsel Handelingen II, vergaderjaar 2023–2024, nr. 2396.</w:t>
      </w:r>
      <w:r>
        <w:br/>
      </w:r>
    </w:p>
    <w:p>
      <w:r>
        <w:t xml:space="preserve">[3] Aanhangsel Handelingen II, vergaderjaar 2024–2025, nr. 1805.</w:t>
      </w:r>
      <w:r>
        <w:br/>
      </w:r>
    </w:p>
    <w:p>
      <w:r>
        <w:t xml:space="preserve">[4] Aanhangsel Handelingen II, vergaderjaar 2024–2025, nr. 1805.</w:t>
      </w:r>
      <w:r>
        <w:br/>
      </w:r>
    </w:p>
    <w:p>
      <w:r>
        <w:t xml:space="preserve">[5] Aanhangsel Handelingen II, vergaderjaar 2024–2025, nr. 1805.</w:t>
      </w:r>
      <w:r>
        <w:br/>
      </w:r>
    </w:p>
    <w:p>
      <w:r>
        <w:t xml:space="preserve">[6] Aanhangsel Handelingen II, vergaderjaar 2024–2025, nr. 1805.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