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861" w:rsidRDefault="009D6414" w14:paraId="1A8CE10C" w14:textId="77777777">
      <w:pPr>
        <w:pStyle w:val="StandaardAanhef"/>
      </w:pPr>
      <w:r>
        <w:t>Geachte voorzitter,</w:t>
      </w:r>
    </w:p>
    <w:p w:rsidR="00EF3861" w:rsidP="000912C7" w:rsidRDefault="0013323C" w14:paraId="29A24E38" w14:textId="77777777">
      <w:r>
        <w:t xml:space="preserve">Met deze brief informeer ik </w:t>
      </w:r>
      <w:r w:rsidR="0008367F">
        <w:t>u</w:t>
      </w:r>
      <w:r w:rsidR="00F00A78">
        <w:t xml:space="preserve"> graag</w:t>
      </w:r>
      <w:r>
        <w:t xml:space="preserve"> over ontwikkelingen met betrekking tot de bancaire dienstverlening op Saba en Sint Eustatius.</w:t>
      </w:r>
    </w:p>
    <w:p w:rsidR="00382510" w:rsidP="000912C7" w:rsidRDefault="00382510" w14:paraId="529F9169" w14:textId="77777777"/>
    <w:p w:rsidR="00591C6E" w:rsidP="000912C7" w:rsidRDefault="00913F69" w14:paraId="4E9A4588" w14:textId="77777777">
      <w:pPr>
        <w:rPr>
          <w:b/>
          <w:bCs/>
        </w:rPr>
      </w:pPr>
      <w:r>
        <w:rPr>
          <w:b/>
          <w:bCs/>
        </w:rPr>
        <w:t>Staat van de bancaire</w:t>
      </w:r>
      <w:r w:rsidR="00591C6E">
        <w:rPr>
          <w:b/>
          <w:bCs/>
        </w:rPr>
        <w:t xml:space="preserve"> dienstverlening </w:t>
      </w:r>
      <w:r w:rsidR="00163EF6">
        <w:rPr>
          <w:b/>
          <w:bCs/>
        </w:rPr>
        <w:t>op Saba en Sint Eustatius</w:t>
      </w:r>
    </w:p>
    <w:p w:rsidR="001C1A4C" w:rsidP="000912C7" w:rsidRDefault="004F20AF" w14:paraId="0F6A4AD3" w14:textId="77777777">
      <w:r>
        <w:t>Het aanbod van</w:t>
      </w:r>
      <w:r w:rsidR="00E5290A">
        <w:t xml:space="preserve"> </w:t>
      </w:r>
      <w:r w:rsidR="00082FF8">
        <w:t xml:space="preserve">bancaire </w:t>
      </w:r>
      <w:r w:rsidR="00E5290A">
        <w:t xml:space="preserve">dienstverlening </w:t>
      </w:r>
      <w:r w:rsidR="00082FF8">
        <w:t xml:space="preserve">op Saba en Sint Eustatius </w:t>
      </w:r>
      <w:r w:rsidR="00E5290A">
        <w:t xml:space="preserve">is </w:t>
      </w:r>
      <w:r>
        <w:t>al langer een punt van aandacht</w:t>
      </w:r>
      <w:r w:rsidR="000160E6">
        <w:t xml:space="preserve">. Bovendien voldoet </w:t>
      </w:r>
      <w:r w:rsidR="00E5290A">
        <w:t>het</w:t>
      </w:r>
      <w:r w:rsidR="000160E6">
        <w:t xml:space="preserve"> huidige</w:t>
      </w:r>
      <w:r w:rsidR="00E5290A">
        <w:t xml:space="preserve"> aanbod niet aan de </w:t>
      </w:r>
      <w:r w:rsidR="009A3C1F">
        <w:t xml:space="preserve">voorwaarden </w:t>
      </w:r>
      <w:r w:rsidR="00E5290A">
        <w:t>die het ministerie van Financiën hiervoor heeft geformuleerd.</w:t>
      </w:r>
      <w:r w:rsidR="000160E6">
        <w:rPr>
          <w:rStyle w:val="Voetnootmarkering"/>
        </w:rPr>
        <w:footnoteReference w:id="2"/>
      </w:r>
      <w:r w:rsidR="001C1A4C">
        <w:t xml:space="preserve"> </w:t>
      </w:r>
    </w:p>
    <w:p w:rsidR="001C1A4C" w:rsidP="000912C7" w:rsidRDefault="001C1A4C" w14:paraId="7BC54103" w14:textId="77777777"/>
    <w:p w:rsidRPr="00913F69" w:rsidR="00913F69" w:rsidP="000912C7" w:rsidRDefault="000160E6" w14:paraId="595C116A" w14:textId="77777777">
      <w:pPr>
        <w:rPr>
          <w:i/>
          <w:iCs/>
        </w:rPr>
      </w:pPr>
      <w:r>
        <w:t xml:space="preserve">Daarom </w:t>
      </w:r>
      <w:r w:rsidR="00382510">
        <w:t xml:space="preserve">heeft ministerie van Financiën </w:t>
      </w:r>
      <w:r>
        <w:t xml:space="preserve">de afgelopen jaren intensief </w:t>
      </w:r>
      <w:r w:rsidR="00913F69">
        <w:t xml:space="preserve">gezocht naar een duurzame oplossing voor dit complexe probleem. </w:t>
      </w:r>
      <w:r w:rsidR="00E5290A">
        <w:t xml:space="preserve">Daarbij zijn verschillende </w:t>
      </w:r>
      <w:r w:rsidR="00FA1584">
        <w:t>mogelijkheden</w:t>
      </w:r>
      <w:r w:rsidR="00E5290A">
        <w:t xml:space="preserve"> verkend, </w:t>
      </w:r>
      <w:r w:rsidRPr="00913F69" w:rsidR="00913F69">
        <w:t>waaronder een dienstverleningsovereenkomst met een (lokale) ban</w:t>
      </w:r>
      <w:r w:rsidR="00382510">
        <w:t xml:space="preserve">k. </w:t>
      </w:r>
      <w:r w:rsidR="00E5290A">
        <w:t>Uw Kamer is hierover periodiek geïnformeerd.</w:t>
      </w:r>
      <w:r w:rsidRPr="00913F69">
        <w:rPr>
          <w:vertAlign w:val="superscript"/>
        </w:rPr>
        <w:footnoteReference w:id="3"/>
      </w:r>
      <w:r w:rsidR="00E5290A">
        <w:t xml:space="preserve"> </w:t>
      </w:r>
      <w:r w:rsidR="00382510">
        <w:t>Deze</w:t>
      </w:r>
      <w:r w:rsidRPr="00913F69" w:rsidR="00913F69">
        <w:t xml:space="preserve"> initiatieven</w:t>
      </w:r>
      <w:r w:rsidR="00382510">
        <w:t xml:space="preserve"> hebben </w:t>
      </w:r>
      <w:r w:rsidRPr="00913F69" w:rsidR="00913F69">
        <w:t xml:space="preserve">helaas niet tot resultaat geleid. </w:t>
      </w:r>
      <w:r w:rsidR="00DA7F5B">
        <w:t xml:space="preserve">Dit is daardoor al </w:t>
      </w:r>
      <w:r w:rsidRPr="00913F69" w:rsidR="00913F69">
        <w:t>een lang lopend proces</w:t>
      </w:r>
      <w:r w:rsidR="009C65D1">
        <w:t>,</w:t>
      </w:r>
      <w:r w:rsidRPr="00913F69" w:rsidR="00913F69">
        <w:t xml:space="preserve"> dat het nodige geduld vraagt van de inwoners </w:t>
      </w:r>
      <w:r>
        <w:t xml:space="preserve">van </w:t>
      </w:r>
      <w:r w:rsidRPr="00913F69" w:rsidR="00913F69">
        <w:t>Saba en Sint Eustatius.</w:t>
      </w:r>
    </w:p>
    <w:p w:rsidR="0013323C" w:rsidP="000912C7" w:rsidRDefault="0013323C" w14:paraId="3C14FD21" w14:textId="77777777"/>
    <w:p w:rsidRPr="00591C6E" w:rsidR="00591C6E" w:rsidP="000912C7" w:rsidRDefault="00591C6E" w14:paraId="0C3FAADE" w14:textId="77777777">
      <w:pPr>
        <w:rPr>
          <w:b/>
          <w:bCs/>
        </w:rPr>
      </w:pPr>
      <w:r>
        <w:rPr>
          <w:b/>
          <w:bCs/>
        </w:rPr>
        <w:t xml:space="preserve">Externe inventarisatie </w:t>
      </w:r>
    </w:p>
    <w:p w:rsidRPr="009A3C1F" w:rsidR="00082FF8" w:rsidP="000912C7" w:rsidRDefault="00591C6E" w14:paraId="018AABE4" w14:textId="77777777">
      <w:r>
        <w:t xml:space="preserve">Bij brief </w:t>
      </w:r>
      <w:r w:rsidR="00082FF8">
        <w:t xml:space="preserve">van </w:t>
      </w:r>
      <w:r w:rsidR="00913F69">
        <w:t>2 februari 2024</w:t>
      </w:r>
      <w:r w:rsidR="00082FF8">
        <w:t xml:space="preserve"> is uw Kamer</w:t>
      </w:r>
      <w:r>
        <w:t xml:space="preserve"> </w:t>
      </w:r>
      <w:r w:rsidR="00082FF8">
        <w:t xml:space="preserve">geïnformeerd </w:t>
      </w:r>
      <w:r w:rsidR="00382510">
        <w:t xml:space="preserve">over </w:t>
      </w:r>
      <w:r w:rsidR="00082FF8">
        <w:t xml:space="preserve">een </w:t>
      </w:r>
      <w:r w:rsidRPr="001D799F" w:rsidR="00082FF8">
        <w:t xml:space="preserve">externe verkenning </w:t>
      </w:r>
      <w:r w:rsidRPr="001D799F" w:rsidR="001C1A4C">
        <w:t>van</w:t>
      </w:r>
      <w:r w:rsidRPr="001D799F" w:rsidR="00082FF8">
        <w:t xml:space="preserve"> mogelijkheden om de beschikbaarheid van bancaire diensten op Saba en Sint Eustatius te verbeteren</w:t>
      </w:r>
      <w:r w:rsidRPr="001D799F" w:rsidR="00913F69">
        <w:rPr>
          <w:rStyle w:val="Voetnootmarkering"/>
        </w:rPr>
        <w:footnoteReference w:id="4"/>
      </w:r>
      <w:r w:rsidR="00DA7F5B">
        <w:t>. D</w:t>
      </w:r>
      <w:r w:rsidR="00382510">
        <w:t xml:space="preserve">it </w:t>
      </w:r>
      <w:r w:rsidRPr="001D799F" w:rsidR="00082FF8">
        <w:t>rapport met bevindingen i</w:t>
      </w:r>
      <w:r w:rsidRPr="001D799F" w:rsidR="007B0247">
        <w:t>s</w:t>
      </w:r>
      <w:r w:rsidRPr="001D799F" w:rsidR="00082FF8">
        <w:t xml:space="preserve"> bijgevoegd bij deze brief.</w:t>
      </w:r>
      <w:r w:rsidRPr="001D799F" w:rsidR="00B25D13">
        <w:rPr>
          <w:rStyle w:val="Verwijzingopmerking"/>
        </w:rPr>
        <w:t xml:space="preserve"> </w:t>
      </w:r>
      <w:r w:rsidRPr="001D799F" w:rsidR="000160E6">
        <w:t xml:space="preserve">Het rapport </w:t>
      </w:r>
      <w:r w:rsidRPr="001D799F" w:rsidR="004A0FAE">
        <w:t xml:space="preserve">bevestigt </w:t>
      </w:r>
      <w:r w:rsidR="00DA7F5B">
        <w:t xml:space="preserve">het </w:t>
      </w:r>
      <w:r w:rsidRPr="001D799F" w:rsidR="004A0FAE">
        <w:t xml:space="preserve">eerder geconstateerde </w:t>
      </w:r>
      <w:proofErr w:type="spellStart"/>
      <w:r w:rsidRPr="001D799F" w:rsidR="004A0FAE">
        <w:t>marktfalen</w:t>
      </w:r>
      <w:proofErr w:type="spellEnd"/>
      <w:r w:rsidRPr="001D799F" w:rsidR="000160E6">
        <w:rPr>
          <w:rStyle w:val="Voetnootmarkering"/>
        </w:rPr>
        <w:footnoteReference w:id="5"/>
      </w:r>
      <w:r w:rsidRPr="001D799F" w:rsidR="004A0FAE">
        <w:t xml:space="preserve"> en </w:t>
      </w:r>
      <w:r w:rsidRPr="001D799F" w:rsidR="001C1A4C">
        <w:t>beschrijft dat er geen voor de hand</w:t>
      </w:r>
      <w:r w:rsidR="001C1A4C">
        <w:t xml:space="preserve"> liggende lokale partij is die </w:t>
      </w:r>
      <w:r w:rsidR="003804B8">
        <w:t>een pakket aan bancaire diensten kan aanbieden dat voldoet aan de maatschappelijke behoefte</w:t>
      </w:r>
      <w:r w:rsidR="009A3C1F">
        <w:t>, anders dan een dienstverleningsovereenkomst met een lokale bank. Wel beschrijft het rapport een mogelijkheid om een beperkt aanbod van bancaire diensten aan te bieden</w:t>
      </w:r>
      <w:r w:rsidR="00586475">
        <w:t xml:space="preserve"> in de vorm</w:t>
      </w:r>
      <w:r w:rsidR="009A3C1F">
        <w:t xml:space="preserve"> van </w:t>
      </w:r>
      <w:r w:rsidR="009A3C1F">
        <w:rPr>
          <w:i/>
          <w:iCs/>
        </w:rPr>
        <w:t xml:space="preserve">agent banking. </w:t>
      </w:r>
      <w:r w:rsidR="009A3C1F">
        <w:t xml:space="preserve">Hoewel ik de mogelijke verbetering in diensten op dat deelgebied zie, vind ik het als totaal ontoereikend als oplossing voor de inwoners van Saba en Sint Eustatius. </w:t>
      </w:r>
      <w:r w:rsidR="000912C7">
        <w:t>Mijn inzet is</w:t>
      </w:r>
      <w:r w:rsidR="009A3C1F">
        <w:t xml:space="preserve"> dat de </w:t>
      </w:r>
      <w:r w:rsidR="009A3C1F">
        <w:lastRenderedPageBreak/>
        <w:t xml:space="preserve">inwoners over volledige bancaire dienstverlening tegen een redelijke prijs kunnen beschikken. </w:t>
      </w:r>
    </w:p>
    <w:p w:rsidR="00591C6E" w:rsidP="000912C7" w:rsidRDefault="00591C6E" w14:paraId="3FF107DE" w14:textId="77777777"/>
    <w:p w:rsidRPr="00C36AAC" w:rsidR="0097139C" w:rsidP="0097139C" w:rsidRDefault="0097139C" w14:paraId="1CC7B8C7" w14:textId="77777777">
      <w:pPr>
        <w:tabs>
          <w:tab w:val="center" w:pos="3742"/>
        </w:tabs>
        <w:rPr>
          <w:b/>
          <w:bCs/>
        </w:rPr>
      </w:pPr>
      <w:r>
        <w:rPr>
          <w:b/>
          <w:bCs/>
        </w:rPr>
        <w:t>Voorgenomen verbeteringen</w:t>
      </w:r>
      <w:r w:rsidRPr="00C36AAC">
        <w:rPr>
          <w:b/>
          <w:bCs/>
        </w:rPr>
        <w:tab/>
      </w:r>
    </w:p>
    <w:p w:rsidR="0097139C" w:rsidP="0097139C" w:rsidRDefault="00DA7F5B" w14:paraId="3508632A" w14:textId="77777777">
      <w:pPr>
        <w:spacing w:line="276" w:lineRule="auto"/>
      </w:pPr>
      <w:r>
        <w:t xml:space="preserve">Ik ben blij te kunnen melden dat </w:t>
      </w:r>
      <w:r w:rsidRPr="00C36AAC" w:rsidR="00813CD3">
        <w:t xml:space="preserve">ING </w:t>
      </w:r>
      <w:r>
        <w:t>ernaar wil</w:t>
      </w:r>
      <w:r w:rsidRPr="00C36AAC" w:rsidR="00813CD3">
        <w:t xml:space="preserve"> streven </w:t>
      </w:r>
      <w:r>
        <w:t xml:space="preserve">om </w:t>
      </w:r>
      <w:r w:rsidRPr="00C36AAC" w:rsidR="00813CD3">
        <w:t>de bewoners van Saba en Sint Eustatius zoveel mogelijk identieke dienstverlening, in Amerikaanse Dollar (de lokale valuta), aan te bieden als in het Europese deel van Nederland</w:t>
      </w:r>
      <w:r w:rsidR="00813CD3">
        <w:t xml:space="preserve"> en aldaar ook fysieke kantoren te openen</w:t>
      </w:r>
      <w:r w:rsidRPr="00C36AAC" w:rsidR="00813CD3">
        <w:t xml:space="preserve">. </w:t>
      </w:r>
      <w:r w:rsidR="0097139C">
        <w:t>Mijn ministerie heeft</w:t>
      </w:r>
      <w:r w:rsidRPr="00C36AAC" w:rsidR="0097139C">
        <w:t xml:space="preserve"> de afgelopen periode samen met de Nederlandsche Bank (DNB) met ING </w:t>
      </w:r>
      <w:r w:rsidR="00813CD3">
        <w:t xml:space="preserve">over dit voornemen </w:t>
      </w:r>
      <w:r w:rsidRPr="00C36AAC" w:rsidR="0097139C">
        <w:t>gesproken</w:t>
      </w:r>
      <w:r w:rsidR="00813CD3">
        <w:t>.</w:t>
      </w:r>
      <w:r w:rsidRPr="00C36AAC" w:rsidR="0097139C">
        <w:t xml:space="preserve"> Gezien de complexiteit, vanwege onder andere het ontwikkelingen een Amerikaanse Dollar-propositie, en inachtneming van andere wetgeving en toezicht, zal het definitieve besluit, naar verwachting, eind 2026 genomen worden. ING, DNB en mijn ministerie werken constructief samen om mogelijk te maken dat ING haar plannen in de praktijk kan brengen, met als doel dat de bancaire dienstverlening op Saba en Sint Eustatius op de middellange termijn duurzaam zal zijn geborgd.</w:t>
      </w:r>
      <w:r w:rsidR="0097139C">
        <w:t xml:space="preserve"> </w:t>
      </w:r>
      <w:r w:rsidRPr="00C36AAC" w:rsidR="0097139C">
        <w:t xml:space="preserve">DNB </w:t>
      </w:r>
      <w:r w:rsidR="0097139C">
        <w:t xml:space="preserve">is van plan zorg te dragen </w:t>
      </w:r>
      <w:r w:rsidRPr="00C36AAC" w:rsidR="0097139C">
        <w:t>voor de chartale dienstverlening en de toegang tot contant geld voor de bewoners</w:t>
      </w:r>
      <w:r w:rsidR="0097139C">
        <w:t xml:space="preserve"> van Saba en Sint Eustatius</w:t>
      </w:r>
      <w:r w:rsidRPr="00C36AAC" w:rsidR="0097139C">
        <w:t xml:space="preserve"> en de </w:t>
      </w:r>
      <w:r w:rsidR="0097139C">
        <w:t xml:space="preserve">aldaar </w:t>
      </w:r>
      <w:r w:rsidRPr="00C36AAC" w:rsidR="0097139C">
        <w:t>gevestigde bedrijven, middels een externe dienstverlener.</w:t>
      </w:r>
    </w:p>
    <w:p w:rsidR="0097139C" w:rsidP="000912C7" w:rsidRDefault="0097139C" w14:paraId="1DD116EE" w14:textId="77777777"/>
    <w:p w:rsidRPr="0030496B" w:rsidR="00163EF6" w:rsidP="000912C7" w:rsidRDefault="00163EF6" w14:paraId="796965AD" w14:textId="77777777">
      <w:pPr>
        <w:rPr>
          <w:b/>
          <w:bCs/>
        </w:rPr>
      </w:pPr>
      <w:r w:rsidRPr="0030496B">
        <w:rPr>
          <w:b/>
          <w:bCs/>
        </w:rPr>
        <w:t>Vrijstelling zetelvereiste bancaire diensten Saba en Sint Eustatius</w:t>
      </w:r>
    </w:p>
    <w:p w:rsidR="0030496B" w:rsidP="000912C7" w:rsidRDefault="001D799F" w14:paraId="5B6E870C" w14:textId="77777777">
      <w:r>
        <w:t>Het</w:t>
      </w:r>
      <w:r w:rsidRPr="0030496B">
        <w:t xml:space="preserve"> </w:t>
      </w:r>
      <w:proofErr w:type="spellStart"/>
      <w:r w:rsidRPr="0030496B">
        <w:t>marktfalen</w:t>
      </w:r>
      <w:proofErr w:type="spellEnd"/>
      <w:r w:rsidRPr="0030496B">
        <w:t xml:space="preserve"> op Saba en Sint Eustatius r</w:t>
      </w:r>
      <w:r w:rsidR="00382510">
        <w:t xml:space="preserve">iep </w:t>
      </w:r>
      <w:r w:rsidRPr="0030496B">
        <w:t xml:space="preserve">de vraag op welke toetredingsdrempels in de weg staan aan een oplossing. Het ministerie van Financiën heeft dit onderzocht en geconcludeerd dat het zetelvereiste disproportioneel in de weg staat aan toetreders uit het Europese deel van Nederland. Vanwege het </w:t>
      </w:r>
      <w:proofErr w:type="spellStart"/>
      <w:r w:rsidRPr="0030496B">
        <w:t>marktfalen</w:t>
      </w:r>
      <w:proofErr w:type="spellEnd"/>
      <w:r w:rsidRPr="0030496B">
        <w:t xml:space="preserve"> op Saba en Sint Eustatius is het niet meer passend om dit vereiste</w:t>
      </w:r>
      <w:r>
        <w:t xml:space="preserve"> aldaar</w:t>
      </w:r>
      <w:r w:rsidRPr="0030496B">
        <w:t xml:space="preserve"> te handhaven.</w:t>
      </w:r>
      <w:r>
        <w:t xml:space="preserve"> Daarom </w:t>
      </w:r>
      <w:r w:rsidR="00382510">
        <w:t xml:space="preserve">bereid </w:t>
      </w:r>
      <w:r>
        <w:t xml:space="preserve">ik </w:t>
      </w:r>
      <w:r w:rsidR="00CD6DE0">
        <w:t xml:space="preserve">een ministeriële regeling voor om dit </w:t>
      </w:r>
      <w:r w:rsidR="00DA7F5B">
        <w:t>te veranderen</w:t>
      </w:r>
      <w:r>
        <w:t xml:space="preserve">. De concept-regeling wordt kort na verzending van deze brief geconsulteerd via </w:t>
      </w:r>
      <w:r w:rsidRPr="006643DE">
        <w:t>www.internetconsultatie.nl</w:t>
      </w:r>
      <w:r w:rsidRPr="000912C7">
        <w:rPr>
          <w:color w:val="auto"/>
        </w:rPr>
        <w:t xml:space="preserve">. </w:t>
      </w:r>
    </w:p>
    <w:p w:rsidR="00C86FDF" w:rsidP="000912C7" w:rsidRDefault="00C86FDF" w14:paraId="3A3FB219" w14:textId="77777777"/>
    <w:p w:rsidR="000C3D72" w:rsidP="000912C7" w:rsidRDefault="002228B0" w14:paraId="38A041A6" w14:textId="77777777">
      <w:r w:rsidRPr="0013323C">
        <w:t xml:space="preserve">Ik </w:t>
      </w:r>
      <w:r>
        <w:t>houd uw Kamer op de hoogte van de voortgang.</w:t>
      </w:r>
    </w:p>
    <w:p w:rsidR="00EF3861" w:rsidP="000912C7" w:rsidRDefault="000C3D72" w14:paraId="77034B9A" w14:textId="77777777">
      <w:r>
        <w:br/>
      </w:r>
      <w:r w:rsidR="009D6414">
        <w:t>Hoogachtend,</w:t>
      </w:r>
    </w:p>
    <w:p w:rsidR="0013323C" w:rsidP="0013323C" w:rsidRDefault="0013323C" w14:paraId="54784C0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F3861" w14:paraId="147CC815" w14:textId="77777777">
        <w:tc>
          <w:tcPr>
            <w:tcW w:w="3592" w:type="dxa"/>
          </w:tcPr>
          <w:p w:rsidR="00EF3861" w:rsidRDefault="0013323C" w14:paraId="260996C4" w14:textId="77777777">
            <w:r>
              <w:t>de minister van Financiën,</w:t>
            </w:r>
            <w:r>
              <w:br/>
            </w:r>
            <w:r>
              <w:br/>
            </w:r>
            <w:r>
              <w:br/>
            </w:r>
            <w:r>
              <w:br/>
            </w:r>
            <w:r>
              <w:br/>
            </w:r>
            <w:r>
              <w:br/>
              <w:t>E. Heinen</w:t>
            </w:r>
          </w:p>
        </w:tc>
        <w:tc>
          <w:tcPr>
            <w:tcW w:w="3892" w:type="dxa"/>
          </w:tcPr>
          <w:p w:rsidR="00EF3861" w:rsidRDefault="00EF3861" w14:paraId="58E99818" w14:textId="77777777"/>
        </w:tc>
      </w:tr>
    </w:tbl>
    <w:p w:rsidR="00EF3861" w:rsidRDefault="00EF3861" w14:paraId="12148EAB" w14:textId="77777777">
      <w:pPr>
        <w:pStyle w:val="Verdana7"/>
      </w:pPr>
    </w:p>
    <w:sectPr w:rsidR="00EF386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EBD6" w14:textId="77777777" w:rsidR="002E045A" w:rsidRDefault="002E045A">
      <w:pPr>
        <w:spacing w:line="240" w:lineRule="auto"/>
      </w:pPr>
      <w:r>
        <w:separator/>
      </w:r>
    </w:p>
  </w:endnote>
  <w:endnote w:type="continuationSeparator" w:id="0">
    <w:p w14:paraId="180AEDF0" w14:textId="77777777" w:rsidR="002E045A" w:rsidRDefault="002E045A">
      <w:pPr>
        <w:spacing w:line="240" w:lineRule="auto"/>
      </w:pPr>
      <w:r>
        <w:continuationSeparator/>
      </w:r>
    </w:p>
  </w:endnote>
  <w:endnote w:type="continuationNotice" w:id="1">
    <w:p w14:paraId="7C82C10F" w14:textId="77777777" w:rsidR="002E045A" w:rsidRDefault="002E04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3327" w14:textId="77777777" w:rsidR="002E045A" w:rsidRDefault="002E045A">
      <w:pPr>
        <w:spacing w:line="240" w:lineRule="auto"/>
      </w:pPr>
      <w:r>
        <w:separator/>
      </w:r>
    </w:p>
  </w:footnote>
  <w:footnote w:type="continuationSeparator" w:id="0">
    <w:p w14:paraId="235B21EF" w14:textId="77777777" w:rsidR="002E045A" w:rsidRDefault="002E045A">
      <w:pPr>
        <w:spacing w:line="240" w:lineRule="auto"/>
      </w:pPr>
      <w:r>
        <w:continuationSeparator/>
      </w:r>
    </w:p>
  </w:footnote>
  <w:footnote w:type="continuationNotice" w:id="1">
    <w:p w14:paraId="5DA3BA4F" w14:textId="77777777" w:rsidR="002E045A" w:rsidRDefault="002E045A">
      <w:pPr>
        <w:spacing w:line="240" w:lineRule="auto"/>
      </w:pPr>
    </w:p>
  </w:footnote>
  <w:footnote w:id="2">
    <w:p w14:paraId="16093741" w14:textId="77777777" w:rsidR="000160E6" w:rsidRDefault="000160E6">
      <w:pPr>
        <w:pStyle w:val="Voetnoottekst"/>
      </w:pPr>
      <w:r w:rsidRPr="000160E6">
        <w:rPr>
          <w:rStyle w:val="Voetnootmarkering"/>
          <w:sz w:val="14"/>
          <w:szCs w:val="14"/>
        </w:rPr>
        <w:footnoteRef/>
      </w:r>
      <w:r w:rsidRPr="000160E6">
        <w:rPr>
          <w:sz w:val="14"/>
          <w:szCs w:val="14"/>
        </w:rPr>
        <w:t xml:space="preserve"> </w:t>
      </w:r>
      <w:r>
        <w:rPr>
          <w:sz w:val="14"/>
          <w:szCs w:val="14"/>
        </w:rPr>
        <w:t xml:space="preserve">Zie: </w:t>
      </w:r>
      <w:r w:rsidRPr="004F0729">
        <w:rPr>
          <w:i/>
          <w:iCs/>
          <w:sz w:val="14"/>
          <w:szCs w:val="14"/>
        </w:rPr>
        <w:t xml:space="preserve">Kamerstukken II </w:t>
      </w:r>
      <w:r w:rsidRPr="00965195">
        <w:rPr>
          <w:sz w:val="14"/>
          <w:szCs w:val="14"/>
        </w:rPr>
        <w:t>2018-19</w:t>
      </w:r>
      <w:r w:rsidRPr="004F0729">
        <w:rPr>
          <w:i/>
          <w:iCs/>
          <w:sz w:val="14"/>
          <w:szCs w:val="14"/>
        </w:rPr>
        <w:t xml:space="preserve">, </w:t>
      </w:r>
      <w:r w:rsidRPr="00965195">
        <w:rPr>
          <w:sz w:val="14"/>
          <w:szCs w:val="14"/>
        </w:rPr>
        <w:t>32</w:t>
      </w:r>
      <w:r w:rsidR="00C14DC1">
        <w:rPr>
          <w:sz w:val="14"/>
          <w:szCs w:val="14"/>
        </w:rPr>
        <w:t xml:space="preserve"> </w:t>
      </w:r>
      <w:r w:rsidRPr="00965195">
        <w:rPr>
          <w:sz w:val="14"/>
          <w:szCs w:val="14"/>
        </w:rPr>
        <w:t>013, nr.</w:t>
      </w:r>
      <w:r w:rsidRPr="004F0729">
        <w:rPr>
          <w:i/>
          <w:iCs/>
          <w:sz w:val="14"/>
          <w:szCs w:val="14"/>
        </w:rPr>
        <w:t xml:space="preserve"> </w:t>
      </w:r>
      <w:r w:rsidRPr="00965195">
        <w:rPr>
          <w:sz w:val="14"/>
          <w:szCs w:val="14"/>
        </w:rPr>
        <w:t>214</w:t>
      </w:r>
      <w:r w:rsidR="00382510">
        <w:rPr>
          <w:i/>
          <w:iCs/>
          <w:sz w:val="14"/>
          <w:szCs w:val="14"/>
        </w:rPr>
        <w:t xml:space="preserve"> </w:t>
      </w:r>
      <w:r w:rsidR="00382510" w:rsidRPr="001172C2">
        <w:rPr>
          <w:sz w:val="14"/>
          <w:szCs w:val="14"/>
        </w:rPr>
        <w:t>en</w:t>
      </w:r>
      <w:r w:rsidR="00382510">
        <w:rPr>
          <w:i/>
          <w:iCs/>
          <w:sz w:val="14"/>
          <w:szCs w:val="14"/>
        </w:rPr>
        <w:t xml:space="preserve"> </w:t>
      </w:r>
      <w:r w:rsidR="00382510">
        <w:rPr>
          <w:sz w:val="14"/>
          <w:szCs w:val="14"/>
        </w:rPr>
        <w:t>m</w:t>
      </w:r>
      <w:r w:rsidR="00382510" w:rsidRPr="00082FF8">
        <w:rPr>
          <w:sz w:val="14"/>
          <w:szCs w:val="14"/>
        </w:rPr>
        <w:t xml:space="preserve">eest </w:t>
      </w:r>
      <w:r w:rsidR="00382510">
        <w:rPr>
          <w:sz w:val="14"/>
          <w:szCs w:val="14"/>
        </w:rPr>
        <w:t xml:space="preserve">recent door de </w:t>
      </w:r>
      <w:r w:rsidR="00382510" w:rsidRPr="00082FF8">
        <w:rPr>
          <w:sz w:val="14"/>
          <w:szCs w:val="14"/>
        </w:rPr>
        <w:t xml:space="preserve">staatssecretaris van Binnenlandse Zaken en Koninkrijksrelaties (Digitalisering en Koninkrijksrelaties) </w:t>
      </w:r>
      <w:r w:rsidR="00382510">
        <w:rPr>
          <w:sz w:val="14"/>
          <w:szCs w:val="14"/>
        </w:rPr>
        <w:t xml:space="preserve">Kamerbrief van 10 maart 2025. Zie: </w:t>
      </w:r>
      <w:r w:rsidR="00382510" w:rsidRPr="00082FF8">
        <w:rPr>
          <w:i/>
          <w:iCs/>
          <w:sz w:val="14"/>
          <w:szCs w:val="14"/>
        </w:rPr>
        <w:t>Kamerstukken II</w:t>
      </w:r>
      <w:r w:rsidR="00382510">
        <w:rPr>
          <w:i/>
          <w:iCs/>
          <w:sz w:val="14"/>
          <w:szCs w:val="14"/>
        </w:rPr>
        <w:t xml:space="preserve"> </w:t>
      </w:r>
      <w:r w:rsidR="00382510">
        <w:rPr>
          <w:sz w:val="14"/>
          <w:szCs w:val="14"/>
        </w:rPr>
        <w:t>2024-25, 36 600 IV, nr. 51.</w:t>
      </w:r>
    </w:p>
  </w:footnote>
  <w:footnote w:id="3">
    <w:p w14:paraId="7A9983EA" w14:textId="77777777" w:rsidR="000160E6" w:rsidRDefault="000160E6" w:rsidP="000160E6">
      <w:pPr>
        <w:pStyle w:val="Voetnoottekst"/>
        <w:jc w:val="both"/>
        <w:rPr>
          <w:sz w:val="14"/>
          <w:szCs w:val="14"/>
        </w:rPr>
      </w:pPr>
      <w:r>
        <w:rPr>
          <w:rStyle w:val="Voetnootmarkering"/>
          <w:sz w:val="14"/>
          <w:szCs w:val="14"/>
        </w:rPr>
        <w:footnoteRef/>
      </w:r>
      <w:r>
        <w:rPr>
          <w:sz w:val="14"/>
          <w:szCs w:val="14"/>
        </w:rPr>
        <w:t xml:space="preserve"> Zie meest recent</w:t>
      </w:r>
      <w:r w:rsidR="007B1098">
        <w:rPr>
          <w:sz w:val="14"/>
          <w:szCs w:val="14"/>
        </w:rPr>
        <w:t>elijk</w:t>
      </w:r>
      <w:r>
        <w:rPr>
          <w:sz w:val="14"/>
          <w:szCs w:val="14"/>
        </w:rPr>
        <w:t xml:space="preserve">: </w:t>
      </w:r>
      <w:r>
        <w:rPr>
          <w:i/>
          <w:iCs/>
          <w:sz w:val="14"/>
          <w:szCs w:val="14"/>
        </w:rPr>
        <w:t>Kamerstukken II</w:t>
      </w:r>
      <w:r>
        <w:rPr>
          <w:sz w:val="14"/>
          <w:szCs w:val="14"/>
        </w:rPr>
        <w:t xml:space="preserve"> 2024-25, 36 600 IV, nr. 51.</w:t>
      </w:r>
    </w:p>
  </w:footnote>
  <w:footnote w:id="4">
    <w:p w14:paraId="6E6696E6" w14:textId="57E1B3F5" w:rsidR="00913F69" w:rsidRPr="00913F69" w:rsidRDefault="00913F69">
      <w:pPr>
        <w:pStyle w:val="Voetnoottekst"/>
      </w:pPr>
      <w:r w:rsidRPr="00913F69">
        <w:rPr>
          <w:rStyle w:val="Voetnootmarkering"/>
          <w:sz w:val="14"/>
          <w:szCs w:val="14"/>
        </w:rPr>
        <w:footnoteRef/>
      </w:r>
      <w:r w:rsidRPr="00913F69">
        <w:rPr>
          <w:sz w:val="14"/>
          <w:szCs w:val="14"/>
        </w:rPr>
        <w:t xml:space="preserve"> </w:t>
      </w:r>
      <w:r w:rsidRPr="00913F69">
        <w:rPr>
          <w:i/>
          <w:iCs/>
          <w:sz w:val="14"/>
          <w:szCs w:val="14"/>
        </w:rPr>
        <w:t>Kamerstukken II</w:t>
      </w:r>
      <w:r>
        <w:rPr>
          <w:i/>
          <w:iCs/>
          <w:sz w:val="14"/>
          <w:szCs w:val="14"/>
        </w:rPr>
        <w:t xml:space="preserve"> </w:t>
      </w:r>
      <w:r>
        <w:rPr>
          <w:sz w:val="14"/>
          <w:szCs w:val="14"/>
        </w:rPr>
        <w:t xml:space="preserve">2023-24, 36 410 IV, nr. </w:t>
      </w:r>
      <w:r w:rsidR="008E7D49">
        <w:rPr>
          <w:sz w:val="14"/>
          <w:szCs w:val="14"/>
        </w:rPr>
        <w:t>4</w:t>
      </w:r>
      <w:r>
        <w:rPr>
          <w:sz w:val="14"/>
          <w:szCs w:val="14"/>
        </w:rPr>
        <w:t>2.</w:t>
      </w:r>
    </w:p>
  </w:footnote>
  <w:footnote w:id="5">
    <w:p w14:paraId="70B7EF29" w14:textId="08A27D88" w:rsidR="000160E6" w:rsidRDefault="000160E6">
      <w:pPr>
        <w:pStyle w:val="Voetnoottekst"/>
      </w:pPr>
      <w:r w:rsidRPr="000160E6">
        <w:rPr>
          <w:rStyle w:val="Voetnootmarkering"/>
          <w:sz w:val="14"/>
          <w:szCs w:val="14"/>
        </w:rPr>
        <w:footnoteRef/>
      </w:r>
      <w:r w:rsidRPr="000160E6">
        <w:rPr>
          <w:sz w:val="14"/>
          <w:szCs w:val="14"/>
        </w:rPr>
        <w:t xml:space="preserve"> </w:t>
      </w:r>
      <w:r>
        <w:rPr>
          <w:sz w:val="14"/>
          <w:szCs w:val="14"/>
        </w:rPr>
        <w:t xml:space="preserve">Zie: </w:t>
      </w:r>
      <w:r w:rsidRPr="000160E6">
        <w:rPr>
          <w:i/>
          <w:iCs/>
          <w:sz w:val="14"/>
          <w:szCs w:val="14"/>
        </w:rPr>
        <w:t xml:space="preserve">Kamerstukken II </w:t>
      </w:r>
      <w:r w:rsidRPr="000160E6">
        <w:rPr>
          <w:sz w:val="14"/>
          <w:szCs w:val="14"/>
        </w:rPr>
        <w:t>2018-19, 32</w:t>
      </w:r>
      <w:r w:rsidR="00D73BAB">
        <w:rPr>
          <w:sz w:val="14"/>
          <w:szCs w:val="14"/>
        </w:rPr>
        <w:t xml:space="preserve"> </w:t>
      </w:r>
      <w:r w:rsidRPr="000160E6">
        <w:rPr>
          <w:sz w:val="14"/>
          <w:szCs w:val="14"/>
        </w:rPr>
        <w:t xml:space="preserve">013, nr. 214 (Bijlage: Samenvatting </w:t>
      </w:r>
      <w:proofErr w:type="spellStart"/>
      <w:r w:rsidRPr="000160E6">
        <w:rPr>
          <w:sz w:val="14"/>
          <w:szCs w:val="14"/>
        </w:rPr>
        <w:t>PwC</w:t>
      </w:r>
      <w:proofErr w:type="spellEnd"/>
      <w:r w:rsidRPr="000160E6">
        <w:rPr>
          <w:sz w:val="14"/>
          <w:szCs w:val="14"/>
        </w:rPr>
        <w:t xml:space="preserve"> Rapport – Onderzoek bancaire dienstverlening BES-eilanden).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A1BC" w14:textId="77777777" w:rsidR="00EF3861" w:rsidRDefault="009D6414">
    <w:r>
      <w:rPr>
        <w:noProof/>
      </w:rPr>
      <mc:AlternateContent>
        <mc:Choice Requires="wps">
          <w:drawing>
            <wp:anchor distT="0" distB="0" distL="0" distR="0" simplePos="0" relativeHeight="251658240" behindDoc="0" locked="1" layoutInCell="1" allowOverlap="1" wp14:anchorId="6B58EC74" wp14:editId="4D741FC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4135C2" w14:textId="77777777" w:rsidR="00EF3861" w:rsidRDefault="009D6414">
                          <w:pPr>
                            <w:pStyle w:val="StandaardReferentiegegevensKop"/>
                          </w:pPr>
                          <w:r>
                            <w:t>Directie Financiële Markten</w:t>
                          </w:r>
                        </w:p>
                        <w:p w14:paraId="34B8504F" w14:textId="77777777" w:rsidR="00EF3861" w:rsidRDefault="00EF3861">
                          <w:pPr>
                            <w:pStyle w:val="WitregelW1"/>
                          </w:pPr>
                        </w:p>
                        <w:p w14:paraId="1DEDB1B4" w14:textId="77777777" w:rsidR="00EF3861" w:rsidRDefault="009D6414">
                          <w:pPr>
                            <w:pStyle w:val="StandaardReferentiegegevensKop"/>
                          </w:pPr>
                          <w:r>
                            <w:t>Ons kenmerk</w:t>
                          </w:r>
                        </w:p>
                        <w:p w14:paraId="42C71969" w14:textId="3F4BEBC9" w:rsidR="00E31C35" w:rsidRDefault="00BF4607">
                          <w:pPr>
                            <w:pStyle w:val="StandaardReferentiegegevens"/>
                          </w:pPr>
                          <w:r>
                            <w:fldChar w:fldCharType="begin"/>
                          </w:r>
                          <w:r>
                            <w:instrText xml:space="preserve"> DOCPROPERTY  "Kenmerk"  \* MERGEFORMAT </w:instrText>
                          </w:r>
                          <w:r>
                            <w:fldChar w:fldCharType="separate"/>
                          </w:r>
                          <w:r>
                            <w:t>2025-0000102193</w:t>
                          </w:r>
                          <w:r>
                            <w:fldChar w:fldCharType="end"/>
                          </w:r>
                        </w:p>
                      </w:txbxContent>
                    </wps:txbx>
                    <wps:bodyPr vert="horz" wrap="square" lIns="0" tIns="0" rIns="0" bIns="0" anchor="t" anchorCtr="0"/>
                  </wps:wsp>
                </a:graphicData>
              </a:graphic>
            </wp:anchor>
          </w:drawing>
        </mc:Choice>
        <mc:Fallback>
          <w:pict>
            <v:shapetype w14:anchorId="6B58EC7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44135C2" w14:textId="77777777" w:rsidR="00EF3861" w:rsidRDefault="009D6414">
                    <w:pPr>
                      <w:pStyle w:val="StandaardReferentiegegevensKop"/>
                    </w:pPr>
                    <w:r>
                      <w:t>Directie Financiële Markten</w:t>
                    </w:r>
                  </w:p>
                  <w:p w14:paraId="34B8504F" w14:textId="77777777" w:rsidR="00EF3861" w:rsidRDefault="00EF3861">
                    <w:pPr>
                      <w:pStyle w:val="WitregelW1"/>
                    </w:pPr>
                  </w:p>
                  <w:p w14:paraId="1DEDB1B4" w14:textId="77777777" w:rsidR="00EF3861" w:rsidRDefault="009D6414">
                    <w:pPr>
                      <w:pStyle w:val="StandaardReferentiegegevensKop"/>
                    </w:pPr>
                    <w:r>
                      <w:t>Ons kenmerk</w:t>
                    </w:r>
                  </w:p>
                  <w:p w14:paraId="42C71969" w14:textId="3F4BEBC9" w:rsidR="00E31C35" w:rsidRDefault="00BF4607">
                    <w:pPr>
                      <w:pStyle w:val="StandaardReferentiegegevens"/>
                    </w:pPr>
                    <w:r>
                      <w:fldChar w:fldCharType="begin"/>
                    </w:r>
                    <w:r>
                      <w:instrText xml:space="preserve"> DOCPROPERTY  "Kenmerk"  \* MERGEFORMAT </w:instrText>
                    </w:r>
                    <w:r>
                      <w:fldChar w:fldCharType="separate"/>
                    </w:r>
                    <w:r>
                      <w:t>2025-0000102193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AF38554" wp14:editId="6B4EF3A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F5C626" w14:textId="77777777" w:rsidR="00E31C35" w:rsidRDefault="00BF460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F38554"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6F5C626" w14:textId="77777777" w:rsidR="00E31C35" w:rsidRDefault="00BF460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EE55B1A" wp14:editId="4FE4D8C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4968D08" w14:textId="5EA15E3A" w:rsidR="00E31C35" w:rsidRDefault="00BF460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EE55B1A"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4968D08" w14:textId="5EA15E3A" w:rsidR="00E31C35" w:rsidRDefault="00BF460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E723" w14:textId="77777777" w:rsidR="00EF3861" w:rsidRDefault="009D6414">
    <w:pPr>
      <w:spacing w:after="7029" w:line="14" w:lineRule="exact"/>
    </w:pPr>
    <w:r>
      <w:rPr>
        <w:noProof/>
      </w:rPr>
      <mc:AlternateContent>
        <mc:Choice Requires="wps">
          <w:drawing>
            <wp:anchor distT="0" distB="0" distL="0" distR="0" simplePos="0" relativeHeight="251658243" behindDoc="0" locked="1" layoutInCell="1" allowOverlap="1" wp14:anchorId="195D0617" wp14:editId="20BF51E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454705C" w14:textId="77777777" w:rsidR="00EF3861" w:rsidRDefault="009D6414">
                          <w:pPr>
                            <w:spacing w:line="240" w:lineRule="auto"/>
                          </w:pPr>
                          <w:r>
                            <w:rPr>
                              <w:noProof/>
                            </w:rPr>
                            <w:drawing>
                              <wp:inline distT="0" distB="0" distL="0" distR="0" wp14:anchorId="01AA66D1" wp14:editId="01371D1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5D061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454705C" w14:textId="77777777" w:rsidR="00EF3861" w:rsidRDefault="009D6414">
                    <w:pPr>
                      <w:spacing w:line="240" w:lineRule="auto"/>
                    </w:pPr>
                    <w:r>
                      <w:rPr>
                        <w:noProof/>
                      </w:rPr>
                      <w:drawing>
                        <wp:inline distT="0" distB="0" distL="0" distR="0" wp14:anchorId="01AA66D1" wp14:editId="01371D1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6B52769" wp14:editId="4EB5DEF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1C1A7BE" w14:textId="77777777" w:rsidR="009D6414" w:rsidRDefault="009D6414"/>
                      </w:txbxContent>
                    </wps:txbx>
                    <wps:bodyPr vert="horz" wrap="square" lIns="0" tIns="0" rIns="0" bIns="0" anchor="t" anchorCtr="0"/>
                  </wps:wsp>
                </a:graphicData>
              </a:graphic>
            </wp:anchor>
          </w:drawing>
        </mc:Choice>
        <mc:Fallback>
          <w:pict>
            <v:shape w14:anchorId="66B52769"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1C1A7BE" w14:textId="77777777" w:rsidR="009D6414" w:rsidRDefault="009D641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237217D" wp14:editId="080C930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ACE3A53" w14:textId="77777777" w:rsidR="00EF3861" w:rsidRDefault="009D6414">
                          <w:pPr>
                            <w:pStyle w:val="StandaardReferentiegegevensKop"/>
                          </w:pPr>
                          <w:r>
                            <w:t>Directie Financiële Markten</w:t>
                          </w:r>
                        </w:p>
                        <w:p w14:paraId="14A0509B" w14:textId="77777777" w:rsidR="00EF3861" w:rsidRDefault="00EF3861">
                          <w:pPr>
                            <w:pStyle w:val="WitregelW1"/>
                          </w:pPr>
                        </w:p>
                        <w:p w14:paraId="6541049A" w14:textId="77777777" w:rsidR="00EF3861" w:rsidRDefault="009D6414">
                          <w:pPr>
                            <w:pStyle w:val="StandaardReferentiegegevens"/>
                          </w:pPr>
                          <w:r>
                            <w:t>Korte Voorhout 7</w:t>
                          </w:r>
                        </w:p>
                        <w:p w14:paraId="0A5A6DED" w14:textId="77777777" w:rsidR="00EF3861" w:rsidRDefault="009D6414">
                          <w:pPr>
                            <w:pStyle w:val="StandaardReferentiegegevens"/>
                          </w:pPr>
                          <w:r>
                            <w:t>2511 CW  'S-GRAVENHAGE</w:t>
                          </w:r>
                        </w:p>
                        <w:p w14:paraId="4A37D8BE" w14:textId="77777777" w:rsidR="00EF3861" w:rsidRDefault="009D6414">
                          <w:pPr>
                            <w:pStyle w:val="StandaardReferentiegegevens"/>
                          </w:pPr>
                          <w:r>
                            <w:t>POSTBUS 20201</w:t>
                          </w:r>
                        </w:p>
                        <w:p w14:paraId="5B82BAFA" w14:textId="77777777" w:rsidR="00EF3861" w:rsidRDefault="009D6414">
                          <w:pPr>
                            <w:pStyle w:val="StandaardReferentiegegevens"/>
                          </w:pPr>
                          <w:r>
                            <w:t>2500 EE  'S-GRAVENHAGE</w:t>
                          </w:r>
                        </w:p>
                        <w:p w14:paraId="414BED60" w14:textId="77777777" w:rsidR="00EF3861" w:rsidRDefault="009D6414">
                          <w:pPr>
                            <w:pStyle w:val="StandaardReferentiegegevens"/>
                          </w:pPr>
                          <w:r>
                            <w:t>www.rijksoverheid.nl/fin</w:t>
                          </w:r>
                        </w:p>
                        <w:p w14:paraId="18DE4C93" w14:textId="77777777" w:rsidR="00EF3861" w:rsidRDefault="00EF3861">
                          <w:pPr>
                            <w:pStyle w:val="WitregelW2"/>
                          </w:pPr>
                        </w:p>
                        <w:p w14:paraId="232C6EEF" w14:textId="77777777" w:rsidR="00EF3861" w:rsidRDefault="009D6414">
                          <w:pPr>
                            <w:pStyle w:val="StandaardReferentiegegevensKop"/>
                          </w:pPr>
                          <w:r>
                            <w:t>Ons kenmerk</w:t>
                          </w:r>
                        </w:p>
                        <w:p w14:paraId="7AA87DE5" w14:textId="36E51D51" w:rsidR="00E31C35" w:rsidRDefault="00BF4607">
                          <w:pPr>
                            <w:pStyle w:val="StandaardReferentiegegevens"/>
                          </w:pPr>
                          <w:r>
                            <w:fldChar w:fldCharType="begin"/>
                          </w:r>
                          <w:r>
                            <w:instrText xml:space="preserve"> DOCPROPERTY  "Kenmerk"  \* MERGEFORMAT </w:instrText>
                          </w:r>
                          <w:r>
                            <w:fldChar w:fldCharType="separate"/>
                          </w:r>
                          <w:r>
                            <w:t>2025-0000102193</w:t>
                          </w:r>
                          <w:r>
                            <w:fldChar w:fldCharType="end"/>
                          </w:r>
                        </w:p>
                        <w:p w14:paraId="2CF2A770" w14:textId="77777777" w:rsidR="00EF3861" w:rsidRDefault="00EF3861">
                          <w:pPr>
                            <w:pStyle w:val="WitregelW1"/>
                          </w:pPr>
                        </w:p>
                        <w:p w14:paraId="740E473B" w14:textId="77777777" w:rsidR="00EF3861" w:rsidRDefault="009D6414">
                          <w:pPr>
                            <w:pStyle w:val="StandaardReferentiegegevensKop"/>
                          </w:pPr>
                          <w:r>
                            <w:t>Bijlagen</w:t>
                          </w:r>
                        </w:p>
                        <w:p w14:paraId="62CF9094" w14:textId="77777777" w:rsidR="00EF3861" w:rsidRDefault="009D6414">
                          <w:pPr>
                            <w:pStyle w:val="StandaardReferentiegegevens"/>
                          </w:pPr>
                          <w:r>
                            <w:t>1</w:t>
                          </w:r>
                          <w:r w:rsidR="007A6611">
                            <w:t xml:space="preserve"> Externe verkenning van mogelijkheden tot verbetering van de bancaire dienstverlening op de BES </w:t>
                          </w:r>
                          <w:r w:rsidR="003804B8">
                            <w:t>d.d. april 2024</w:t>
                          </w:r>
                        </w:p>
                      </w:txbxContent>
                    </wps:txbx>
                    <wps:bodyPr vert="horz" wrap="square" lIns="0" tIns="0" rIns="0" bIns="0" anchor="t" anchorCtr="0"/>
                  </wps:wsp>
                </a:graphicData>
              </a:graphic>
            </wp:anchor>
          </w:drawing>
        </mc:Choice>
        <mc:Fallback>
          <w:pict>
            <v:shape w14:anchorId="3237217D"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ACE3A53" w14:textId="77777777" w:rsidR="00EF3861" w:rsidRDefault="009D6414">
                    <w:pPr>
                      <w:pStyle w:val="StandaardReferentiegegevensKop"/>
                    </w:pPr>
                    <w:r>
                      <w:t>Directie Financiële Markten</w:t>
                    </w:r>
                  </w:p>
                  <w:p w14:paraId="14A0509B" w14:textId="77777777" w:rsidR="00EF3861" w:rsidRDefault="00EF3861">
                    <w:pPr>
                      <w:pStyle w:val="WitregelW1"/>
                    </w:pPr>
                  </w:p>
                  <w:p w14:paraId="6541049A" w14:textId="77777777" w:rsidR="00EF3861" w:rsidRDefault="009D6414">
                    <w:pPr>
                      <w:pStyle w:val="StandaardReferentiegegevens"/>
                    </w:pPr>
                    <w:r>
                      <w:t>Korte Voorhout 7</w:t>
                    </w:r>
                  </w:p>
                  <w:p w14:paraId="0A5A6DED" w14:textId="77777777" w:rsidR="00EF3861" w:rsidRDefault="009D6414">
                    <w:pPr>
                      <w:pStyle w:val="StandaardReferentiegegevens"/>
                    </w:pPr>
                    <w:r>
                      <w:t>2511 CW  'S-GRAVENHAGE</w:t>
                    </w:r>
                  </w:p>
                  <w:p w14:paraId="4A37D8BE" w14:textId="77777777" w:rsidR="00EF3861" w:rsidRDefault="009D6414">
                    <w:pPr>
                      <w:pStyle w:val="StandaardReferentiegegevens"/>
                    </w:pPr>
                    <w:r>
                      <w:t>POSTBUS 20201</w:t>
                    </w:r>
                  </w:p>
                  <w:p w14:paraId="5B82BAFA" w14:textId="77777777" w:rsidR="00EF3861" w:rsidRDefault="009D6414">
                    <w:pPr>
                      <w:pStyle w:val="StandaardReferentiegegevens"/>
                    </w:pPr>
                    <w:r>
                      <w:t>2500 EE  'S-GRAVENHAGE</w:t>
                    </w:r>
                  </w:p>
                  <w:p w14:paraId="414BED60" w14:textId="77777777" w:rsidR="00EF3861" w:rsidRDefault="009D6414">
                    <w:pPr>
                      <w:pStyle w:val="StandaardReferentiegegevens"/>
                    </w:pPr>
                    <w:r>
                      <w:t>www.rijksoverheid.nl/fin</w:t>
                    </w:r>
                  </w:p>
                  <w:p w14:paraId="18DE4C93" w14:textId="77777777" w:rsidR="00EF3861" w:rsidRDefault="00EF3861">
                    <w:pPr>
                      <w:pStyle w:val="WitregelW2"/>
                    </w:pPr>
                  </w:p>
                  <w:p w14:paraId="232C6EEF" w14:textId="77777777" w:rsidR="00EF3861" w:rsidRDefault="009D6414">
                    <w:pPr>
                      <w:pStyle w:val="StandaardReferentiegegevensKop"/>
                    </w:pPr>
                    <w:r>
                      <w:t>Ons kenmerk</w:t>
                    </w:r>
                  </w:p>
                  <w:p w14:paraId="7AA87DE5" w14:textId="36E51D51" w:rsidR="00E31C35" w:rsidRDefault="00BF4607">
                    <w:pPr>
                      <w:pStyle w:val="StandaardReferentiegegevens"/>
                    </w:pPr>
                    <w:r>
                      <w:fldChar w:fldCharType="begin"/>
                    </w:r>
                    <w:r>
                      <w:instrText xml:space="preserve"> DOCPROPERTY  "Kenmerk"  \* MERGEFORMAT </w:instrText>
                    </w:r>
                    <w:r>
                      <w:fldChar w:fldCharType="separate"/>
                    </w:r>
                    <w:r>
                      <w:t>2025-0000102193</w:t>
                    </w:r>
                    <w:r>
                      <w:fldChar w:fldCharType="end"/>
                    </w:r>
                  </w:p>
                  <w:p w14:paraId="2CF2A770" w14:textId="77777777" w:rsidR="00EF3861" w:rsidRDefault="00EF3861">
                    <w:pPr>
                      <w:pStyle w:val="WitregelW1"/>
                    </w:pPr>
                  </w:p>
                  <w:p w14:paraId="740E473B" w14:textId="77777777" w:rsidR="00EF3861" w:rsidRDefault="009D6414">
                    <w:pPr>
                      <w:pStyle w:val="StandaardReferentiegegevensKop"/>
                    </w:pPr>
                    <w:r>
                      <w:t>Bijlagen</w:t>
                    </w:r>
                  </w:p>
                  <w:p w14:paraId="62CF9094" w14:textId="77777777" w:rsidR="00EF3861" w:rsidRDefault="009D6414">
                    <w:pPr>
                      <w:pStyle w:val="StandaardReferentiegegevens"/>
                    </w:pPr>
                    <w:r>
                      <w:t>1</w:t>
                    </w:r>
                    <w:r w:rsidR="007A6611">
                      <w:t xml:space="preserve"> Externe verkenning van mogelijkheden tot verbetering van de bancaire dienstverlening op de BES </w:t>
                    </w:r>
                    <w:r w:rsidR="003804B8">
                      <w:t>d.d. april 2024</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57031A0" wp14:editId="1C2CC40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C46A5F2" w14:textId="77777777" w:rsidR="00EF3861" w:rsidRDefault="009D641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57031A0"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C46A5F2" w14:textId="77777777" w:rsidR="00EF3861" w:rsidRDefault="009D641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C6938E0" wp14:editId="6BB7DEA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D558B54" w14:textId="0EA27449" w:rsidR="00E31C35" w:rsidRDefault="00BF4607">
                          <w:pPr>
                            <w:pStyle w:val="Rubricering"/>
                          </w:pPr>
                          <w:r>
                            <w:fldChar w:fldCharType="begin"/>
                          </w:r>
                          <w:r>
                            <w:instrText xml:space="preserve"> DOCPROPERTY  "Rubricering"  \* MERGEFORMAT </w:instrText>
                          </w:r>
                          <w:r>
                            <w:fldChar w:fldCharType="end"/>
                          </w:r>
                        </w:p>
                        <w:p w14:paraId="25CECC24" w14:textId="77777777" w:rsidR="00EF3861" w:rsidRDefault="009D641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C6938E0"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D558B54" w14:textId="0EA27449" w:rsidR="00E31C35" w:rsidRDefault="00BF4607">
                    <w:pPr>
                      <w:pStyle w:val="Rubricering"/>
                    </w:pPr>
                    <w:r>
                      <w:fldChar w:fldCharType="begin"/>
                    </w:r>
                    <w:r>
                      <w:instrText xml:space="preserve"> DOCPROPERTY  "Rubricering"  \* MERGEFORMAT </w:instrText>
                    </w:r>
                    <w:r>
                      <w:fldChar w:fldCharType="end"/>
                    </w:r>
                  </w:p>
                  <w:p w14:paraId="25CECC24" w14:textId="77777777" w:rsidR="00EF3861" w:rsidRDefault="009D641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7E4F766" wp14:editId="75F3B1F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A341B6" w14:textId="77777777" w:rsidR="00E31C35" w:rsidRDefault="00BF460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E4F766"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2A341B6" w14:textId="77777777" w:rsidR="00E31C35" w:rsidRDefault="00BF460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0FFF7A7" wp14:editId="16CC72C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F3861" w14:paraId="65B08F89" w14:textId="77777777">
                            <w:trPr>
                              <w:trHeight w:val="200"/>
                            </w:trPr>
                            <w:tc>
                              <w:tcPr>
                                <w:tcW w:w="1140" w:type="dxa"/>
                              </w:tcPr>
                              <w:p w14:paraId="3627ED90" w14:textId="77777777" w:rsidR="00EF3861" w:rsidRDefault="00EF3861"/>
                            </w:tc>
                            <w:tc>
                              <w:tcPr>
                                <w:tcW w:w="5400" w:type="dxa"/>
                              </w:tcPr>
                              <w:p w14:paraId="34D18A39" w14:textId="77777777" w:rsidR="00EF3861" w:rsidRDefault="00EF3861"/>
                            </w:tc>
                          </w:tr>
                          <w:tr w:rsidR="00EF3861" w14:paraId="3CE6D4AB" w14:textId="77777777">
                            <w:trPr>
                              <w:trHeight w:val="240"/>
                            </w:trPr>
                            <w:tc>
                              <w:tcPr>
                                <w:tcW w:w="1140" w:type="dxa"/>
                              </w:tcPr>
                              <w:p w14:paraId="417F6B03" w14:textId="77777777" w:rsidR="00EF3861" w:rsidRDefault="009D6414">
                                <w:r>
                                  <w:t>Datum</w:t>
                                </w:r>
                              </w:p>
                            </w:tc>
                            <w:tc>
                              <w:tcPr>
                                <w:tcW w:w="5400" w:type="dxa"/>
                              </w:tcPr>
                              <w:p w14:paraId="50392FAD" w14:textId="07D1020A" w:rsidR="00EF3861" w:rsidRDefault="00BF4607">
                                <w:r>
                                  <w:t>24 april 2025</w:t>
                                </w:r>
                              </w:p>
                            </w:tc>
                          </w:tr>
                          <w:tr w:rsidR="00EF3861" w14:paraId="2FD7FE9A" w14:textId="77777777">
                            <w:trPr>
                              <w:trHeight w:val="240"/>
                            </w:trPr>
                            <w:tc>
                              <w:tcPr>
                                <w:tcW w:w="1140" w:type="dxa"/>
                              </w:tcPr>
                              <w:p w14:paraId="7E796F45" w14:textId="77777777" w:rsidR="00EF3861" w:rsidRDefault="009D6414">
                                <w:r>
                                  <w:t>Betreft</w:t>
                                </w:r>
                              </w:p>
                            </w:tc>
                            <w:tc>
                              <w:tcPr>
                                <w:tcW w:w="5400" w:type="dxa"/>
                              </w:tcPr>
                              <w:p w14:paraId="13AEB164" w14:textId="6F48E681" w:rsidR="00E31C35" w:rsidRDefault="00BF4607">
                                <w:r>
                                  <w:fldChar w:fldCharType="begin"/>
                                </w:r>
                                <w:r>
                                  <w:instrText xml:space="preserve"> DOCPROPERTY  "Onderwerp"  \* MERGEFORMAT </w:instrText>
                                </w:r>
                                <w:r>
                                  <w:fldChar w:fldCharType="separate"/>
                                </w:r>
                                <w:r>
                                  <w:t>Bancaire Dienstverlening Saba en Sint Eustatius</w:t>
                                </w:r>
                                <w:r>
                                  <w:fldChar w:fldCharType="end"/>
                                </w:r>
                              </w:p>
                            </w:tc>
                          </w:tr>
                          <w:tr w:rsidR="00EF3861" w14:paraId="57D7A07D" w14:textId="77777777">
                            <w:trPr>
                              <w:trHeight w:val="200"/>
                            </w:trPr>
                            <w:tc>
                              <w:tcPr>
                                <w:tcW w:w="1140" w:type="dxa"/>
                              </w:tcPr>
                              <w:p w14:paraId="0C4F3968" w14:textId="77777777" w:rsidR="00EF3861" w:rsidRDefault="00EF3861"/>
                            </w:tc>
                            <w:tc>
                              <w:tcPr>
                                <w:tcW w:w="4738" w:type="dxa"/>
                              </w:tcPr>
                              <w:p w14:paraId="565A0DFE" w14:textId="77777777" w:rsidR="00EF3861" w:rsidRDefault="00EF3861"/>
                            </w:tc>
                          </w:tr>
                        </w:tbl>
                        <w:p w14:paraId="0634C5BD" w14:textId="77777777" w:rsidR="009D6414" w:rsidRDefault="009D6414"/>
                      </w:txbxContent>
                    </wps:txbx>
                    <wps:bodyPr vert="horz" wrap="square" lIns="0" tIns="0" rIns="0" bIns="0" anchor="t" anchorCtr="0"/>
                  </wps:wsp>
                </a:graphicData>
              </a:graphic>
            </wp:anchor>
          </w:drawing>
        </mc:Choice>
        <mc:Fallback>
          <w:pict>
            <v:shape w14:anchorId="20FFF7A7"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F3861" w14:paraId="65B08F89" w14:textId="77777777">
                      <w:trPr>
                        <w:trHeight w:val="200"/>
                      </w:trPr>
                      <w:tc>
                        <w:tcPr>
                          <w:tcW w:w="1140" w:type="dxa"/>
                        </w:tcPr>
                        <w:p w14:paraId="3627ED90" w14:textId="77777777" w:rsidR="00EF3861" w:rsidRDefault="00EF3861"/>
                      </w:tc>
                      <w:tc>
                        <w:tcPr>
                          <w:tcW w:w="5400" w:type="dxa"/>
                        </w:tcPr>
                        <w:p w14:paraId="34D18A39" w14:textId="77777777" w:rsidR="00EF3861" w:rsidRDefault="00EF3861"/>
                      </w:tc>
                    </w:tr>
                    <w:tr w:rsidR="00EF3861" w14:paraId="3CE6D4AB" w14:textId="77777777">
                      <w:trPr>
                        <w:trHeight w:val="240"/>
                      </w:trPr>
                      <w:tc>
                        <w:tcPr>
                          <w:tcW w:w="1140" w:type="dxa"/>
                        </w:tcPr>
                        <w:p w14:paraId="417F6B03" w14:textId="77777777" w:rsidR="00EF3861" w:rsidRDefault="009D6414">
                          <w:r>
                            <w:t>Datum</w:t>
                          </w:r>
                        </w:p>
                      </w:tc>
                      <w:tc>
                        <w:tcPr>
                          <w:tcW w:w="5400" w:type="dxa"/>
                        </w:tcPr>
                        <w:p w14:paraId="50392FAD" w14:textId="07D1020A" w:rsidR="00EF3861" w:rsidRDefault="00BF4607">
                          <w:r>
                            <w:t>24 april 2025</w:t>
                          </w:r>
                        </w:p>
                      </w:tc>
                    </w:tr>
                    <w:tr w:rsidR="00EF3861" w14:paraId="2FD7FE9A" w14:textId="77777777">
                      <w:trPr>
                        <w:trHeight w:val="240"/>
                      </w:trPr>
                      <w:tc>
                        <w:tcPr>
                          <w:tcW w:w="1140" w:type="dxa"/>
                        </w:tcPr>
                        <w:p w14:paraId="7E796F45" w14:textId="77777777" w:rsidR="00EF3861" w:rsidRDefault="009D6414">
                          <w:r>
                            <w:t>Betreft</w:t>
                          </w:r>
                        </w:p>
                      </w:tc>
                      <w:tc>
                        <w:tcPr>
                          <w:tcW w:w="5400" w:type="dxa"/>
                        </w:tcPr>
                        <w:p w14:paraId="13AEB164" w14:textId="6F48E681" w:rsidR="00E31C35" w:rsidRDefault="00BF4607">
                          <w:r>
                            <w:fldChar w:fldCharType="begin"/>
                          </w:r>
                          <w:r>
                            <w:instrText xml:space="preserve"> DOCPROPERTY  "Onderwerp"  \* MERGEFORMAT </w:instrText>
                          </w:r>
                          <w:r>
                            <w:fldChar w:fldCharType="separate"/>
                          </w:r>
                          <w:r>
                            <w:t>Bancaire Dienstverlening Saba en Sint Eustatius</w:t>
                          </w:r>
                          <w:r>
                            <w:fldChar w:fldCharType="end"/>
                          </w:r>
                        </w:p>
                      </w:tc>
                    </w:tr>
                    <w:tr w:rsidR="00EF3861" w14:paraId="57D7A07D" w14:textId="77777777">
                      <w:trPr>
                        <w:trHeight w:val="200"/>
                      </w:trPr>
                      <w:tc>
                        <w:tcPr>
                          <w:tcW w:w="1140" w:type="dxa"/>
                        </w:tcPr>
                        <w:p w14:paraId="0C4F3968" w14:textId="77777777" w:rsidR="00EF3861" w:rsidRDefault="00EF3861"/>
                      </w:tc>
                      <w:tc>
                        <w:tcPr>
                          <w:tcW w:w="4738" w:type="dxa"/>
                        </w:tcPr>
                        <w:p w14:paraId="565A0DFE" w14:textId="77777777" w:rsidR="00EF3861" w:rsidRDefault="00EF3861"/>
                      </w:tc>
                    </w:tr>
                  </w:tbl>
                  <w:p w14:paraId="0634C5BD" w14:textId="77777777" w:rsidR="009D6414" w:rsidRDefault="009D641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C5AE241" wp14:editId="05A69B6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E4A1C11" w14:textId="5ABFCA43" w:rsidR="00E31C35" w:rsidRDefault="00BF460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5AE241"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E4A1C11" w14:textId="5ABFCA43" w:rsidR="00E31C35" w:rsidRDefault="00BF460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3A566D5" wp14:editId="5B66E91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0821D20" w14:textId="77777777" w:rsidR="009D6414" w:rsidRDefault="009D6414"/>
                      </w:txbxContent>
                    </wps:txbx>
                    <wps:bodyPr vert="horz" wrap="square" lIns="0" tIns="0" rIns="0" bIns="0" anchor="t" anchorCtr="0"/>
                  </wps:wsp>
                </a:graphicData>
              </a:graphic>
            </wp:anchor>
          </w:drawing>
        </mc:Choice>
        <mc:Fallback>
          <w:pict>
            <v:shape w14:anchorId="63A566D5"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0821D20" w14:textId="77777777" w:rsidR="009D6414" w:rsidRDefault="009D64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723BA"/>
    <w:multiLevelType w:val="multilevel"/>
    <w:tmpl w:val="C16C99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CC415A4"/>
    <w:multiLevelType w:val="multilevel"/>
    <w:tmpl w:val="C26A49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FD4BED"/>
    <w:multiLevelType w:val="multilevel"/>
    <w:tmpl w:val="CE88D8C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5A9AE"/>
    <w:multiLevelType w:val="multilevel"/>
    <w:tmpl w:val="2BA7AB3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D6566"/>
    <w:multiLevelType w:val="multilevel"/>
    <w:tmpl w:val="B98AA08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86F07A"/>
    <w:multiLevelType w:val="multilevel"/>
    <w:tmpl w:val="88CECC7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568274">
    <w:abstractNumId w:val="3"/>
  </w:num>
  <w:num w:numId="2" w16cid:durableId="800415323">
    <w:abstractNumId w:val="4"/>
  </w:num>
  <w:num w:numId="3" w16cid:durableId="439180057">
    <w:abstractNumId w:val="1"/>
  </w:num>
  <w:num w:numId="4" w16cid:durableId="1572082710">
    <w:abstractNumId w:val="0"/>
  </w:num>
  <w:num w:numId="5" w16cid:durableId="1809740863">
    <w:abstractNumId w:val="5"/>
  </w:num>
  <w:num w:numId="6" w16cid:durableId="22272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61"/>
    <w:rsid w:val="000160E6"/>
    <w:rsid w:val="00082FF8"/>
    <w:rsid w:val="0008367F"/>
    <w:rsid w:val="000912C7"/>
    <w:rsid w:val="000C3D72"/>
    <w:rsid w:val="00116F42"/>
    <w:rsid w:val="001172C2"/>
    <w:rsid w:val="0013323C"/>
    <w:rsid w:val="00163EF6"/>
    <w:rsid w:val="0016758B"/>
    <w:rsid w:val="00175754"/>
    <w:rsid w:val="0018250E"/>
    <w:rsid w:val="00183E8C"/>
    <w:rsid w:val="001968C8"/>
    <w:rsid w:val="001A7478"/>
    <w:rsid w:val="001C1A4C"/>
    <w:rsid w:val="001C708D"/>
    <w:rsid w:val="001D799F"/>
    <w:rsid w:val="00204C9A"/>
    <w:rsid w:val="00217576"/>
    <w:rsid w:val="002228B0"/>
    <w:rsid w:val="00261314"/>
    <w:rsid w:val="00267E25"/>
    <w:rsid w:val="002E045A"/>
    <w:rsid w:val="002E4A23"/>
    <w:rsid w:val="0030496B"/>
    <w:rsid w:val="003052FD"/>
    <w:rsid w:val="003804B8"/>
    <w:rsid w:val="00382510"/>
    <w:rsid w:val="003B3E87"/>
    <w:rsid w:val="003D066A"/>
    <w:rsid w:val="003E7C1A"/>
    <w:rsid w:val="004A0FAE"/>
    <w:rsid w:val="004A7699"/>
    <w:rsid w:val="004C344D"/>
    <w:rsid w:val="004F0729"/>
    <w:rsid w:val="004F20AF"/>
    <w:rsid w:val="00544D6D"/>
    <w:rsid w:val="0056664F"/>
    <w:rsid w:val="00577C6D"/>
    <w:rsid w:val="005829D9"/>
    <w:rsid w:val="00586475"/>
    <w:rsid w:val="00591C6E"/>
    <w:rsid w:val="005A79CC"/>
    <w:rsid w:val="005C6A71"/>
    <w:rsid w:val="005D20A4"/>
    <w:rsid w:val="0064694A"/>
    <w:rsid w:val="006618AD"/>
    <w:rsid w:val="006643DE"/>
    <w:rsid w:val="006B52ED"/>
    <w:rsid w:val="006E77CE"/>
    <w:rsid w:val="007A6611"/>
    <w:rsid w:val="007B0247"/>
    <w:rsid w:val="007B1098"/>
    <w:rsid w:val="00813CD3"/>
    <w:rsid w:val="00873FE2"/>
    <w:rsid w:val="008A13E1"/>
    <w:rsid w:val="008E7D49"/>
    <w:rsid w:val="00913F69"/>
    <w:rsid w:val="00916034"/>
    <w:rsid w:val="009363F5"/>
    <w:rsid w:val="00962E66"/>
    <w:rsid w:val="00965195"/>
    <w:rsid w:val="0097139C"/>
    <w:rsid w:val="009A3C1F"/>
    <w:rsid w:val="009A661A"/>
    <w:rsid w:val="009B214A"/>
    <w:rsid w:val="009C65D1"/>
    <w:rsid w:val="009D6414"/>
    <w:rsid w:val="00A371CA"/>
    <w:rsid w:val="00A7458C"/>
    <w:rsid w:val="00A90361"/>
    <w:rsid w:val="00A9427C"/>
    <w:rsid w:val="00AA17F7"/>
    <w:rsid w:val="00B116C8"/>
    <w:rsid w:val="00B177B1"/>
    <w:rsid w:val="00B25D13"/>
    <w:rsid w:val="00B33585"/>
    <w:rsid w:val="00BB646D"/>
    <w:rsid w:val="00BC4FF3"/>
    <w:rsid w:val="00BF4607"/>
    <w:rsid w:val="00C14DC1"/>
    <w:rsid w:val="00C36AAC"/>
    <w:rsid w:val="00C86FDF"/>
    <w:rsid w:val="00CD6DE0"/>
    <w:rsid w:val="00CE0B2F"/>
    <w:rsid w:val="00CE2D5A"/>
    <w:rsid w:val="00D40B99"/>
    <w:rsid w:val="00D64133"/>
    <w:rsid w:val="00D73BAB"/>
    <w:rsid w:val="00DA7F5B"/>
    <w:rsid w:val="00DC24BC"/>
    <w:rsid w:val="00DE5448"/>
    <w:rsid w:val="00DF1BA6"/>
    <w:rsid w:val="00E31C35"/>
    <w:rsid w:val="00E3360C"/>
    <w:rsid w:val="00E5290A"/>
    <w:rsid w:val="00E714CA"/>
    <w:rsid w:val="00EA7EAA"/>
    <w:rsid w:val="00ED0F57"/>
    <w:rsid w:val="00EE739B"/>
    <w:rsid w:val="00EF3861"/>
    <w:rsid w:val="00F00A78"/>
    <w:rsid w:val="00F252D3"/>
    <w:rsid w:val="00F454E0"/>
    <w:rsid w:val="00F46E0D"/>
    <w:rsid w:val="00FA1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46A4"/>
  <w15:docId w15:val="{20BD0E72-6320-4E9D-BEB9-722E238D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613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61314"/>
    <w:rPr>
      <w:rFonts w:ascii="Verdana" w:hAnsi="Verdana"/>
      <w:color w:val="000000"/>
      <w:sz w:val="18"/>
      <w:szCs w:val="18"/>
    </w:rPr>
  </w:style>
  <w:style w:type="paragraph" w:styleId="Voettekst">
    <w:name w:val="footer"/>
    <w:basedOn w:val="Standaard"/>
    <w:link w:val="VoettekstChar"/>
    <w:uiPriority w:val="99"/>
    <w:unhideWhenUsed/>
    <w:rsid w:val="002613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61314"/>
    <w:rPr>
      <w:rFonts w:ascii="Verdana" w:hAnsi="Verdana"/>
      <w:color w:val="000000"/>
      <w:sz w:val="18"/>
      <w:szCs w:val="18"/>
    </w:rPr>
  </w:style>
  <w:style w:type="character" w:styleId="Verwijzingopmerking">
    <w:name w:val="annotation reference"/>
    <w:basedOn w:val="Standaardalinea-lettertype"/>
    <w:uiPriority w:val="99"/>
    <w:semiHidden/>
    <w:unhideWhenUsed/>
    <w:rsid w:val="00591C6E"/>
    <w:rPr>
      <w:sz w:val="16"/>
      <w:szCs w:val="16"/>
    </w:rPr>
  </w:style>
  <w:style w:type="paragraph" w:styleId="Tekstopmerking">
    <w:name w:val="annotation text"/>
    <w:basedOn w:val="Standaard"/>
    <w:link w:val="TekstopmerkingChar"/>
    <w:uiPriority w:val="99"/>
    <w:unhideWhenUsed/>
    <w:rsid w:val="00591C6E"/>
    <w:pPr>
      <w:spacing w:line="240" w:lineRule="auto"/>
    </w:pPr>
    <w:rPr>
      <w:sz w:val="20"/>
      <w:szCs w:val="20"/>
    </w:rPr>
  </w:style>
  <w:style w:type="character" w:customStyle="1" w:styleId="TekstopmerkingChar">
    <w:name w:val="Tekst opmerking Char"/>
    <w:basedOn w:val="Standaardalinea-lettertype"/>
    <w:link w:val="Tekstopmerking"/>
    <w:uiPriority w:val="99"/>
    <w:rsid w:val="00591C6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91C6E"/>
    <w:rPr>
      <w:b/>
      <w:bCs/>
    </w:rPr>
  </w:style>
  <w:style w:type="character" w:customStyle="1" w:styleId="OnderwerpvanopmerkingChar">
    <w:name w:val="Onderwerp van opmerking Char"/>
    <w:basedOn w:val="TekstopmerkingChar"/>
    <w:link w:val="Onderwerpvanopmerking"/>
    <w:uiPriority w:val="99"/>
    <w:semiHidden/>
    <w:rsid w:val="00591C6E"/>
    <w:rPr>
      <w:rFonts w:ascii="Verdana" w:hAnsi="Verdana"/>
      <w:b/>
      <w:bCs/>
      <w:color w:val="000000"/>
    </w:rPr>
  </w:style>
  <w:style w:type="paragraph" w:styleId="Voetnoottekst">
    <w:name w:val="footnote text"/>
    <w:basedOn w:val="Standaard"/>
    <w:link w:val="VoetnoottekstChar"/>
    <w:uiPriority w:val="99"/>
    <w:semiHidden/>
    <w:unhideWhenUsed/>
    <w:rsid w:val="00082FF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82FF8"/>
    <w:rPr>
      <w:rFonts w:ascii="Verdana" w:hAnsi="Verdana"/>
      <w:color w:val="000000"/>
    </w:rPr>
  </w:style>
  <w:style w:type="character" w:styleId="Voetnootmarkering">
    <w:name w:val="footnote reference"/>
    <w:basedOn w:val="Standaardalinea-lettertype"/>
    <w:uiPriority w:val="99"/>
    <w:semiHidden/>
    <w:unhideWhenUsed/>
    <w:rsid w:val="00082FF8"/>
    <w:rPr>
      <w:vertAlign w:val="superscript"/>
    </w:rPr>
  </w:style>
  <w:style w:type="paragraph" w:styleId="Revisie">
    <w:name w:val="Revision"/>
    <w:hidden/>
    <w:uiPriority w:val="99"/>
    <w:semiHidden/>
    <w:rsid w:val="009C65D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63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753">
      <w:bodyDiv w:val="1"/>
      <w:marLeft w:val="0"/>
      <w:marRight w:val="0"/>
      <w:marTop w:val="0"/>
      <w:marBottom w:val="0"/>
      <w:divBdr>
        <w:top w:val="none" w:sz="0" w:space="0" w:color="auto"/>
        <w:left w:val="none" w:sz="0" w:space="0" w:color="auto"/>
        <w:bottom w:val="none" w:sz="0" w:space="0" w:color="auto"/>
        <w:right w:val="none" w:sz="0" w:space="0" w:color="auto"/>
      </w:divBdr>
    </w:div>
    <w:div w:id="97141946">
      <w:bodyDiv w:val="1"/>
      <w:marLeft w:val="0"/>
      <w:marRight w:val="0"/>
      <w:marTop w:val="0"/>
      <w:marBottom w:val="0"/>
      <w:divBdr>
        <w:top w:val="none" w:sz="0" w:space="0" w:color="auto"/>
        <w:left w:val="none" w:sz="0" w:space="0" w:color="auto"/>
        <w:bottom w:val="none" w:sz="0" w:space="0" w:color="auto"/>
        <w:right w:val="none" w:sz="0" w:space="0" w:color="auto"/>
      </w:divBdr>
    </w:div>
    <w:div w:id="1303392339">
      <w:bodyDiv w:val="1"/>
      <w:marLeft w:val="0"/>
      <w:marRight w:val="0"/>
      <w:marTop w:val="0"/>
      <w:marBottom w:val="0"/>
      <w:divBdr>
        <w:top w:val="none" w:sz="0" w:space="0" w:color="auto"/>
        <w:left w:val="none" w:sz="0" w:space="0" w:color="auto"/>
        <w:bottom w:val="none" w:sz="0" w:space="0" w:color="auto"/>
        <w:right w:val="none" w:sz="0" w:space="0" w:color="auto"/>
      </w:divBdr>
    </w:div>
    <w:div w:id="1614290905">
      <w:bodyDiv w:val="1"/>
      <w:marLeft w:val="0"/>
      <w:marRight w:val="0"/>
      <w:marTop w:val="0"/>
      <w:marBottom w:val="0"/>
      <w:divBdr>
        <w:top w:val="none" w:sz="0" w:space="0" w:color="auto"/>
        <w:left w:val="none" w:sz="0" w:space="0" w:color="auto"/>
        <w:bottom w:val="none" w:sz="0" w:space="0" w:color="auto"/>
        <w:right w:val="none" w:sz="0" w:space="0" w:color="auto"/>
      </w:divBdr>
    </w:div>
    <w:div w:id="1735929160">
      <w:bodyDiv w:val="1"/>
      <w:marLeft w:val="0"/>
      <w:marRight w:val="0"/>
      <w:marTop w:val="0"/>
      <w:marBottom w:val="0"/>
      <w:divBdr>
        <w:top w:val="none" w:sz="0" w:space="0" w:color="auto"/>
        <w:left w:val="none" w:sz="0" w:space="0" w:color="auto"/>
        <w:bottom w:val="none" w:sz="0" w:space="0" w:color="auto"/>
        <w:right w:val="none" w:sz="0" w:space="0" w:color="auto"/>
      </w:divBdr>
    </w:div>
    <w:div w:id="199295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576</ap:Words>
  <ap:Characters>3169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Bancaire Dienstverlening Saba en Sint Eustatius</vt:lpstr>
    </vt:vector>
  </ap:TitlesOfParts>
  <ap:LinksUpToDate>false</ap:LinksUpToDate>
  <ap:CharactersWithSpaces>3738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2025-04-23T15:19:00.0000000Z</dcterms:created>
  <dcterms:modified xsi:type="dcterms:W3CDTF">2025-04-23T15:19:00.0000000Z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Bancaire Dienstverlening Saba en Sint Eustatius</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31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2025-0000102193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Bancaire Dienstverlening Saba en Sint Eustatius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2025-03-31T12:49:47Z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70ee426f-1a1c-447f-8c30-b1867254d1c6</vt:lpwstr>
  </property>
  <property fmtid="{D5CDD505-2E9C-101B-9397-08002B2CF9AE}" pid="37" name="MSIP_Label_6800fede-0e59-47ad-af95-4e63bbdb932d_ContentBits">
    <vt:lpwstr>0</vt:lpwstr>
  </property>
</Properties>
</file>