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C9" w:rsidP="005C1D94" w:rsidRDefault="00A24338" w14:paraId="6A7D8493" w14:textId="42757D8F">
      <w:pPr>
        <w:pStyle w:val="NoSpacing"/>
      </w:pPr>
      <w:bookmarkStart w:name="_GoBack" w:id="0"/>
      <w:bookmarkEnd w:id="0"/>
      <w:r>
        <w:t>Geachte voorzitter,</w:t>
      </w:r>
    </w:p>
    <w:p w:rsidR="005C1D94" w:rsidP="005C1D94" w:rsidRDefault="005C1D94" w14:paraId="580FC8B4" w14:textId="77777777">
      <w:pPr>
        <w:pStyle w:val="NoSpacing"/>
      </w:pPr>
    </w:p>
    <w:p w:rsidRPr="00735893" w:rsidR="007664C9" w:rsidP="005C1D94" w:rsidRDefault="007664C9" w14:paraId="6D1BF8A6" w14:textId="42334255">
      <w:pPr>
        <w:pStyle w:val="NoSpacing"/>
      </w:pPr>
      <w:r w:rsidRPr="007664C9">
        <w:t>Met deze brief wordt</w:t>
      </w:r>
      <w:r w:rsidRPr="005C1D94" w:rsidR="005C1D94">
        <w:t xml:space="preserve"> </w:t>
      </w:r>
      <w:r w:rsidRPr="007664C9" w:rsidR="005C1D94">
        <w:t>de Kamer</w:t>
      </w:r>
      <w:r w:rsidRPr="007664C9">
        <w:t>, mede namens de minister van Justitie en Veiligheid (JenV), geïnformeerd over de voortgang van de versterking van het stelsel v</w:t>
      </w:r>
      <w:r w:rsidR="002C738F">
        <w:t>an</w:t>
      </w:r>
      <w:r w:rsidRPr="007664C9">
        <w:t xml:space="preserve"> vergunningverlening, toezicht en handhaving </w:t>
      </w:r>
      <w:r>
        <w:t xml:space="preserve">milieu </w:t>
      </w:r>
      <w:r w:rsidRPr="007664C9">
        <w:t>(VTH-stelsel milieu). De brief gaat in op de</w:t>
      </w:r>
      <w:r>
        <w:t xml:space="preserve"> voortgang van de</w:t>
      </w:r>
      <w:r w:rsidRPr="007664C9">
        <w:t xml:space="preserve"> robuust</w:t>
      </w:r>
      <w:r>
        <w:t xml:space="preserve"> </w:t>
      </w:r>
      <w:r w:rsidRPr="007664C9">
        <w:t xml:space="preserve">wording van de omgevingsdiensten, </w:t>
      </w:r>
      <w:r>
        <w:t>een aantal</w:t>
      </w:r>
      <w:r w:rsidRPr="007664C9">
        <w:t xml:space="preserve"> toezeggingen </w:t>
      </w:r>
      <w:r>
        <w:t xml:space="preserve">die zijn gedaan in </w:t>
      </w:r>
      <w:r w:rsidRPr="007664C9">
        <w:t>het Commissiedebat VTH van 1</w:t>
      </w:r>
      <w:r>
        <w:t>0</w:t>
      </w:r>
      <w:r w:rsidRPr="007664C9">
        <w:t xml:space="preserve"> december jl. en het Tweeminutendebat VTH van 5 februari jl.</w:t>
      </w:r>
      <w:r w:rsidR="005C1D94">
        <w:t xml:space="preserve"> en</w:t>
      </w:r>
      <w:r w:rsidRPr="007664C9">
        <w:t xml:space="preserve"> wordt een beleidsreactie gegeven op een onderzoek van de Inspectie Leefomgeving en Transport (ILT).</w:t>
      </w:r>
    </w:p>
    <w:p w:rsidR="00FE091A" w:rsidP="002A1926" w:rsidRDefault="00FE091A" w14:paraId="353338A6" w14:textId="77777777">
      <w:pPr>
        <w:pStyle w:val="NoSpacing"/>
      </w:pPr>
    </w:p>
    <w:p w:rsidRPr="008330D3" w:rsidR="00B407CB" w:rsidP="008330D3" w:rsidRDefault="00B407CB" w14:paraId="5226A983" w14:textId="7BF09FCA">
      <w:pPr>
        <w:rPr>
          <w:b/>
          <w:bCs/>
        </w:rPr>
      </w:pPr>
      <w:r w:rsidRPr="008330D3">
        <w:rPr>
          <w:b/>
          <w:bCs/>
        </w:rPr>
        <w:t>Voortgang robuust</w:t>
      </w:r>
      <w:r w:rsidR="00296463">
        <w:rPr>
          <w:b/>
          <w:bCs/>
        </w:rPr>
        <w:t xml:space="preserve"> wording</w:t>
      </w:r>
      <w:r w:rsidRPr="008330D3">
        <w:rPr>
          <w:b/>
          <w:bCs/>
        </w:rPr>
        <w:t xml:space="preserve"> omgevingsdiensten</w:t>
      </w:r>
    </w:p>
    <w:p w:rsidR="00B407CB" w:rsidP="002A1926" w:rsidRDefault="00B407CB" w14:paraId="4A7C5A98" w14:textId="79550A94">
      <w:pPr>
        <w:pStyle w:val="NoSpacing"/>
      </w:pPr>
      <w:r w:rsidRPr="00FF19E9">
        <w:t xml:space="preserve">Eind 2024 hebben alle omgevingsdiensten, behoudens omgevingsdienst Noordzeekanaalgebied en omgevingsdienst Brabant Noord die beide al robuust zijn, een voortgangsrapportage ingediend. In deze rapportage hebben de </w:t>
      </w:r>
      <w:r w:rsidR="00FF6E86">
        <w:t>overige 2</w:t>
      </w:r>
      <w:r w:rsidR="005E64E8">
        <w:t>5</w:t>
      </w:r>
      <w:r w:rsidR="00FF6E86">
        <w:t xml:space="preserve"> </w:t>
      </w:r>
      <w:r w:rsidRPr="00FF19E9">
        <w:t xml:space="preserve">omgevingsdiensten beschreven welke voortgang ze hebben geboekt in de periode 1 april 2024 tot en met 30 november 2024. </w:t>
      </w:r>
      <w:r w:rsidR="00FE091A">
        <w:t>Het</w:t>
      </w:r>
      <w:r w:rsidRPr="00FF19E9">
        <w:t xml:space="preserve"> </w:t>
      </w:r>
      <w:r w:rsidR="00DD35B1">
        <w:t>ministerie van Infrastructuur en Waterstaat (</w:t>
      </w:r>
      <w:r w:rsidRPr="00FF19E9">
        <w:t>IenW</w:t>
      </w:r>
      <w:r w:rsidR="00DD35B1">
        <w:t>)</w:t>
      </w:r>
      <w:r w:rsidR="00FE091A">
        <w:t xml:space="preserve"> heeft de</w:t>
      </w:r>
      <w:r w:rsidRPr="00FF19E9">
        <w:t xml:space="preserve"> </w:t>
      </w:r>
      <w:r w:rsidRPr="00FF19E9" w:rsidR="00FE091A">
        <w:t xml:space="preserve">beoordeling van deze voortgangsrapportages </w:t>
      </w:r>
      <w:r w:rsidRPr="00FF19E9">
        <w:t>uitgevoerd met ondersteuning van Ambient</w:t>
      </w:r>
      <w:r w:rsidR="005C1D94">
        <w:t xml:space="preserve"> Advies</w:t>
      </w:r>
      <w:r w:rsidRPr="00FF19E9">
        <w:t xml:space="preserve">. </w:t>
      </w:r>
      <w:r w:rsidRPr="00FF19E9" w:rsidR="00FE091A">
        <w:t xml:space="preserve">De managementsamenvatting van de analyse is opgenomen </w:t>
      </w:r>
      <w:r w:rsidR="00FE091A">
        <w:t>als</w:t>
      </w:r>
      <w:r w:rsidRPr="00FF19E9" w:rsidR="00FE091A">
        <w:t xml:space="preserve"> bijlage</w:t>
      </w:r>
      <w:r w:rsidR="00FE091A">
        <w:t xml:space="preserve"> </w:t>
      </w:r>
      <w:r w:rsidR="00631955">
        <w:t>2</w:t>
      </w:r>
      <w:r w:rsidRPr="00FF19E9" w:rsidR="00FE091A">
        <w:t>.</w:t>
      </w:r>
      <w:r w:rsidR="00FE091A">
        <w:t xml:space="preserve"> </w:t>
      </w:r>
      <w:r w:rsidRPr="00FF19E9">
        <w:t xml:space="preserve">Daarnaast </w:t>
      </w:r>
      <w:r w:rsidR="00AB17BC">
        <w:t xml:space="preserve">zijn vanuit het </w:t>
      </w:r>
      <w:r w:rsidR="00FF6E86">
        <w:t>m</w:t>
      </w:r>
      <w:r w:rsidR="00AB17BC">
        <w:t>inisterie</w:t>
      </w:r>
      <w:r w:rsidRPr="00FF19E9">
        <w:t xml:space="preserve"> van IenW</w:t>
      </w:r>
      <w:r w:rsidR="005C1D94">
        <w:t xml:space="preserve"> </w:t>
      </w:r>
      <w:r w:rsidRPr="00FF19E9">
        <w:t xml:space="preserve">gesprekken gevoerd met de voorzitter en de secretaris van het algemeen bestuur van alle omgevingsdiensten. </w:t>
      </w:r>
    </w:p>
    <w:p w:rsidRPr="00FF19E9" w:rsidR="002A1926" w:rsidP="002A1926" w:rsidRDefault="002A1926" w14:paraId="200E79F9" w14:textId="77777777">
      <w:pPr>
        <w:pStyle w:val="NoSpacing"/>
      </w:pPr>
    </w:p>
    <w:p w:rsidR="005C345D" w:rsidP="002A1926" w:rsidRDefault="00B407CB" w14:paraId="2385796E" w14:textId="6FA53620">
      <w:pPr>
        <w:pStyle w:val="NoSpacing"/>
        <w:rPr>
          <w:lang w:eastAsia="en-US"/>
        </w:rPr>
      </w:pPr>
      <w:r w:rsidRPr="00FF19E9">
        <w:rPr>
          <w:lang w:eastAsia="en-US"/>
        </w:rPr>
        <w:t xml:space="preserve">Uit deze gesprekken en de voortgangsrapportages blijkt dat de omgevingsdiensten stappen in de goede richting hebben gezet. </w:t>
      </w:r>
      <w:r w:rsidR="00E64553">
        <w:rPr>
          <w:lang w:eastAsia="en-US"/>
        </w:rPr>
        <w:t>De inspanning van</w:t>
      </w:r>
      <w:r w:rsidRPr="00DD35B1" w:rsidR="00DD35B1">
        <w:rPr>
          <w:lang w:eastAsia="en-US"/>
        </w:rPr>
        <w:t xml:space="preserve"> Omgevingsdienst </w:t>
      </w:r>
      <w:r w:rsidR="004026AC">
        <w:rPr>
          <w:lang w:eastAsia="en-US"/>
        </w:rPr>
        <w:t>Zuidoost-</w:t>
      </w:r>
      <w:r w:rsidRPr="00DD35B1" w:rsidR="00DD35B1">
        <w:rPr>
          <w:lang w:eastAsia="en-US"/>
        </w:rPr>
        <w:t xml:space="preserve">Brabant heeft ertoe geleid dat deze omgevingsdienst </w:t>
      </w:r>
      <w:r w:rsidR="00E64553">
        <w:rPr>
          <w:lang w:eastAsia="en-US"/>
        </w:rPr>
        <w:t xml:space="preserve">op dit moment </w:t>
      </w:r>
      <w:r w:rsidR="00FF6E86">
        <w:rPr>
          <w:lang w:eastAsia="en-US"/>
        </w:rPr>
        <w:t xml:space="preserve">ook </w:t>
      </w:r>
      <w:r w:rsidR="00E64553">
        <w:rPr>
          <w:lang w:eastAsia="en-US"/>
        </w:rPr>
        <w:t>voldoet aan de robuustheidscriteria</w:t>
      </w:r>
      <w:r w:rsidRPr="00DD35B1" w:rsidR="00DD35B1">
        <w:rPr>
          <w:lang w:eastAsia="en-US"/>
        </w:rPr>
        <w:t>.</w:t>
      </w:r>
      <w:r w:rsidR="00DD35B1">
        <w:rPr>
          <w:lang w:eastAsia="en-US"/>
        </w:rPr>
        <w:t xml:space="preserve"> </w:t>
      </w:r>
      <w:r w:rsidRPr="00FF19E9">
        <w:rPr>
          <w:lang w:eastAsia="en-US"/>
        </w:rPr>
        <w:t>Verder komt naar voren dat</w:t>
      </w:r>
      <w:r w:rsidR="004026AC">
        <w:rPr>
          <w:lang w:eastAsia="en-US"/>
        </w:rPr>
        <w:t xml:space="preserve"> naar verwachting</w:t>
      </w:r>
      <w:r w:rsidRPr="00FF19E9">
        <w:rPr>
          <w:lang w:eastAsia="en-US"/>
        </w:rPr>
        <w:t xml:space="preserve"> </w:t>
      </w:r>
      <w:r w:rsidR="00646F59">
        <w:rPr>
          <w:lang w:eastAsia="en-US"/>
        </w:rPr>
        <w:t>12</w:t>
      </w:r>
      <w:r w:rsidRPr="00FF19E9">
        <w:rPr>
          <w:lang w:eastAsia="en-US"/>
        </w:rPr>
        <w:t xml:space="preserve"> omgevingsdiensten op 1 april 2026 robuust zullen zijn. Van </w:t>
      </w:r>
      <w:r w:rsidR="002C738F">
        <w:rPr>
          <w:lang w:eastAsia="en-US"/>
        </w:rPr>
        <w:t>3</w:t>
      </w:r>
      <w:r w:rsidRPr="00FF19E9">
        <w:rPr>
          <w:lang w:eastAsia="en-US"/>
        </w:rPr>
        <w:t xml:space="preserve"> omgevingsdiensten is het op dit </w:t>
      </w:r>
      <w:r w:rsidRPr="005C1D94">
        <w:rPr>
          <w:lang w:eastAsia="en-US"/>
        </w:rPr>
        <w:t>moment niet aannemelijk</w:t>
      </w:r>
      <w:r w:rsidRPr="00FF19E9">
        <w:rPr>
          <w:lang w:eastAsia="en-US"/>
        </w:rPr>
        <w:t xml:space="preserve"> dat zij op 1 april 2026 aan de robuustheidscriteria zullen voldoen. Voor de overige </w:t>
      </w:r>
      <w:r w:rsidR="002C738F">
        <w:rPr>
          <w:lang w:eastAsia="en-US"/>
        </w:rPr>
        <w:t>9</w:t>
      </w:r>
      <w:r w:rsidR="00646F59">
        <w:rPr>
          <w:lang w:eastAsia="en-US"/>
        </w:rPr>
        <w:t xml:space="preserve"> </w:t>
      </w:r>
      <w:r w:rsidRPr="00FF19E9">
        <w:rPr>
          <w:lang w:eastAsia="en-US"/>
        </w:rPr>
        <w:t xml:space="preserve">omgevingsdiensten is het </w:t>
      </w:r>
      <w:r w:rsidRPr="005966F8" w:rsidR="00C53467">
        <w:t xml:space="preserve">(op dit moment) de vraag of </w:t>
      </w:r>
      <w:r w:rsidR="00C53467">
        <w:t>ze</w:t>
      </w:r>
      <w:r w:rsidRPr="005966F8" w:rsidR="00C53467">
        <w:t xml:space="preserve"> op 1 april 2026 aan de robuustheidscriteria z</w:t>
      </w:r>
      <w:r w:rsidR="00C53467">
        <w:t xml:space="preserve">ullen </w:t>
      </w:r>
      <w:r w:rsidRPr="005966F8" w:rsidR="00C53467">
        <w:t>voldoen</w:t>
      </w:r>
      <w:r w:rsidR="004026AC">
        <w:rPr>
          <w:lang w:eastAsia="en-US"/>
        </w:rPr>
        <w:t>.</w:t>
      </w:r>
      <w:r w:rsidRPr="00FF19E9">
        <w:rPr>
          <w:lang w:eastAsia="en-US"/>
        </w:rPr>
        <w:t xml:space="preserve"> </w:t>
      </w:r>
      <w:r w:rsidR="00CF6320">
        <w:rPr>
          <w:lang w:eastAsia="en-US"/>
        </w:rPr>
        <w:t>H</w:t>
      </w:r>
      <w:r w:rsidRPr="00FF19E9">
        <w:rPr>
          <w:lang w:eastAsia="en-US"/>
        </w:rPr>
        <w:t xml:space="preserve">et tussenresultaat </w:t>
      </w:r>
      <w:r w:rsidR="00D31D43">
        <w:rPr>
          <w:lang w:eastAsia="en-US"/>
        </w:rPr>
        <w:t xml:space="preserve">laat </w:t>
      </w:r>
      <w:r w:rsidRPr="00FF19E9">
        <w:rPr>
          <w:lang w:eastAsia="en-US"/>
        </w:rPr>
        <w:t>verbeter</w:t>
      </w:r>
      <w:r w:rsidR="00D31D43">
        <w:rPr>
          <w:lang w:eastAsia="en-US"/>
        </w:rPr>
        <w:t>ing zien</w:t>
      </w:r>
      <w:r w:rsidR="004026AC">
        <w:rPr>
          <w:lang w:eastAsia="en-US"/>
        </w:rPr>
        <w:t>,</w:t>
      </w:r>
      <w:r w:rsidRPr="00FF19E9">
        <w:rPr>
          <w:lang w:eastAsia="en-US"/>
        </w:rPr>
        <w:t xml:space="preserve"> maar er is nog een weg te gaan.</w:t>
      </w:r>
      <w:r w:rsidR="002A1926">
        <w:rPr>
          <w:lang w:eastAsia="en-US"/>
        </w:rPr>
        <w:t xml:space="preserve"> Op korte termijn vinden op verschillende niveaus gesprekken plaats tussen het ministerie van IenW en de omgevingsdiensten </w:t>
      </w:r>
      <w:r w:rsidR="00CF6320">
        <w:rPr>
          <w:lang w:eastAsia="en-US"/>
        </w:rPr>
        <w:t>die naar verwachting niet robuust zijn op 1 april 2026 en de omgevingsdiensten waarv</w:t>
      </w:r>
      <w:r w:rsidR="00C53467">
        <w:rPr>
          <w:lang w:eastAsia="en-US"/>
        </w:rPr>
        <w:t>an op dit moment de vraag is of ze op 1 april 2026 aan de robuustheidscriteria zullen voldoen.</w:t>
      </w:r>
      <w:r w:rsidR="00CF6320">
        <w:rPr>
          <w:lang w:eastAsia="en-US"/>
        </w:rPr>
        <w:t xml:space="preserve"> </w:t>
      </w:r>
    </w:p>
    <w:p w:rsidR="002A1926" w:rsidP="002A1926" w:rsidRDefault="002A1926" w14:paraId="13B222E1" w14:textId="77777777">
      <w:pPr>
        <w:pStyle w:val="NoSpacing"/>
        <w:rPr>
          <w:lang w:eastAsia="en-US"/>
        </w:rPr>
      </w:pPr>
    </w:p>
    <w:p w:rsidRPr="003A7134" w:rsidR="002A1926" w:rsidP="002A1926" w:rsidRDefault="00AE48F6" w14:paraId="31381F8E" w14:textId="40581B0B">
      <w:pPr>
        <w:rPr>
          <w:b/>
          <w:bCs/>
        </w:rPr>
      </w:pPr>
      <w:r>
        <w:rPr>
          <w:b/>
          <w:bCs/>
        </w:rPr>
        <w:t>O</w:t>
      </w:r>
      <w:r w:rsidRPr="003A7134" w:rsidR="002A1926">
        <w:rPr>
          <w:b/>
          <w:bCs/>
        </w:rPr>
        <w:t>pvolging aanbevelingen commissie Van Aartsen (</w:t>
      </w:r>
      <w:bookmarkStart w:name="_Hlk192578053" w:id="1"/>
      <w:r w:rsidRPr="003A7134" w:rsidR="002A1926">
        <w:rPr>
          <w:b/>
          <w:bCs/>
        </w:rPr>
        <w:t>TZ202501-069</w:t>
      </w:r>
      <w:bookmarkEnd w:id="1"/>
      <w:r w:rsidRPr="003A7134" w:rsidR="002A1926">
        <w:rPr>
          <w:b/>
          <w:bCs/>
        </w:rPr>
        <w:t>, lid Kostić)</w:t>
      </w:r>
    </w:p>
    <w:p w:rsidRPr="00AE48F6" w:rsidR="00352E98" w:rsidP="00AE48F6" w:rsidRDefault="002A1926" w14:paraId="792ED850" w14:textId="451263CA">
      <w:r w:rsidRPr="006F79E4">
        <w:lastRenderedPageBreak/>
        <w:t xml:space="preserve">In </w:t>
      </w:r>
      <w:r>
        <w:t xml:space="preserve">de Kamerbrief van 27 </w:t>
      </w:r>
      <w:r w:rsidRPr="006F79E4">
        <w:t>oktober 2024</w:t>
      </w:r>
      <w:r w:rsidRPr="00086D1B">
        <w:rPr>
          <w:vertAlign w:val="superscript"/>
        </w:rPr>
        <w:footnoteReference w:id="1"/>
      </w:r>
      <w:r w:rsidRPr="006F79E4">
        <w:t xml:space="preserve"> bent u geïnformeerd over de afronding van </w:t>
      </w:r>
      <w:r>
        <w:t>het</w:t>
      </w:r>
      <w:r w:rsidR="00AE48F6">
        <w:t xml:space="preserve"> interbestuurlijk programma versterking VTH-stelsel</w:t>
      </w:r>
      <w:r>
        <w:t xml:space="preserve"> </w:t>
      </w:r>
      <w:r w:rsidR="00AE48F6">
        <w:t>(</w:t>
      </w:r>
      <w:r>
        <w:t>IBP VTH</w:t>
      </w:r>
      <w:r w:rsidR="00AE48F6">
        <w:t>)</w:t>
      </w:r>
      <w:r w:rsidR="005C1D94">
        <w:t>. In het IBP VTH hebben</w:t>
      </w:r>
      <w:r>
        <w:t xml:space="preserve"> de partijen in het stelsel gezamenlijk gewerkt aan de opvolging van </w:t>
      </w:r>
      <w:r w:rsidRPr="006F79E4">
        <w:t xml:space="preserve">de aanbevelingen van de commissie </w:t>
      </w:r>
      <w:r w:rsidR="008216C4">
        <w:t>V</w:t>
      </w:r>
      <w:r w:rsidRPr="006F79E4">
        <w:t xml:space="preserve">an Aartsen. Het </w:t>
      </w:r>
      <w:r>
        <w:t>versterken</w:t>
      </w:r>
      <w:r w:rsidRPr="00674C2B">
        <w:t xml:space="preserve"> van het VTH-stelsel </w:t>
      </w:r>
      <w:r>
        <w:t xml:space="preserve">milieu </w:t>
      </w:r>
      <w:r w:rsidRPr="00674C2B">
        <w:t>is een continu proces met verschillende fases. De volgende fase bestaat</w:t>
      </w:r>
      <w:r>
        <w:t xml:space="preserve"> uit</w:t>
      </w:r>
      <w:r w:rsidRPr="00674C2B">
        <w:t xml:space="preserve"> de afronding van de laatste producten</w:t>
      </w:r>
      <w:r w:rsidR="00AE48F6">
        <w:t xml:space="preserve"> </w:t>
      </w:r>
      <w:r w:rsidR="00AA1AED">
        <w:t xml:space="preserve">en </w:t>
      </w:r>
      <w:r w:rsidR="005431C5">
        <w:t xml:space="preserve">het in samenhang implementeren van de producten </w:t>
      </w:r>
      <w:r w:rsidRPr="00AE48F6">
        <w:t>door de bestuurders die daarvoor verantwoordelijkheid dragen.</w:t>
      </w:r>
      <w:r w:rsidRPr="00AE48F6" w:rsidR="00AE48F6">
        <w:t xml:space="preserve"> Het succesvol opvolgen van de aanbevelingen van de commissie Van Aartsen staat of valt met de bereidheid van partijen om de door het IBP VTH opgeleverde producten te gebruiken en te handelen overeenkomstig</w:t>
      </w:r>
      <w:r w:rsidR="005C1D94">
        <w:t xml:space="preserve"> hun</w:t>
      </w:r>
      <w:r w:rsidRPr="00AE48F6" w:rsidR="00AE48F6">
        <w:t xml:space="preserve"> (wettelijke) </w:t>
      </w:r>
      <w:r w:rsidR="00501BAB">
        <w:t>verantwoordelijkheden</w:t>
      </w:r>
      <w:r w:rsidRPr="00AE48F6" w:rsidR="00AE48F6">
        <w:t xml:space="preserve">. </w:t>
      </w:r>
    </w:p>
    <w:p w:rsidRPr="00AE48F6" w:rsidR="002A1926" w:rsidP="002A1926" w:rsidRDefault="002A1926" w14:paraId="37AAF154" w14:textId="77777777"/>
    <w:p w:rsidR="002A1926" w:rsidP="002A1926" w:rsidRDefault="00AE48F6" w14:paraId="33F8F929" w14:textId="3388DAED">
      <w:r>
        <w:t>Voor de samenwerking na het IBP VTH</w:t>
      </w:r>
      <w:r w:rsidRPr="00674C2B" w:rsidR="002A1926">
        <w:t xml:space="preserve"> hebben de stelselpartijen </w:t>
      </w:r>
      <w:r w:rsidR="00501BAB">
        <w:t>Interprovinciaal overleg (</w:t>
      </w:r>
      <w:r w:rsidRPr="00674C2B" w:rsidR="002A1926">
        <w:t>IPO</w:t>
      </w:r>
      <w:r w:rsidR="00501BAB">
        <w:t>)</w:t>
      </w:r>
      <w:r w:rsidRPr="00674C2B" w:rsidR="002A1926">
        <w:t>, Vereniging Nederlandse Gemeenten (VNG), Omgevingsdienst NL, Unie van Waterschappen (UvW)</w:t>
      </w:r>
      <w:r w:rsidR="00D31D43">
        <w:t xml:space="preserve"> en de</w:t>
      </w:r>
      <w:r w:rsidR="002A1926">
        <w:t xml:space="preserve"> ministerie</w:t>
      </w:r>
      <w:r w:rsidR="00D31D43">
        <w:t>s</w:t>
      </w:r>
      <w:r w:rsidR="002A1926">
        <w:t xml:space="preserve"> van</w:t>
      </w:r>
      <w:r w:rsidRPr="00674C2B" w:rsidR="002A1926">
        <w:t xml:space="preserve"> JenV en </w:t>
      </w:r>
      <w:r w:rsidR="00D31D43">
        <w:t xml:space="preserve">van </w:t>
      </w:r>
      <w:r w:rsidRPr="00674C2B" w:rsidR="002A1926">
        <w:t xml:space="preserve">IenW met elkaar samenwerkingsafspraken opgesteld. </w:t>
      </w:r>
      <w:bookmarkStart w:name="_Hlk191383045" w:id="2"/>
      <w:r w:rsidRPr="00674C2B" w:rsidR="002A1926">
        <w:t xml:space="preserve">In de afspraken is bepaald wie voor welke taken rondom de implementatie van de IBP VTH producten </w:t>
      </w:r>
      <w:r w:rsidR="00075E71">
        <w:t>verantwoordelijk</w:t>
      </w:r>
      <w:r w:rsidRPr="00674C2B" w:rsidR="00075E71">
        <w:t xml:space="preserve"> </w:t>
      </w:r>
      <w:r w:rsidRPr="00674C2B" w:rsidR="002A1926">
        <w:t>is</w:t>
      </w:r>
      <w:bookmarkEnd w:id="2"/>
      <w:r w:rsidRPr="00674C2B" w:rsidR="002A1926">
        <w:t xml:space="preserve"> </w:t>
      </w:r>
      <w:r w:rsidR="00075E71">
        <w:t>(zie</w:t>
      </w:r>
      <w:r w:rsidR="005C1D94">
        <w:t xml:space="preserve"> bijlage </w:t>
      </w:r>
      <w:r w:rsidR="00631955">
        <w:t>3</w:t>
      </w:r>
      <w:r w:rsidR="00075E71">
        <w:t>)</w:t>
      </w:r>
      <w:r w:rsidRPr="00674C2B" w:rsidR="002A1926">
        <w:t>. Onderdeel van deze samenwerkingsafspraken is dat besluitvorming en sturing op de ontwikkeling, verbetering en versterking van het VTH-stelsel</w:t>
      </w:r>
      <w:r w:rsidR="00766CCA">
        <w:t xml:space="preserve"> </w:t>
      </w:r>
      <w:r w:rsidRPr="00674C2B" w:rsidR="002A1926">
        <w:t xml:space="preserve">plaatsvindt in het Bestuurlijk Omgevingsberaad. </w:t>
      </w:r>
    </w:p>
    <w:p w:rsidR="002E6298" w:rsidP="002A1926" w:rsidRDefault="002E6298" w14:paraId="22D9FB99" w14:textId="77777777"/>
    <w:p w:rsidRPr="00674C2B" w:rsidR="00C43D33" w:rsidP="002A1926" w:rsidRDefault="00C43D33" w14:paraId="453DD3C1" w14:textId="16CBC6B5">
      <w:r>
        <w:t xml:space="preserve">Hieronder wordt aangegeven op welke wijze de opvolging van de aanbevelingen in het IBP VTH is opgepakt en hoe de afronding van de opvolging wordt voorzien.  </w:t>
      </w:r>
    </w:p>
    <w:p w:rsidR="002A1926" w:rsidP="006A6FAF" w:rsidRDefault="002A1926" w14:paraId="25DD7E73" w14:textId="77777777">
      <w:pPr>
        <w:pStyle w:val="NoSpacing"/>
        <w:rPr>
          <w:lang w:eastAsia="en-US"/>
        </w:rPr>
      </w:pPr>
    </w:p>
    <w:p w:rsidRPr="0038128C" w:rsidR="004848AF" w:rsidP="002A1926" w:rsidRDefault="004848AF" w14:paraId="01F7653B" w14:textId="259BA020">
      <w:pPr>
        <w:rPr>
          <w:u w:val="single"/>
        </w:rPr>
      </w:pPr>
      <w:r w:rsidRPr="0038128C">
        <w:rPr>
          <w:u w:val="single"/>
        </w:rPr>
        <w:t>Aanbeveling 1: De ondergrens</w:t>
      </w:r>
      <w:r w:rsidR="0038128C">
        <w:rPr>
          <w:rStyle w:val="FootnoteReference"/>
          <w:u w:val="single"/>
        </w:rPr>
        <w:footnoteReference w:id="2"/>
      </w:r>
      <w:r w:rsidRPr="0038128C">
        <w:rPr>
          <w:u w:val="single"/>
        </w:rPr>
        <w:t xml:space="preserve"> voor de omvang van de omgevingsdiensten verhogen &amp; aanbeveling 2: </w:t>
      </w:r>
      <w:r w:rsidR="007F2A8C">
        <w:rPr>
          <w:u w:val="single"/>
        </w:rPr>
        <w:t>Verbetering kwaliteit</w:t>
      </w:r>
      <w:r w:rsidRPr="0038128C">
        <w:rPr>
          <w:u w:val="single"/>
        </w:rPr>
        <w:t xml:space="preserve"> </w:t>
      </w:r>
      <w:r w:rsidR="007F2A8C">
        <w:rPr>
          <w:u w:val="single"/>
        </w:rPr>
        <w:t xml:space="preserve">van omgevingsdiensten </w:t>
      </w:r>
    </w:p>
    <w:p w:rsidRPr="002C514A" w:rsidR="002A1926" w:rsidP="002A1926" w:rsidRDefault="002A1926" w14:paraId="2A3E8633" w14:textId="64938011">
      <w:pPr>
        <w:rPr>
          <w:rFonts w:eastAsia="Calibri" w:cs="Times New Roman"/>
          <w:color w:val="auto"/>
          <w:kern w:val="2"/>
          <w:lang w:eastAsia="en-US"/>
          <w14:ligatures w14:val="standardContextual"/>
        </w:rPr>
      </w:pPr>
      <w:r w:rsidRPr="00674C2B">
        <w:t>Met de vorming van robuuste omgevingsdiensten worden verschillende aanbevelingen opgevolgd.</w:t>
      </w:r>
      <w:r w:rsidR="0038128C">
        <w:t xml:space="preserve"> </w:t>
      </w:r>
      <w:r w:rsidR="004848AF">
        <w:t>A</w:t>
      </w:r>
      <w:r w:rsidRPr="00674C2B">
        <w:t xml:space="preserve">anbeveling 1 </w:t>
      </w:r>
      <w:r w:rsidR="004848AF">
        <w:t xml:space="preserve">en </w:t>
      </w:r>
      <w:r w:rsidRPr="002C514A">
        <w:rPr>
          <w:rFonts w:eastAsia="Calibri" w:cs="Times New Roman"/>
          <w:color w:val="auto"/>
          <w:kern w:val="2"/>
          <w:lang w:eastAsia="en-US"/>
          <w14:ligatures w14:val="standardContextual"/>
        </w:rPr>
        <w:t xml:space="preserve">aanbeveling 2 zijn vastgelegd in de robuustheidscriteria </w:t>
      </w:r>
      <w:r w:rsidR="008216C4">
        <w:rPr>
          <w:rFonts w:eastAsia="Calibri" w:cs="Times New Roman"/>
          <w:color w:val="auto"/>
          <w:kern w:val="2"/>
          <w:lang w:eastAsia="en-US"/>
          <w14:ligatures w14:val="standardContextual"/>
        </w:rPr>
        <w:t>waarvan</w:t>
      </w:r>
      <w:r w:rsidRPr="002C514A">
        <w:rPr>
          <w:rFonts w:eastAsia="Calibri" w:cs="Times New Roman"/>
          <w:color w:val="auto"/>
          <w:kern w:val="2"/>
          <w:lang w:eastAsia="en-US"/>
          <w14:ligatures w14:val="standardContextual"/>
        </w:rPr>
        <w:t xml:space="preserve"> met instemming van alle stelselpartijen </w:t>
      </w:r>
      <w:r w:rsidR="003412D6">
        <w:rPr>
          <w:rFonts w:eastAsia="Calibri" w:cs="Times New Roman"/>
          <w:color w:val="auto"/>
          <w:kern w:val="2"/>
          <w:lang w:eastAsia="en-US"/>
          <w14:ligatures w14:val="standardContextual"/>
        </w:rPr>
        <w:t xml:space="preserve">bestuurlijk </w:t>
      </w:r>
      <w:r w:rsidR="008216C4">
        <w:rPr>
          <w:rFonts w:eastAsia="Calibri" w:cs="Times New Roman"/>
          <w:color w:val="auto"/>
          <w:kern w:val="2"/>
          <w:lang w:eastAsia="en-US"/>
          <w14:ligatures w14:val="standardContextual"/>
        </w:rPr>
        <w:t>is a</w:t>
      </w:r>
      <w:r w:rsidRPr="002C514A">
        <w:rPr>
          <w:rFonts w:eastAsia="Calibri" w:cs="Times New Roman"/>
          <w:color w:val="auto"/>
          <w:kern w:val="2"/>
          <w:lang w:eastAsia="en-US"/>
          <w14:ligatures w14:val="standardContextual"/>
        </w:rPr>
        <w:t>fgesproken dat de</w:t>
      </w:r>
      <w:r w:rsidR="008216C4">
        <w:rPr>
          <w:rFonts w:eastAsia="Calibri" w:cs="Times New Roman"/>
          <w:color w:val="auto"/>
          <w:kern w:val="2"/>
          <w:lang w:eastAsia="en-US"/>
          <w14:ligatures w14:val="standardContextual"/>
        </w:rPr>
        <w:t>ze</w:t>
      </w:r>
      <w:r w:rsidRPr="002C514A">
        <w:rPr>
          <w:rFonts w:eastAsia="Calibri" w:cs="Times New Roman"/>
          <w:color w:val="auto"/>
          <w:kern w:val="2"/>
          <w:lang w:eastAsia="en-US"/>
          <w14:ligatures w14:val="standardContextual"/>
        </w:rPr>
        <w:t xml:space="preserve"> op 1 april 2026 </w:t>
      </w:r>
      <w:r w:rsidR="008216C4">
        <w:rPr>
          <w:rFonts w:eastAsia="Calibri" w:cs="Times New Roman"/>
          <w:color w:val="auto"/>
          <w:kern w:val="2"/>
          <w:lang w:eastAsia="en-US"/>
          <w14:ligatures w14:val="standardContextual"/>
        </w:rPr>
        <w:t>gerealiseerd</w:t>
      </w:r>
      <w:r w:rsidRPr="002C514A">
        <w:rPr>
          <w:rFonts w:eastAsia="Calibri" w:cs="Times New Roman"/>
          <w:color w:val="auto"/>
          <w:kern w:val="2"/>
          <w:lang w:eastAsia="en-US"/>
          <w14:ligatures w14:val="standardContextual"/>
        </w:rPr>
        <w:t xml:space="preserve"> zijn. </w:t>
      </w:r>
      <w:r w:rsidR="00C43D33">
        <w:rPr>
          <w:rFonts w:eastAsia="Calibri" w:cs="Times New Roman"/>
          <w:color w:val="auto"/>
          <w:kern w:val="2"/>
          <w:lang w:eastAsia="en-US"/>
          <w14:ligatures w14:val="standardContextual"/>
        </w:rPr>
        <w:t xml:space="preserve">Het is de verantwoordelijkheid van de omgevingsdiensten en hun opdrachtgevers gezamenlijk om ervoor te zorgen dat zij aan de robuustheidscriteria voldoen. Het ministerie van IenW zorgt ervoor dat de robuustheidscriteria in regelgeving worden vastgelegd en is voornemens om een bevoegdheid te introduceren voor de staatssecretaris van IenW om bij te sturen als deze partijen niet zelfstandig aan deze verplichting voldoen (zie ook hierna). Het is op dit moment te vroeg om aan te geven op welke termijn alle omgevingsdiensten voldoen aan de robuustheidscriteria, </w:t>
      </w:r>
      <w:r w:rsidR="00C53467">
        <w:rPr>
          <w:rFonts w:eastAsia="Calibri" w:cs="Times New Roman"/>
          <w:color w:val="auto"/>
          <w:kern w:val="2"/>
          <w:lang w:eastAsia="en-US"/>
          <w14:ligatures w14:val="standardContextual"/>
        </w:rPr>
        <w:t>waarbij wel alle partijen de uiterlijke deadline van 1 april 2026 hebben omarmd. Zoals hierboven beschreven zijn drie omgevingsdiensten op dit moment robuust</w:t>
      </w:r>
      <w:r w:rsidR="00CE74AF">
        <w:rPr>
          <w:rFonts w:eastAsia="Calibri" w:cs="Times New Roman"/>
          <w:color w:val="auto"/>
          <w:kern w:val="2"/>
          <w:lang w:eastAsia="en-US"/>
          <w14:ligatures w14:val="standardContextual"/>
        </w:rPr>
        <w:t>.</w:t>
      </w:r>
    </w:p>
    <w:p w:rsidR="002A1926" w:rsidP="006A6FAF" w:rsidRDefault="002A1926" w14:paraId="3BAF1D62" w14:textId="77777777">
      <w:pPr>
        <w:pStyle w:val="NoSpacing"/>
        <w:rPr>
          <w:lang w:eastAsia="en-US"/>
        </w:rPr>
      </w:pPr>
    </w:p>
    <w:p w:rsidRPr="0038128C" w:rsidR="007F2A8C" w:rsidP="006A6FAF" w:rsidRDefault="007F2A8C" w14:paraId="41BC52ED" w14:textId="19A173B3">
      <w:pPr>
        <w:pStyle w:val="NoSpacing"/>
        <w:rPr>
          <w:u w:val="single"/>
          <w:lang w:eastAsia="en-US"/>
        </w:rPr>
      </w:pPr>
      <w:r w:rsidRPr="0038128C">
        <w:rPr>
          <w:u w:val="single"/>
          <w:lang w:eastAsia="en-US"/>
        </w:rPr>
        <w:t>Aanbeveling 4: Hetzelfde basistakenpakket voor elke omgevingsdienst</w:t>
      </w:r>
    </w:p>
    <w:p w:rsidRPr="002726F0" w:rsidR="002A1926" w:rsidP="00EB0CD7" w:rsidRDefault="002A1926" w14:paraId="4806FDAF" w14:textId="13ADD9B1">
      <w:pPr>
        <w:pStyle w:val="NoSpacing"/>
        <w:rPr>
          <w:lang w:eastAsia="en-US"/>
        </w:rPr>
      </w:pPr>
      <w:r w:rsidRPr="002726F0">
        <w:rPr>
          <w:lang w:eastAsia="en-US"/>
        </w:rPr>
        <w:t>Aanbeveling 4</w:t>
      </w:r>
      <w:r w:rsidR="00223E60">
        <w:rPr>
          <w:lang w:eastAsia="en-US"/>
        </w:rPr>
        <w:t xml:space="preserve"> zag op zowel het voldoen aan de reeds bestaande wettelijke verplichting om het basistakenpakket in te brengen bij een omgevingsdienst als op de mogelijkheid om het basistakenpakket uit te breiden. </w:t>
      </w:r>
      <w:r w:rsidR="00C43D33">
        <w:rPr>
          <w:lang w:eastAsia="en-US"/>
        </w:rPr>
        <w:t xml:space="preserve">Het is de verantwoordelijkheid van provincies om erop toe te zien dat gemeenten aan deze verplichting voldoen. </w:t>
      </w:r>
      <w:r w:rsidRPr="002726F0">
        <w:rPr>
          <w:lang w:eastAsia="en-US"/>
        </w:rPr>
        <w:t xml:space="preserve">IenW heeft als onderdeel van de monitoring </w:t>
      </w:r>
      <w:r w:rsidR="00C43D33">
        <w:rPr>
          <w:lang w:eastAsia="en-US"/>
        </w:rPr>
        <w:t xml:space="preserve">om te komen tot robuuste omgevingsdiensten </w:t>
      </w:r>
      <w:r w:rsidRPr="002726F0">
        <w:rPr>
          <w:lang w:eastAsia="en-US"/>
        </w:rPr>
        <w:t>gesprekken gevoerd met gedeputeerden van</w:t>
      </w:r>
      <w:r w:rsidR="00C43D33">
        <w:rPr>
          <w:lang w:eastAsia="en-US"/>
        </w:rPr>
        <w:t xml:space="preserve"> bijna</w:t>
      </w:r>
      <w:r w:rsidRPr="002726F0">
        <w:rPr>
          <w:lang w:eastAsia="en-US"/>
        </w:rPr>
        <w:t xml:space="preserve"> alle provincies</w:t>
      </w:r>
      <w:r w:rsidR="00C43D33">
        <w:rPr>
          <w:rStyle w:val="FootnoteReference"/>
          <w:rFonts w:eastAsia="Calibri" w:cs="Times New Roman"/>
          <w:color w:val="auto"/>
          <w:kern w:val="2"/>
          <w:lang w:eastAsia="en-US"/>
          <w14:ligatures w14:val="standardContextual"/>
        </w:rPr>
        <w:footnoteReference w:id="3"/>
      </w:r>
      <w:r w:rsidRPr="002726F0">
        <w:rPr>
          <w:lang w:eastAsia="en-US"/>
        </w:rPr>
        <w:t xml:space="preserve"> over </w:t>
      </w:r>
      <w:r w:rsidR="002B7924">
        <w:rPr>
          <w:lang w:eastAsia="en-US"/>
        </w:rPr>
        <w:t>onder meer</w:t>
      </w:r>
      <w:r w:rsidRPr="002726F0">
        <w:rPr>
          <w:lang w:eastAsia="en-US"/>
        </w:rPr>
        <w:t xml:space="preserve"> het toepassen van interbestuurlijk toezicht</w:t>
      </w:r>
      <w:r>
        <w:rPr>
          <w:lang w:eastAsia="en-US"/>
        </w:rPr>
        <w:t xml:space="preserve"> </w:t>
      </w:r>
      <w:r w:rsidRPr="002726F0">
        <w:rPr>
          <w:lang w:eastAsia="en-US"/>
        </w:rPr>
        <w:t>indien het basistakenpakket niet volledig is ingebracht.</w:t>
      </w:r>
      <w:r w:rsidR="002B7924">
        <w:rPr>
          <w:lang w:eastAsia="en-US"/>
        </w:rPr>
        <w:t xml:space="preserve"> </w:t>
      </w:r>
      <w:r w:rsidR="00111B95">
        <w:rPr>
          <w:lang w:eastAsia="en-US"/>
        </w:rPr>
        <w:t>Op dit moment kan</w:t>
      </w:r>
      <w:r w:rsidR="002B7924">
        <w:rPr>
          <w:lang w:eastAsia="en-US"/>
        </w:rPr>
        <w:t xml:space="preserve"> inbreng van het basistakenpakket </w:t>
      </w:r>
      <w:r w:rsidR="00CE74AF">
        <w:rPr>
          <w:lang w:eastAsia="en-US"/>
        </w:rPr>
        <w:t xml:space="preserve">door gemeenten </w:t>
      </w:r>
      <w:r w:rsidR="002B7924">
        <w:rPr>
          <w:lang w:eastAsia="en-US"/>
        </w:rPr>
        <w:t xml:space="preserve">niet </w:t>
      </w:r>
      <w:r w:rsidR="0090162D">
        <w:rPr>
          <w:lang w:eastAsia="en-US"/>
        </w:rPr>
        <w:t xml:space="preserve">of nauwelijks </w:t>
      </w:r>
      <w:r w:rsidR="00111B95">
        <w:rPr>
          <w:lang w:eastAsia="en-US"/>
        </w:rPr>
        <w:t>worden afgedwongen door de Staatssecretaris van IenW.</w:t>
      </w:r>
      <w:r w:rsidR="00B32206">
        <w:rPr>
          <w:lang w:eastAsia="en-US"/>
        </w:rPr>
        <w:t xml:space="preserve"> Er wordt onderzocht hoe dit kan worden opgenomen in het</w:t>
      </w:r>
      <w:r w:rsidR="002B7924">
        <w:rPr>
          <w:lang w:eastAsia="en-US"/>
        </w:rPr>
        <w:t xml:space="preserve"> </w:t>
      </w:r>
      <w:r w:rsidR="00111B95">
        <w:rPr>
          <w:lang w:eastAsia="en-US"/>
        </w:rPr>
        <w:t>in voorbereiding zijnde</w:t>
      </w:r>
      <w:r w:rsidR="002B7924">
        <w:rPr>
          <w:lang w:eastAsia="en-US"/>
        </w:rPr>
        <w:t xml:space="preserve"> wetsvoorstel </w:t>
      </w:r>
      <w:r w:rsidR="00AA2520">
        <w:rPr>
          <w:lang w:eastAsia="en-US"/>
        </w:rPr>
        <w:t xml:space="preserve">versterking VTH-stelsel milieu </w:t>
      </w:r>
      <w:r w:rsidR="00B32206">
        <w:rPr>
          <w:lang w:eastAsia="en-US"/>
        </w:rPr>
        <w:t>waarover de Kamer eerder is geïnformeerd</w:t>
      </w:r>
      <w:r w:rsidR="002B7924">
        <w:rPr>
          <w:lang w:eastAsia="en-US"/>
        </w:rPr>
        <w:t>.</w:t>
      </w:r>
      <w:r w:rsidR="00B32206">
        <w:rPr>
          <w:rStyle w:val="FootnoteReference"/>
          <w:lang w:eastAsia="en-US"/>
        </w:rPr>
        <w:footnoteReference w:id="4"/>
      </w:r>
    </w:p>
    <w:p w:rsidRPr="00674C2B" w:rsidR="002A1926" w:rsidP="00EB0CD7" w:rsidRDefault="002A1926" w14:paraId="4F3F0E8C" w14:textId="77777777">
      <w:pPr>
        <w:pStyle w:val="NoSpacing"/>
      </w:pPr>
    </w:p>
    <w:p w:rsidRPr="00674C2B" w:rsidR="002A1926" w:rsidP="002A1926" w:rsidRDefault="007F2A8C" w14:paraId="411DE0E2" w14:textId="56A55D3B">
      <w:pPr>
        <w:rPr>
          <w:i/>
          <w:iCs/>
        </w:rPr>
      </w:pPr>
      <w:bookmarkStart w:name="_Hlk192616887" w:id="3"/>
      <w:r w:rsidRPr="00B2396B">
        <w:rPr>
          <w:u w:val="single"/>
        </w:rPr>
        <w:t xml:space="preserve">Aanbeveling 3: </w:t>
      </w:r>
      <w:r w:rsidRPr="00B2396B" w:rsidR="006F5219">
        <w:rPr>
          <w:u w:val="single"/>
        </w:rPr>
        <w:t>Meer prioriteit, capaciteit en inzet voor strafrechtelijke handhaving en vervolging</w:t>
      </w:r>
      <w:r w:rsidRPr="006F5219" w:rsidDel="006F5219" w:rsidR="006F5219">
        <w:rPr>
          <w:i/>
          <w:iCs/>
        </w:rPr>
        <w:t xml:space="preserve"> </w:t>
      </w:r>
    </w:p>
    <w:p w:rsidRPr="00674C2B" w:rsidR="002A1926" w:rsidP="002A1926" w:rsidRDefault="002A1926" w14:paraId="324917A4" w14:textId="1DC5FAB7">
      <w:r w:rsidRPr="00674C2B">
        <w:t xml:space="preserve">Er lopen </w:t>
      </w:r>
      <w:r w:rsidR="009D14D9">
        <w:t xml:space="preserve">onder </w:t>
      </w:r>
      <w:r w:rsidR="00965D07">
        <w:t xml:space="preserve">coördinatie </w:t>
      </w:r>
      <w:r w:rsidR="009D14D9">
        <w:t>van het ministerie van JenV</w:t>
      </w:r>
      <w:r w:rsidRPr="00674C2B" w:rsidR="009D14D9">
        <w:t xml:space="preserve"> </w:t>
      </w:r>
      <w:r w:rsidRPr="00674C2B">
        <w:t>nog verschillende acties voor de opvolging van aanbeveling 3</w:t>
      </w:r>
      <w:r w:rsidR="00797ABB">
        <w:t>.</w:t>
      </w:r>
      <w:r w:rsidRPr="00674C2B">
        <w:t xml:space="preserve"> </w:t>
      </w:r>
      <w:r w:rsidR="00797ABB">
        <w:t>Het stellen van prioriteiten is noodzakelijk o</w:t>
      </w:r>
      <w:r w:rsidRPr="00674C2B">
        <w:t>m het instrumentarium en de capaciteit voor de handhaving effectiever in te zetten</w:t>
      </w:r>
      <w:r w:rsidR="00797ABB">
        <w:t xml:space="preserve">. De </w:t>
      </w:r>
      <w:r w:rsidRPr="00674C2B">
        <w:t>Strategische Milieukamer</w:t>
      </w:r>
      <w:r w:rsidR="00797ABB">
        <w:t xml:space="preserve"> speelt een belangrijke rol in deze prioritering. Het proces tot formalisering van de SMK is voor de zomer</w:t>
      </w:r>
      <w:r w:rsidR="00AA2520">
        <w:t xml:space="preserve"> van 2025</w:t>
      </w:r>
      <w:r w:rsidR="00797ABB">
        <w:t xml:space="preserve"> afgerond. Een ander initiatief dat bijdraagt aan (gezamenlijke) prioritering is de inzet op betere </w:t>
      </w:r>
      <w:r w:rsidRPr="00674C2B" w:rsidR="00797ABB">
        <w:t xml:space="preserve">samenwerking tussen </w:t>
      </w:r>
      <w:r w:rsidR="00AA2520">
        <w:t xml:space="preserve">partijen die belast zijn met </w:t>
      </w:r>
      <w:r w:rsidRPr="00674C2B" w:rsidR="00797ABB">
        <w:t>bestuursrechtelijke en strafrechtelijke handhaving</w:t>
      </w:r>
      <w:r w:rsidR="00797ABB">
        <w:t xml:space="preserve">. Om dit proces op gang te brengen </w:t>
      </w:r>
      <w:r w:rsidR="00501145">
        <w:t xml:space="preserve">stelt het ministerie van </w:t>
      </w:r>
      <w:r w:rsidR="00425449">
        <w:t xml:space="preserve">JenV </w:t>
      </w:r>
      <w:r w:rsidRPr="00674C2B" w:rsidR="00797ABB">
        <w:t>een kwartiermaker</w:t>
      </w:r>
      <w:r w:rsidR="00501145">
        <w:t xml:space="preserve"> aan</w:t>
      </w:r>
      <w:r w:rsidRPr="00674C2B" w:rsidR="00797ABB">
        <w:t>, die samen met de provincies nog dit jaar de overlegstructuur tussen de verschillende handhavingspartners kan opzetten.</w:t>
      </w:r>
    </w:p>
    <w:bookmarkEnd w:id="3"/>
    <w:p w:rsidRPr="00674C2B" w:rsidR="002A1926" w:rsidP="002A1926" w:rsidRDefault="002A1926" w14:paraId="391CCABE" w14:textId="77777777"/>
    <w:p w:rsidRPr="00674C2B" w:rsidR="002A1926" w:rsidP="002A1926" w:rsidRDefault="007F2A8C" w14:paraId="209A9E89" w14:textId="1E03B0F9">
      <w:pPr>
        <w:rPr>
          <w:i/>
          <w:iCs/>
        </w:rPr>
      </w:pPr>
      <w:r w:rsidRPr="00B2396B">
        <w:rPr>
          <w:u w:val="single"/>
        </w:rPr>
        <w:t xml:space="preserve">Aanbeveling 5: </w:t>
      </w:r>
      <w:r w:rsidRPr="00B2396B" w:rsidR="002A1926">
        <w:rPr>
          <w:u w:val="single"/>
        </w:rPr>
        <w:t>Financieringssystematiek</w:t>
      </w:r>
    </w:p>
    <w:p w:rsidRPr="00674C2B" w:rsidR="002A1926" w:rsidP="002A1926" w:rsidRDefault="00C32900" w14:paraId="66C0BA7E" w14:textId="35E885F9">
      <w:r>
        <w:t xml:space="preserve">Aanbeveling 5 was oorspronkelijk gericht op het ontwikkelen van een landelijke normfinanciering </w:t>
      </w:r>
      <w:r w:rsidRPr="00C32900">
        <w:t>in plaats van lokale outputfinanciering</w:t>
      </w:r>
      <w:r>
        <w:t xml:space="preserve">. </w:t>
      </w:r>
      <w:r w:rsidRPr="00C32900">
        <w:t>Op basis van</w:t>
      </w:r>
      <w:r w:rsidR="00501BAB">
        <w:t xml:space="preserve"> </w:t>
      </w:r>
      <w:r w:rsidRPr="00C32900">
        <w:t xml:space="preserve">juridisch onderzoek heeft de stuurgroep IBP </w:t>
      </w:r>
      <w:r>
        <w:t xml:space="preserve">VTH in november </w:t>
      </w:r>
      <w:r w:rsidRPr="00C32900">
        <w:t xml:space="preserve">2022 besloten om de opdracht te verbreden tot ‘het ontwerpen van een financieringssystematiek’ en niet te richten op het invoeren van </w:t>
      </w:r>
      <w:r w:rsidR="00501145">
        <w:t xml:space="preserve">specifiek </w:t>
      </w:r>
      <w:r w:rsidRPr="00C32900">
        <w:t xml:space="preserve">normfinanciering. </w:t>
      </w:r>
      <w:r w:rsidRPr="00674C2B" w:rsidR="002A1926">
        <w:t xml:space="preserve">Binnen het IBP VTH is een financieringssystematiek opgeleverd </w:t>
      </w:r>
      <w:r w:rsidR="001371DF">
        <w:t xml:space="preserve">die uitgaat van outcome financiering in plaats van output financiering. Het is nu zaak de financieringssystematiek te implementeren. Hierin spelen vooral gemeenten en provincies een belangrijke rol aangezien zij de vrijheid hebben te kiezen op welke manier zij de omgevingsdiensten financieren. </w:t>
      </w:r>
      <w:r w:rsidRPr="00674C2B" w:rsidR="002A1926">
        <w:t xml:space="preserve">IPO, VNG en Omgevingsdienst NL </w:t>
      </w:r>
      <w:r w:rsidR="00B2396B">
        <w:t xml:space="preserve">zijn gezamenlijk verantwoordelijk om </w:t>
      </w:r>
      <w:r w:rsidR="001371DF">
        <w:t>implementatie van de vastgestelde systematiek</w:t>
      </w:r>
      <w:r w:rsidRPr="00674C2B" w:rsidR="002A1926">
        <w:t xml:space="preserve"> te bewerkstelligen.</w:t>
      </w:r>
      <w:r w:rsidR="001E6CEB">
        <w:t xml:space="preserve"> Op </w:t>
      </w:r>
      <w:r w:rsidR="004F4C12">
        <w:t>dit moment werken deze partijen een implementatieplan uit.</w:t>
      </w:r>
      <w:r w:rsidRPr="00674C2B" w:rsidR="002A1926">
        <w:t xml:space="preserve"> </w:t>
      </w:r>
      <w:r w:rsidR="004F4C12">
        <w:t>Met het vaststellen van de financieringssystematiek is deze aanbeveling opgevolgd.</w:t>
      </w:r>
    </w:p>
    <w:p w:rsidRPr="00674C2B" w:rsidR="002A1926" w:rsidP="002A1926" w:rsidRDefault="002A1926" w14:paraId="0ABF73FB" w14:textId="77777777"/>
    <w:p w:rsidRPr="00674C2B" w:rsidR="002A1926" w:rsidP="002A1926" w:rsidRDefault="007F2A8C" w14:paraId="6DD10F7D" w14:textId="1154AAB7">
      <w:pPr>
        <w:rPr>
          <w:i/>
          <w:iCs/>
        </w:rPr>
      </w:pPr>
      <w:r w:rsidRPr="00B2396B">
        <w:rPr>
          <w:u w:val="single"/>
        </w:rPr>
        <w:t xml:space="preserve">Aanbeveling 6: </w:t>
      </w:r>
      <w:r w:rsidRPr="00B2396B" w:rsidR="002A1926">
        <w:rPr>
          <w:u w:val="single"/>
        </w:rPr>
        <w:t>Informatie-uitwisseling en investeren in kennisontwikkeling en -deling</w:t>
      </w:r>
      <w:r w:rsidRPr="00674C2B" w:rsidR="002A1926">
        <w:rPr>
          <w:i/>
          <w:iCs/>
        </w:rPr>
        <w:t xml:space="preserve"> </w:t>
      </w:r>
    </w:p>
    <w:p w:rsidRPr="00B2396B" w:rsidR="002A1926" w:rsidP="002A1926" w:rsidRDefault="002A1926" w14:paraId="6D93CF8E" w14:textId="77777777">
      <w:pPr>
        <w:rPr>
          <w:i/>
          <w:iCs/>
        </w:rPr>
      </w:pPr>
      <w:r w:rsidRPr="00B2396B">
        <w:rPr>
          <w:i/>
          <w:iCs/>
        </w:rPr>
        <w:t>Digitaal VTH-stelsel milieu</w:t>
      </w:r>
    </w:p>
    <w:p w:rsidRPr="00495CC9" w:rsidR="00495CC9" w:rsidP="00495CC9" w:rsidRDefault="00495CC9" w14:paraId="7C75AFF3" w14:textId="2EDB1C61">
      <w:r w:rsidRPr="00495CC9">
        <w:t xml:space="preserve">Tijdens het IBP VTH </w:t>
      </w:r>
      <w:r w:rsidR="0090162D">
        <w:t>is in</w:t>
      </w:r>
      <w:r w:rsidRPr="00495CC9">
        <w:t xml:space="preserve"> pijler 3 geconstateerd dat er op stelselniveau geen sprake is van een digitaal VTH-stelsel. Er ontbreken afspraken over de mate van digitalisering, de vereiste gegevenskwaliteit en het gebruik van gedeelde voorzieningen. Het VTH-stelsel loopt 30 jaar achter op de huidige digitale mogelijkheden. Tijdens het IBP VTH is een toekomstbeeld vastgesteld voor de informatievoorziening binnen het VTH-stelsel: het digitaal VTH-stelsel, waarin alle stelselpartijen als één overheid kunnen samenwerken. Het op 1 oktober jl. opgerichte IenW programma Digitaal VTH-stelsel Milieu werkt het toekomstbeeld verder uit naar concrete projecten. Gelet op de omvang van de opgave en de benodigde afstemming tussen de verschillende partijen in het stelsel die hier samen aan gaan werken, is het op dit moment </w:t>
      </w:r>
      <w:r w:rsidR="006F6730">
        <w:t xml:space="preserve">nog </w:t>
      </w:r>
      <w:r w:rsidRPr="00495CC9">
        <w:t>niet mogelijk om aan te geven met welke planning delen van het digitaal VTH-stelsel worden gerealiseerd.</w:t>
      </w:r>
    </w:p>
    <w:p w:rsidR="002A1926" w:rsidP="002A1926" w:rsidRDefault="002A1926" w14:paraId="25F85558" w14:textId="77777777">
      <w:bookmarkStart w:name="_Hlk190759598" w:id="4"/>
    </w:p>
    <w:p w:rsidRPr="00B2396B" w:rsidR="002A1926" w:rsidP="002A1926" w:rsidRDefault="002A1926" w14:paraId="42EECBDD" w14:textId="77777777">
      <w:pPr>
        <w:rPr>
          <w:i/>
          <w:iCs/>
        </w:rPr>
      </w:pPr>
      <w:r w:rsidRPr="00B2396B">
        <w:rPr>
          <w:i/>
          <w:iCs/>
        </w:rPr>
        <w:t>Kennisontwikkeling en -deling</w:t>
      </w:r>
    </w:p>
    <w:p w:rsidR="002A1926" w:rsidP="002A1926" w:rsidRDefault="002A1926" w14:paraId="1A9DE78F" w14:textId="258C3148">
      <w:r w:rsidRPr="00674C2B">
        <w:t xml:space="preserve">Voor </w:t>
      </w:r>
      <w:r w:rsidR="00712951">
        <w:t xml:space="preserve">regie op </w:t>
      </w:r>
      <w:r w:rsidRPr="00674C2B">
        <w:t xml:space="preserve">kennisontwikkeling en -deling is Omgevingsdienst NL </w:t>
      </w:r>
      <w:r w:rsidR="00501145">
        <w:t>verantwoordelijk.</w:t>
      </w:r>
      <w:r w:rsidRPr="00674C2B">
        <w:t xml:space="preserve"> Om de</w:t>
      </w:r>
      <w:r w:rsidR="00712951">
        <w:t xml:space="preserve"> in het IBP VTH ontwikkelde</w:t>
      </w:r>
      <w:r w:rsidRPr="00674C2B">
        <w:t xml:space="preserve"> kennisinfrastructuur</w:t>
      </w:r>
      <w:r w:rsidR="00712951">
        <w:t xml:space="preserve"> te kunnen implementeren</w:t>
      </w:r>
      <w:r w:rsidRPr="00674C2B">
        <w:t>, heeft Omgevingsdienst NL een subsidie voor twee jaar ontvangen.</w:t>
      </w:r>
      <w:r w:rsidR="00EA74FB">
        <w:t xml:space="preserve"> </w:t>
      </w:r>
      <w:r w:rsidR="004F4C12">
        <w:t xml:space="preserve">Omgevingsdienst NL </w:t>
      </w:r>
      <w:r w:rsidR="00C57DCF">
        <w:t xml:space="preserve">voert hiervoor met </w:t>
      </w:r>
      <w:r w:rsidR="00925A4D">
        <w:t>andere partijen in het VTH-stelsel milieu</w:t>
      </w:r>
      <w:r w:rsidR="00C57DCF">
        <w:t xml:space="preserve"> een aantal activiteiten uit</w:t>
      </w:r>
      <w:r w:rsidR="00925A4D">
        <w:t xml:space="preserve">. </w:t>
      </w:r>
      <w:bookmarkEnd w:id="4"/>
    </w:p>
    <w:p w:rsidRPr="009D745F" w:rsidR="002A1926" w:rsidP="002A1926" w:rsidRDefault="00C56AE4" w14:paraId="5DBFD74C" w14:textId="7B0AA8A8">
      <w:r>
        <w:t>D</w:t>
      </w:r>
      <w:r w:rsidR="00127789">
        <w:t>e Omgevingsdienst NL Academie, waarvan de gemeenten en provincies opdrachtgever zijn, heeft</w:t>
      </w:r>
      <w:r>
        <w:t xml:space="preserve"> </w:t>
      </w:r>
      <w:r w:rsidR="00127789">
        <w:t xml:space="preserve">een forse professionaliseringsslag gemaakt. </w:t>
      </w:r>
      <w:r w:rsidR="00D42BD0">
        <w:t>Zo is h</w:t>
      </w:r>
      <w:r w:rsidRPr="00D42BD0" w:rsidR="00D42BD0">
        <w:t xml:space="preserve">et opleidingsaanbod </w:t>
      </w:r>
      <w:r w:rsidR="00712951">
        <w:t>door</w:t>
      </w:r>
      <w:r w:rsidR="00D42BD0">
        <w:t>ontwikkeld en</w:t>
      </w:r>
      <w:r w:rsidRPr="00D42BD0" w:rsidR="00D42BD0">
        <w:t xml:space="preserve"> uitgebreid</w:t>
      </w:r>
      <w:r w:rsidR="00D42BD0">
        <w:t xml:space="preserve">. </w:t>
      </w:r>
      <w:r w:rsidR="00127789">
        <w:t xml:space="preserve">Op die manier wordt de vakbekwaamheid binnen het VTH-stelsel milieu versterkt. </w:t>
      </w:r>
      <w:r>
        <w:t xml:space="preserve">De </w:t>
      </w:r>
      <w:r w:rsidR="00925A4D">
        <w:t xml:space="preserve">ontwikkeling </w:t>
      </w:r>
      <w:r>
        <w:t xml:space="preserve">van de Omgevingsdienst NL Academie wordt </w:t>
      </w:r>
      <w:r w:rsidRPr="009D745F" w:rsidR="002A1926">
        <w:t xml:space="preserve">voortgezet </w:t>
      </w:r>
      <w:r w:rsidR="002F02E5">
        <w:t>e</w:t>
      </w:r>
      <w:r w:rsidRPr="009D745F" w:rsidR="002A1926">
        <w:t xml:space="preserve">n </w:t>
      </w:r>
      <w:r w:rsidR="00712951">
        <w:t xml:space="preserve">de academie wordt </w:t>
      </w:r>
      <w:r w:rsidRPr="009D745F" w:rsidR="002A1926">
        <w:t>breder toegankelijk</w:t>
      </w:r>
      <w:r w:rsidR="002F02E5">
        <w:t xml:space="preserve"> gemaakt</w:t>
      </w:r>
      <w:r w:rsidRPr="009D745F" w:rsidR="002A1926">
        <w:t xml:space="preserve"> </w:t>
      </w:r>
      <w:r w:rsidR="00925A4D">
        <w:t xml:space="preserve">voor andere partijen uit het VTH-stelsel milieu. </w:t>
      </w:r>
      <w:r w:rsidR="003558DD">
        <w:t xml:space="preserve">Door continue kennisontwikkeling zijn VTH-professionals beter in staat om hun werkzaamheden uit te voeren. </w:t>
      </w:r>
      <w:r w:rsidR="009D14D9">
        <w:t>Met het realiseren van deze structuren is deze aanbeveling opgevolgd, het onderhouden ervan is een continu proces.</w:t>
      </w:r>
    </w:p>
    <w:p w:rsidR="002A1926" w:rsidP="002A1926" w:rsidRDefault="002A1926" w14:paraId="08355826" w14:textId="77777777"/>
    <w:p w:rsidR="00B2396B" w:rsidP="002A1926" w:rsidRDefault="007F2A8C" w14:paraId="1C013D21" w14:textId="77777777">
      <w:pPr>
        <w:rPr>
          <w:i/>
          <w:iCs/>
        </w:rPr>
      </w:pPr>
      <w:r w:rsidRPr="00B2396B">
        <w:rPr>
          <w:u w:val="single"/>
        </w:rPr>
        <w:t xml:space="preserve">Aanbeveling 7: Uniform uitvoerings- en handhavingsbeleid &amp; aanbeveling 8: </w:t>
      </w:r>
      <w:r w:rsidRPr="00B2396B" w:rsidR="002A1926">
        <w:rPr>
          <w:u w:val="single"/>
        </w:rPr>
        <w:t>Onafhankelijke uitvoering van toezicht en handhaving</w:t>
      </w:r>
      <w:r w:rsidRPr="00674C2B" w:rsidR="002A1926">
        <w:rPr>
          <w:i/>
          <w:iCs/>
        </w:rPr>
        <w:t xml:space="preserve"> </w:t>
      </w:r>
    </w:p>
    <w:p w:rsidRPr="00674C2B" w:rsidR="00444D61" w:rsidP="002A1926" w:rsidRDefault="002A1926" w14:paraId="49D73F30" w14:textId="00CDE05D">
      <w:r w:rsidRPr="00674C2B">
        <w:t xml:space="preserve">Het IBP VTH heeft diverse producten opgeleverd in opvolging van de aanbevelingen om de onafhankelijke uitvoering van toezicht en handhaving te borgen. IPO en VNG </w:t>
      </w:r>
      <w:r w:rsidR="00D71746">
        <w:t>dragen</w:t>
      </w:r>
      <w:r w:rsidRPr="00674C2B">
        <w:t xml:space="preserve"> zorg voor de implementatie voor o.a. het modelmandaat, de regionale beleidscyclus en het profiel van de directeur van een omgevingsdienst. Daarnaast </w:t>
      </w:r>
      <w:r w:rsidR="00D71746">
        <w:t xml:space="preserve">stellen </w:t>
      </w:r>
      <w:r w:rsidRPr="00674C2B">
        <w:t>zij een handreiking “professioneel opdrachtgeverschap”</w:t>
      </w:r>
      <w:r w:rsidR="00D71746">
        <w:t xml:space="preserve"> op</w:t>
      </w:r>
      <w:r w:rsidRPr="00674C2B">
        <w:t xml:space="preserve">. </w:t>
      </w:r>
      <w:r w:rsidRPr="00EA74FB" w:rsidR="00EA74FB">
        <w:t xml:space="preserve">Op dit moment wordt gewerkt aan een implementatieplan. </w:t>
      </w:r>
      <w:r w:rsidR="00444D61">
        <w:t xml:space="preserve">Hiervoor stelt het ministerie van IenW financiële middelen beschikbaar aan </w:t>
      </w:r>
      <w:r w:rsidRPr="00674C2B">
        <w:t xml:space="preserve">IPO en VNG voor </w:t>
      </w:r>
      <w:r w:rsidR="00444D61">
        <w:t xml:space="preserve">de </w:t>
      </w:r>
      <w:r w:rsidRPr="00674C2B">
        <w:t xml:space="preserve">periode </w:t>
      </w:r>
      <w:r w:rsidR="00444D61">
        <w:t>2025-2026</w:t>
      </w:r>
      <w:r w:rsidRPr="00674C2B">
        <w:t>.</w:t>
      </w:r>
      <w:r w:rsidR="00444D61">
        <w:t xml:space="preserve"> Hoe de implementatie van al deze maatregelen uitpakt, wordt gemonitord via de Staat van VTH.</w:t>
      </w:r>
    </w:p>
    <w:p w:rsidR="00444D61" w:rsidP="002A1926" w:rsidRDefault="00444D61" w14:paraId="08A8B9B4" w14:textId="77777777"/>
    <w:p w:rsidR="009D14D9" w:rsidP="002A1926" w:rsidRDefault="007F2A8C" w14:paraId="0D47615A" w14:textId="51FF8F20">
      <w:pPr>
        <w:rPr>
          <w:i/>
          <w:iCs/>
        </w:rPr>
      </w:pPr>
      <w:r w:rsidRPr="00B2396B">
        <w:rPr>
          <w:u w:val="single"/>
        </w:rPr>
        <w:t xml:space="preserve">Aanbeveling 9: </w:t>
      </w:r>
      <w:r w:rsidRPr="00B2396B" w:rsidR="002A1926">
        <w:rPr>
          <w:u w:val="single"/>
        </w:rPr>
        <w:t>Monitoring kwaliteit milieutoezicht</w:t>
      </w:r>
    </w:p>
    <w:p w:rsidRPr="00BB14F0" w:rsidR="002A1926" w:rsidP="002A1926" w:rsidRDefault="002A1926" w14:paraId="0EBDEBBA" w14:textId="7524F878">
      <w:r w:rsidRPr="00674C2B">
        <w:t xml:space="preserve">In opvolging van aanbeveling 9 zijn </w:t>
      </w:r>
      <w:r w:rsidR="00B2396B">
        <w:t>de</w:t>
      </w:r>
      <w:r w:rsidR="00C91F63">
        <w:t xml:space="preserve"> visitaties</w:t>
      </w:r>
      <w:r w:rsidR="00355477">
        <w:t xml:space="preserve"> </w:t>
      </w:r>
      <w:r w:rsidR="00C91F63">
        <w:t>en de Staat van VTH</w:t>
      </w:r>
      <w:r w:rsidRPr="00674C2B">
        <w:t xml:space="preserve"> ontwikkeld</w:t>
      </w:r>
      <w:r w:rsidR="00B2396B">
        <w:t xml:space="preserve">. </w:t>
      </w:r>
      <w:r w:rsidRPr="00674C2B">
        <w:t xml:space="preserve"> </w:t>
      </w:r>
      <w:r w:rsidRPr="00BB14F0">
        <w:t xml:space="preserve">De uitvoering van visitaties is een verantwoordelijkheid van Omgevingsdienst NL. </w:t>
      </w:r>
      <w:r w:rsidR="009D14D9">
        <w:t>De a</w:t>
      </w:r>
      <w:r w:rsidRPr="00BB14F0">
        <w:t xml:space="preserve">fgelopen </w:t>
      </w:r>
      <w:r w:rsidR="009D14D9">
        <w:t>twee</w:t>
      </w:r>
      <w:r w:rsidRPr="00BB14F0">
        <w:t xml:space="preserve"> jaar </w:t>
      </w:r>
      <w:r w:rsidR="009D14D9">
        <w:t>zijn</w:t>
      </w:r>
      <w:r w:rsidRPr="00BB14F0">
        <w:t xml:space="preserve"> alle omgevingsdiensten gevisiteerd. </w:t>
      </w:r>
      <w:r w:rsidR="009D14D9">
        <w:t>Dit jaar</w:t>
      </w:r>
      <w:r w:rsidRPr="00BB14F0">
        <w:t xml:space="preserve"> wordt de systematiek geëvalueerd en eventueel aangepast. De visitaties worden iedere </w:t>
      </w:r>
      <w:r w:rsidR="003558DD">
        <w:t>vier</w:t>
      </w:r>
      <w:r w:rsidRPr="00BB14F0" w:rsidR="003558DD">
        <w:t xml:space="preserve"> </w:t>
      </w:r>
      <w:r w:rsidRPr="00BB14F0">
        <w:t xml:space="preserve">jaar uitgevoerd; vanaf 2026 wordt weer gestart met de </w:t>
      </w:r>
      <w:r w:rsidR="009D14D9">
        <w:t>volgende ronde</w:t>
      </w:r>
      <w:r w:rsidR="00BC171E">
        <w:t xml:space="preserve"> in mogelijk aangepaste vorm</w:t>
      </w:r>
      <w:r w:rsidRPr="00BB14F0">
        <w:t>.</w:t>
      </w:r>
    </w:p>
    <w:p w:rsidR="002A1926" w:rsidP="002A1926" w:rsidRDefault="002A1926" w14:paraId="2708FEC9" w14:textId="77777777"/>
    <w:p w:rsidR="002A1926" w:rsidP="002A1926" w:rsidRDefault="002A1926" w14:paraId="1F23320C" w14:textId="66741A00">
      <w:r w:rsidRPr="00BB14F0">
        <w:t>D</w:t>
      </w:r>
      <w:r w:rsidR="002B2A95">
        <w:t>e Staat van VTH wordt dit jaar voor het eerst uitgevoerd.</w:t>
      </w:r>
      <w:r w:rsidRPr="00BB14F0">
        <w:t xml:space="preserve"> In het tweede deel van dit jaar wordt de Kamer geïnformeerd over de resultaten van dit onderzoek.</w:t>
      </w:r>
      <w:r w:rsidR="009D14D9">
        <w:t xml:space="preserve"> Met het opleveren van</w:t>
      </w:r>
      <w:r w:rsidR="00355477">
        <w:t xml:space="preserve"> de Staat van VTH en visitaties</w:t>
      </w:r>
      <w:r w:rsidR="002B2A95">
        <w:t xml:space="preserve"> </w:t>
      </w:r>
      <w:r w:rsidR="009D14D9">
        <w:t>is deze aanbeveling opgevolgd, de uitvoering ervan is een continu proces.</w:t>
      </w:r>
    </w:p>
    <w:p w:rsidRPr="00BB14F0" w:rsidR="002A1926" w:rsidP="002A1926" w:rsidRDefault="002A1926" w14:paraId="2443C5B6" w14:textId="77777777"/>
    <w:p w:rsidRPr="002B2A95" w:rsidR="002A1926" w:rsidP="005D5876" w:rsidRDefault="007F2A8C" w14:paraId="5704984E" w14:textId="3B2457DE">
      <w:pPr>
        <w:keepNext/>
        <w:keepLines/>
        <w:rPr>
          <w:u w:val="single"/>
        </w:rPr>
      </w:pPr>
      <w:r>
        <w:rPr>
          <w:u w:val="single"/>
        </w:rPr>
        <w:t xml:space="preserve">Aanbeveling 10: </w:t>
      </w:r>
      <w:r w:rsidRPr="002B2A95" w:rsidR="002A1926">
        <w:rPr>
          <w:u w:val="single"/>
        </w:rPr>
        <w:t>Adviesrol omgevingsdiensten bij omgevingsplannen</w:t>
      </w:r>
    </w:p>
    <w:p w:rsidR="002A1926" w:rsidP="005D5876" w:rsidRDefault="0041453B" w14:paraId="6653C339" w14:textId="2ADD9C97">
      <w:pPr>
        <w:keepNext/>
        <w:keepLines/>
        <w:rPr>
          <w:rFonts w:eastAsia="Aptos" w:cs="Calibri"/>
          <w:color w:val="auto"/>
          <w:lang w:eastAsia="en-US"/>
        </w:rPr>
      </w:pPr>
      <w:r w:rsidRPr="00B32206">
        <w:rPr>
          <w:rFonts w:eastAsia="Aptos" w:cs="Calibri"/>
          <w:color w:val="auto"/>
          <w:lang w:eastAsia="en-US"/>
        </w:rPr>
        <w:t xml:space="preserve">Op dit moment wordt onderzocht hoe de adviestaken als onderdeel van de werkzaamheden van omgevingsdiensten geborgd kunnen worden. </w:t>
      </w:r>
      <w:r w:rsidRPr="00B32206" w:rsidR="00B32206">
        <w:rPr>
          <w:rFonts w:eastAsia="Aptos" w:cs="Calibri"/>
          <w:color w:val="auto"/>
          <w:lang w:eastAsia="en-US"/>
        </w:rPr>
        <w:t xml:space="preserve">Over de stand van zaken wordt u rond de zomer nader geïnformeerd. </w:t>
      </w:r>
    </w:p>
    <w:p w:rsidR="006B1169" w:rsidP="002A1926" w:rsidRDefault="006B1169" w14:paraId="4990F166" w14:textId="77777777">
      <w:pPr>
        <w:rPr>
          <w:rFonts w:eastAsia="Aptos" w:cs="Calibri"/>
          <w:color w:val="auto"/>
          <w:lang w:eastAsia="en-US"/>
        </w:rPr>
      </w:pPr>
    </w:p>
    <w:p w:rsidRPr="00BB14F0" w:rsidR="006B1169" w:rsidP="002A1926" w:rsidRDefault="009D14D9" w14:paraId="48119197" w14:textId="6540FBB9">
      <w:r>
        <w:rPr>
          <w:rFonts w:eastAsia="Aptos" w:cs="Calibri"/>
          <w:color w:val="auto"/>
          <w:lang w:eastAsia="en-US"/>
        </w:rPr>
        <w:t>Hiermee is voor alle aanbevelingen aangegeven</w:t>
      </w:r>
      <w:r w:rsidR="0032286C">
        <w:rPr>
          <w:rFonts w:eastAsia="Aptos" w:cs="Calibri"/>
          <w:color w:val="auto"/>
          <w:lang w:eastAsia="en-US"/>
        </w:rPr>
        <w:t xml:space="preserve"> wat de stand van zaken van de opvolging is. Waar nodig wordt d</w:t>
      </w:r>
      <w:r>
        <w:rPr>
          <w:rFonts w:eastAsia="Aptos" w:cs="Calibri"/>
          <w:color w:val="auto"/>
          <w:lang w:eastAsia="en-US"/>
        </w:rPr>
        <w:t xml:space="preserve">e voortgang van de implementatie zoals hierboven beschreven, geagendeerd in het Bestuurlijk Omgevingsberaad. </w:t>
      </w:r>
    </w:p>
    <w:p w:rsidRPr="00FF19E9" w:rsidR="002A1926" w:rsidP="002A1926" w:rsidRDefault="002A1926" w14:paraId="77A2F6DC" w14:textId="77777777">
      <w:pPr>
        <w:pStyle w:val="NoSpacing"/>
        <w:rPr>
          <w:lang w:eastAsia="en-US"/>
        </w:rPr>
      </w:pPr>
    </w:p>
    <w:p w:rsidR="00AC42DF" w:rsidP="00AC42DF" w:rsidRDefault="00AC42DF" w14:paraId="1376259D" w14:textId="77777777">
      <w:pPr>
        <w:rPr>
          <w:lang w:eastAsia="en-US"/>
        </w:rPr>
      </w:pPr>
    </w:p>
    <w:p w:rsidRPr="00B32206" w:rsidR="00AC42DF" w:rsidP="00AC42DF" w:rsidRDefault="00AC42DF" w14:paraId="69E42932" w14:textId="33F60014">
      <w:pPr>
        <w:rPr>
          <w:b/>
          <w:bCs/>
          <w:lang w:eastAsia="en-US"/>
        </w:rPr>
      </w:pPr>
      <w:bookmarkStart w:name="_Hlk192516135" w:id="5"/>
      <w:r w:rsidRPr="00B32206">
        <w:rPr>
          <w:b/>
          <w:bCs/>
          <w:lang w:eastAsia="en-US"/>
        </w:rPr>
        <w:t>Stelselverantwoordelijkheid</w:t>
      </w:r>
      <w:r w:rsidRPr="00B32206" w:rsidR="00AD425F">
        <w:rPr>
          <w:b/>
          <w:bCs/>
          <w:lang w:eastAsia="en-US"/>
        </w:rPr>
        <w:t xml:space="preserve"> (</w:t>
      </w:r>
      <w:bookmarkStart w:name="_Hlk192577618" w:id="6"/>
      <w:r w:rsidRPr="00B32206" w:rsidR="00AD425F">
        <w:rPr>
          <w:b/>
          <w:bCs/>
          <w:lang w:eastAsia="en-US"/>
        </w:rPr>
        <w:t>TZ202502-108</w:t>
      </w:r>
      <w:bookmarkEnd w:id="6"/>
      <w:r w:rsidRPr="00B32206" w:rsidR="00AD425F">
        <w:rPr>
          <w:b/>
          <w:bCs/>
          <w:lang w:eastAsia="en-US"/>
        </w:rPr>
        <w:t>)</w:t>
      </w:r>
    </w:p>
    <w:p w:rsidRPr="00AC42DF" w:rsidR="00AC42DF" w:rsidP="00AC42DF" w:rsidRDefault="009F55B1" w14:paraId="710D562D" w14:textId="4CD0B48F">
      <w:pPr>
        <w:rPr>
          <w:lang w:eastAsia="en-US"/>
        </w:rPr>
      </w:pPr>
      <w:r>
        <w:rPr>
          <w:lang w:eastAsia="en-US"/>
        </w:rPr>
        <w:t>Naar aanleiding van een vraag van h</w:t>
      </w:r>
      <w:r w:rsidRPr="00AC42DF" w:rsidR="00AC42DF">
        <w:rPr>
          <w:lang w:eastAsia="en-US"/>
        </w:rPr>
        <w:t xml:space="preserve">et lid Boutkan (PVV) </w:t>
      </w:r>
      <w:bookmarkEnd w:id="5"/>
      <w:r w:rsidRPr="00AC42DF" w:rsidR="00AC42DF">
        <w:rPr>
          <w:lang w:eastAsia="en-US"/>
        </w:rPr>
        <w:t xml:space="preserve">tijdens het </w:t>
      </w:r>
      <w:r w:rsidR="0032286C">
        <w:rPr>
          <w:lang w:eastAsia="en-US"/>
        </w:rPr>
        <w:t>T</w:t>
      </w:r>
      <w:r w:rsidRPr="00AC42DF" w:rsidR="00AC42DF">
        <w:rPr>
          <w:lang w:eastAsia="en-US"/>
        </w:rPr>
        <w:t>weeminutendebat VTH van 5 februari jl.</w:t>
      </w:r>
      <w:r>
        <w:rPr>
          <w:lang w:eastAsia="en-US"/>
        </w:rPr>
        <w:t xml:space="preserve"> heeft de staatssecretaris </w:t>
      </w:r>
      <w:r w:rsidR="0032286C">
        <w:rPr>
          <w:lang w:eastAsia="en-US"/>
        </w:rPr>
        <w:t xml:space="preserve">toegezegd in de volgende voortgangsbrief aandacht te besteden aan de stelselverantwoordelijkheid. Hierbij ontvangt de Kamer de </w:t>
      </w:r>
      <w:r w:rsidRPr="00AC42DF" w:rsidR="00AC42DF">
        <w:rPr>
          <w:lang w:eastAsia="en-US"/>
        </w:rPr>
        <w:t>notitie ‘Stelselverantwoordelijkheid binnen het VTH-stelsel milieu’ van 7 februari 2024</w:t>
      </w:r>
      <w:r w:rsidR="0032286C">
        <w:rPr>
          <w:lang w:eastAsia="en-US"/>
        </w:rPr>
        <w:t xml:space="preserve"> (bijlage </w:t>
      </w:r>
      <w:r w:rsidR="00631955">
        <w:rPr>
          <w:lang w:eastAsia="en-US"/>
        </w:rPr>
        <w:t>4</w:t>
      </w:r>
      <w:r w:rsidR="0032286C">
        <w:rPr>
          <w:lang w:eastAsia="en-US"/>
        </w:rPr>
        <w:t>)</w:t>
      </w:r>
      <w:r w:rsidRPr="00AC42DF" w:rsidR="00AC42DF">
        <w:rPr>
          <w:lang w:eastAsia="en-US"/>
        </w:rPr>
        <w:t>.</w:t>
      </w:r>
      <w:r w:rsidR="0032286C">
        <w:rPr>
          <w:lang w:eastAsia="en-US"/>
        </w:rPr>
        <w:t xml:space="preserve"> Deze is eerder ook gedeeld met de stelselpartijen.</w:t>
      </w:r>
      <w:r w:rsidRPr="00AC42DF" w:rsidR="00AC42DF">
        <w:rPr>
          <w:lang w:eastAsia="en-US"/>
        </w:rPr>
        <w:t xml:space="preserve"> </w:t>
      </w:r>
      <w:r w:rsidR="0032286C">
        <w:rPr>
          <w:lang w:eastAsia="en-US"/>
        </w:rPr>
        <w:t xml:space="preserve">Kort </w:t>
      </w:r>
      <w:r w:rsidRPr="00AC42DF" w:rsidR="00AC42DF">
        <w:rPr>
          <w:lang w:eastAsia="en-US"/>
        </w:rPr>
        <w:t>gezegd betekent de stelselverantwoordelijkheid dat de staatssecretaris:</w:t>
      </w:r>
    </w:p>
    <w:p w:rsidR="00AC42DF" w:rsidP="00AC42DF" w:rsidRDefault="00AC42DF" w14:paraId="0712EA07" w14:textId="77777777">
      <w:pPr>
        <w:pStyle w:val="ListParagraph"/>
        <w:numPr>
          <w:ilvl w:val="0"/>
          <w:numId w:val="33"/>
        </w:numPr>
        <w:rPr>
          <w:lang w:eastAsia="en-US"/>
        </w:rPr>
      </w:pPr>
      <w:r w:rsidRPr="00AC42DF">
        <w:rPr>
          <w:lang w:eastAsia="en-US"/>
        </w:rPr>
        <w:t>aanspreekbaar is op een duidelijke toedeling van taken en bevoegdheden;</w:t>
      </w:r>
    </w:p>
    <w:p w:rsidR="00AC42DF" w:rsidP="00AC42DF" w:rsidRDefault="00AC42DF" w14:paraId="67B8C8E8" w14:textId="77777777">
      <w:pPr>
        <w:pStyle w:val="ListParagraph"/>
        <w:numPr>
          <w:ilvl w:val="0"/>
          <w:numId w:val="33"/>
        </w:numPr>
        <w:rPr>
          <w:lang w:eastAsia="en-US"/>
        </w:rPr>
      </w:pPr>
      <w:r w:rsidRPr="00AC42DF">
        <w:rPr>
          <w:lang w:eastAsia="en-US"/>
        </w:rPr>
        <w:t>moet zorgen voor heldere kaders voor de uitvoering;</w:t>
      </w:r>
    </w:p>
    <w:p w:rsidR="00AC42DF" w:rsidP="00AC42DF" w:rsidRDefault="00AC42DF" w14:paraId="18029FDB" w14:textId="77777777">
      <w:pPr>
        <w:pStyle w:val="ListParagraph"/>
        <w:numPr>
          <w:ilvl w:val="0"/>
          <w:numId w:val="33"/>
        </w:numPr>
        <w:rPr>
          <w:lang w:eastAsia="en-US"/>
        </w:rPr>
      </w:pPr>
      <w:r w:rsidRPr="00AC42DF">
        <w:rPr>
          <w:lang w:eastAsia="en-US"/>
        </w:rPr>
        <w:t>ervoor moet zorgen dat de voorwaarden worden geschapen waaronder het stelsel goed</w:t>
      </w:r>
      <w:r>
        <w:rPr>
          <w:lang w:eastAsia="en-US"/>
        </w:rPr>
        <w:t xml:space="preserve"> </w:t>
      </w:r>
      <w:r w:rsidRPr="00AC42DF">
        <w:rPr>
          <w:lang w:eastAsia="en-US"/>
        </w:rPr>
        <w:t>kan functioneren;</w:t>
      </w:r>
    </w:p>
    <w:p w:rsidR="00AC42DF" w:rsidP="00AC42DF" w:rsidRDefault="00AC42DF" w14:paraId="3567AED0" w14:textId="77777777">
      <w:pPr>
        <w:pStyle w:val="ListParagraph"/>
        <w:numPr>
          <w:ilvl w:val="0"/>
          <w:numId w:val="33"/>
        </w:numPr>
        <w:rPr>
          <w:lang w:eastAsia="en-US"/>
        </w:rPr>
      </w:pPr>
      <w:r w:rsidRPr="00AC42DF">
        <w:rPr>
          <w:lang w:eastAsia="en-US"/>
        </w:rPr>
        <w:t>met enige regelmaat een gerichte monitoring en tweejaarlijks een evaluatie uitvoert van</w:t>
      </w:r>
      <w:r>
        <w:rPr>
          <w:lang w:eastAsia="en-US"/>
        </w:rPr>
        <w:t xml:space="preserve"> </w:t>
      </w:r>
      <w:r w:rsidRPr="00AC42DF">
        <w:rPr>
          <w:lang w:eastAsia="en-US"/>
        </w:rPr>
        <w:t>het functioneren van (onderdelen van) het stelsel en de bereikte resultaten;</w:t>
      </w:r>
    </w:p>
    <w:p w:rsidRPr="00AC42DF" w:rsidR="00AC42DF" w:rsidP="00AC42DF" w:rsidRDefault="00AC42DF" w14:paraId="5FB2C0DA" w14:textId="3D7AFF32">
      <w:pPr>
        <w:pStyle w:val="ListParagraph"/>
        <w:numPr>
          <w:ilvl w:val="0"/>
          <w:numId w:val="33"/>
        </w:numPr>
        <w:rPr>
          <w:lang w:eastAsia="en-US"/>
        </w:rPr>
      </w:pPr>
      <w:r w:rsidRPr="00AC42DF">
        <w:rPr>
          <w:lang w:eastAsia="en-US"/>
        </w:rPr>
        <w:t>in de benodigde condities voorziet waaronder het bestuursrechtelijk handhavingsstelsel</w:t>
      </w:r>
      <w:r>
        <w:rPr>
          <w:lang w:eastAsia="en-US"/>
        </w:rPr>
        <w:t xml:space="preserve"> </w:t>
      </w:r>
      <w:r w:rsidRPr="00AC42DF">
        <w:rPr>
          <w:lang w:eastAsia="en-US"/>
        </w:rPr>
        <w:t xml:space="preserve">goed kan functioneren. Het gaat dan niet alleen om de financiën </w:t>
      </w:r>
      <w:r w:rsidR="008B64F3">
        <w:rPr>
          <w:lang w:eastAsia="en-US"/>
        </w:rPr>
        <w:t xml:space="preserve">(in geval van extra taken) </w:t>
      </w:r>
      <w:r w:rsidRPr="00AC42DF">
        <w:rPr>
          <w:lang w:eastAsia="en-US"/>
        </w:rPr>
        <w:t>en centrale</w:t>
      </w:r>
      <w:r>
        <w:rPr>
          <w:lang w:eastAsia="en-US"/>
        </w:rPr>
        <w:t xml:space="preserve"> </w:t>
      </w:r>
      <w:r w:rsidRPr="00AC42DF">
        <w:rPr>
          <w:lang w:eastAsia="en-US"/>
        </w:rPr>
        <w:t xml:space="preserve">kennisbronnen, maar ook om het aanwezig zijn van voldoende </w:t>
      </w:r>
      <w:r w:rsidRPr="00AC42DF">
        <w:rPr>
          <w:i/>
          <w:iCs/>
          <w:lang w:eastAsia="en-US"/>
        </w:rPr>
        <w:t>checks and balances</w:t>
      </w:r>
      <w:r w:rsidRPr="00AC42DF">
        <w:rPr>
          <w:lang w:eastAsia="en-US"/>
        </w:rPr>
        <w:t xml:space="preserve"> in het</w:t>
      </w:r>
      <w:r>
        <w:rPr>
          <w:lang w:eastAsia="en-US"/>
        </w:rPr>
        <w:t xml:space="preserve"> </w:t>
      </w:r>
      <w:r w:rsidRPr="00AC42DF">
        <w:rPr>
          <w:lang w:eastAsia="en-US"/>
        </w:rPr>
        <w:t xml:space="preserve">stelsel. </w:t>
      </w:r>
    </w:p>
    <w:p w:rsidR="008A2A99" w:rsidP="00AC42DF" w:rsidRDefault="008A2A99" w14:paraId="0413C85B" w14:textId="4E339115">
      <w:pPr>
        <w:rPr>
          <w:lang w:eastAsia="en-US"/>
        </w:rPr>
      </w:pPr>
    </w:p>
    <w:p w:rsidRPr="00746FCD" w:rsidR="00B32206" w:rsidP="00B32206" w:rsidRDefault="00B32206" w14:paraId="2E205A58" w14:textId="77777777">
      <w:pPr>
        <w:rPr>
          <w:b/>
          <w:bCs/>
          <w:lang w:eastAsia="en-US"/>
        </w:rPr>
      </w:pPr>
      <w:r>
        <w:rPr>
          <w:b/>
          <w:bCs/>
          <w:lang w:eastAsia="en-US"/>
        </w:rPr>
        <w:t>Basis- en plustaken omgevingsdiensten (</w:t>
      </w:r>
      <w:r w:rsidRPr="002657D2">
        <w:rPr>
          <w:b/>
          <w:bCs/>
          <w:lang w:eastAsia="en-US"/>
        </w:rPr>
        <w:t>TZ202501-074</w:t>
      </w:r>
      <w:r>
        <w:rPr>
          <w:b/>
          <w:bCs/>
          <w:lang w:eastAsia="en-US"/>
        </w:rPr>
        <w:t>)</w:t>
      </w:r>
    </w:p>
    <w:p w:rsidR="00B32206" w:rsidP="00B32206" w:rsidRDefault="00B32206" w14:paraId="2A36B272" w14:textId="77777777">
      <w:pPr>
        <w:rPr>
          <w:lang w:eastAsia="en-US"/>
        </w:rPr>
      </w:pPr>
      <w:r>
        <w:rPr>
          <w:lang w:eastAsia="en-US"/>
        </w:rPr>
        <w:t xml:space="preserve">Het lid Wingelaar heeft gevraagd om te bekijken of omgevingsdiensten </w:t>
      </w:r>
      <w:r w:rsidRPr="00386314">
        <w:rPr>
          <w:lang w:eastAsia="en-US"/>
        </w:rPr>
        <w:t>door het verschuiven van plustaken naar basistaken robuuster kunnen worden</w:t>
      </w:r>
      <w:r>
        <w:rPr>
          <w:lang w:eastAsia="en-US"/>
        </w:rPr>
        <w:t>. Het inbrengen van plusaken door provincies en gemeenten kan een positieve bijdrage leveren aan het voldoen aan de robuustheidscriteria. In de monitoring van het proces om te komen naar robuuste omgevingsdiensten worden de diensten ook bevraagd om aan te geven welke mogelijkheden zij zien om extra plustaken uit te voeren voor hun opdrachtgevers. Veel omgevingsdiensten gaan met hun opdrachtgevers in gesprek over deze mogelijkheid.</w:t>
      </w:r>
    </w:p>
    <w:p w:rsidR="00B32206" w:rsidP="00B32206" w:rsidRDefault="00B32206" w14:paraId="0F68760A" w14:textId="77777777">
      <w:pPr>
        <w:rPr>
          <w:lang w:eastAsia="en-US"/>
        </w:rPr>
      </w:pPr>
    </w:p>
    <w:p w:rsidRPr="00746FCD" w:rsidR="00B32206" w:rsidP="00B32206" w:rsidRDefault="00B32206" w14:paraId="35852112" w14:textId="36CFBB9E">
      <w:pPr>
        <w:rPr>
          <w:lang w:eastAsia="en-US"/>
        </w:rPr>
      </w:pPr>
      <w:r>
        <w:rPr>
          <w:lang w:eastAsia="en-US"/>
        </w:rPr>
        <w:t>Zoals aangegeven in de Kamerbrief van 5 december 2024 wordt gewerkt aan een wetsvoorstel om het VTH-stelsel te versterken. Op dit moment wordt onderzocht wat de mogelijkheden zijn om het basistakenpakket te verbreden en hoe dit kan worden geborgd in regelgeving. U ontvang hierover meer informatie</w:t>
      </w:r>
      <w:r w:rsidR="0000220C">
        <w:rPr>
          <w:lang w:eastAsia="en-US"/>
        </w:rPr>
        <w:t xml:space="preserve"> rond de zomer.</w:t>
      </w:r>
    </w:p>
    <w:p w:rsidRPr="005A03A5" w:rsidR="00B32206" w:rsidP="005A03A5" w:rsidRDefault="00B32206" w14:paraId="46A940A4" w14:textId="77777777">
      <w:pPr>
        <w:rPr>
          <w:b/>
          <w:bCs/>
        </w:rPr>
      </w:pPr>
    </w:p>
    <w:p w:rsidRPr="00383EDC" w:rsidR="005A03A5" w:rsidP="00383EDC" w:rsidRDefault="005A03A5" w14:paraId="173EEDA3" w14:textId="5F861939">
      <w:pPr>
        <w:rPr>
          <w:b/>
          <w:bCs/>
        </w:rPr>
      </w:pPr>
      <w:bookmarkStart w:name="_Hlk192602893" w:id="7"/>
      <w:r w:rsidRPr="005A03A5">
        <w:rPr>
          <w:b/>
          <w:bCs/>
        </w:rPr>
        <w:t xml:space="preserve">Financiering </w:t>
      </w:r>
      <w:r w:rsidR="00B92FC2">
        <w:rPr>
          <w:b/>
          <w:bCs/>
        </w:rPr>
        <w:t>van</w:t>
      </w:r>
      <w:r w:rsidR="001F46BB">
        <w:rPr>
          <w:b/>
          <w:bCs/>
        </w:rPr>
        <w:t xml:space="preserve"> versterking</w:t>
      </w:r>
      <w:r w:rsidR="003732E1">
        <w:rPr>
          <w:b/>
          <w:bCs/>
        </w:rPr>
        <w:t xml:space="preserve"> </w:t>
      </w:r>
      <w:r w:rsidR="00B92FC2">
        <w:rPr>
          <w:b/>
          <w:bCs/>
        </w:rPr>
        <w:t xml:space="preserve">van de omgevingsdiensten </w:t>
      </w:r>
      <w:r w:rsidR="00383EDC">
        <w:rPr>
          <w:b/>
          <w:bCs/>
        </w:rPr>
        <w:t>(</w:t>
      </w:r>
      <w:bookmarkStart w:name="_Hlk192578085" w:id="8"/>
      <w:r w:rsidRPr="00383EDC" w:rsidR="00383EDC">
        <w:rPr>
          <w:b/>
          <w:bCs/>
        </w:rPr>
        <w:t>TZ202501-071</w:t>
      </w:r>
      <w:bookmarkEnd w:id="8"/>
      <w:r w:rsidR="00383EDC">
        <w:rPr>
          <w:b/>
          <w:bCs/>
        </w:rPr>
        <w:t>)</w:t>
      </w:r>
    </w:p>
    <w:p w:rsidR="000379E5" w:rsidP="000B4619" w:rsidRDefault="000B4619" w14:paraId="5D09CECE" w14:textId="577CDA1F">
      <w:r w:rsidRPr="000B4619">
        <w:t xml:space="preserve">Uw </w:t>
      </w:r>
      <w:r w:rsidR="008B0FD3">
        <w:t>K</w:t>
      </w:r>
      <w:r w:rsidRPr="000B4619">
        <w:t xml:space="preserve">amer heeft gevraagd </w:t>
      </w:r>
      <w:r w:rsidR="001031CB">
        <w:t xml:space="preserve">hoe de staatssecretaris aankijkt tegen </w:t>
      </w:r>
      <w:r w:rsidRPr="000B4619">
        <w:t xml:space="preserve">de financiële middelen voor de versterking van de </w:t>
      </w:r>
      <w:r w:rsidR="001031CB">
        <w:t>o</w:t>
      </w:r>
      <w:r w:rsidRPr="000B4619">
        <w:t>mgevingsdiensten. Binnen het VTH-stelsel</w:t>
      </w:r>
      <w:r w:rsidR="00CF6320">
        <w:t xml:space="preserve"> milieu</w:t>
      </w:r>
      <w:r w:rsidRPr="000B4619">
        <w:t xml:space="preserve"> zijn de gemeenten en provincies eigenaren </w:t>
      </w:r>
      <w:r w:rsidR="00CF6320">
        <w:t xml:space="preserve">en opdrachtgevers </w:t>
      </w:r>
      <w:r w:rsidRPr="000B4619">
        <w:t xml:space="preserve">van de omgevingsdiensten. De eigenaren zijn primair verantwoordelijk voor de financiering en de kwaliteit van de omgevingsdiensten. </w:t>
      </w:r>
      <w:r w:rsidR="00707BB2">
        <w:t xml:space="preserve">Zij gebruiken daarvoor middelen uit het gemeente- en provinciefonds die door het Rijk bij algemene uitkering zijn toegekend. </w:t>
      </w:r>
      <w:r w:rsidRPr="000B4619" w:rsidR="00707BB2">
        <w:t xml:space="preserve">Bij de vorming van de omgevingsdiensten is in het Gemeentefonds </w:t>
      </w:r>
      <w:r w:rsidR="00707BB2">
        <w:t xml:space="preserve">daaraan </w:t>
      </w:r>
      <w:r w:rsidRPr="000B4619" w:rsidR="00707BB2">
        <w:t>een decentralisatie-uitkering VTH-taken ter hoogte van € 46,7 miljoen</w:t>
      </w:r>
      <w:r w:rsidRPr="000B4619" w:rsidR="00707BB2">
        <w:rPr>
          <w:vertAlign w:val="superscript"/>
        </w:rPr>
        <w:footnoteReference w:id="5"/>
      </w:r>
      <w:r w:rsidRPr="000B4619" w:rsidR="00707BB2">
        <w:t xml:space="preserve"> toegevoegd</w:t>
      </w:r>
      <w:r w:rsidR="00470C08">
        <w:t xml:space="preserve">. </w:t>
      </w:r>
      <w:r w:rsidRPr="00FA41F0" w:rsidR="00470C08">
        <w:t>De jaarlijkse indexatie wordt in zijn geheel toegevoegd aan de algemene uitkering.</w:t>
      </w:r>
      <w:r w:rsidR="00470C08">
        <w:t xml:space="preserve"> </w:t>
      </w:r>
      <w:r w:rsidR="00707BB2">
        <w:t xml:space="preserve">Deze middelen zijn voor de gemeenten en provincies vrij besteedbaar. </w:t>
      </w:r>
      <w:r w:rsidRPr="000B4619">
        <w:t>De inzet van de middelen is daarom vooral een lokale afweging van de eigenaren</w:t>
      </w:r>
      <w:r w:rsidR="000B5DF3">
        <w:t>.</w:t>
      </w:r>
      <w:r w:rsidR="00707BB2">
        <w:t xml:space="preserve"> Het is de verantwoordelijkheid van de bevoegde gezagen om vanuit deze middelen de reguliere taken van de omgevingsdiensten te financieren.</w:t>
      </w:r>
    </w:p>
    <w:p w:rsidR="00B62E7D" w:rsidP="000B4619" w:rsidRDefault="00B62E7D" w14:paraId="577D82AE" w14:textId="77777777"/>
    <w:p w:rsidRPr="00C8389C" w:rsidR="000B4619" w:rsidP="000B4619" w:rsidRDefault="00470C08" w14:paraId="7E5126D6" w14:textId="4C83889E">
      <w:r w:rsidRPr="00FA41F0">
        <w:t>Met het coalitieakkoord uit 2021 is structureel € 18 miljoen per jaar toegevoegd aan de IenW begroting</w:t>
      </w:r>
      <w:r w:rsidRPr="00FA41F0" w:rsidR="00320D4B">
        <w:t xml:space="preserve"> voor versterking van het VTH-stelsel milieu.</w:t>
      </w:r>
      <w:r w:rsidRPr="00DE44A2" w:rsidR="00320D4B">
        <w:t xml:space="preserve"> Dit is exclusief de versterking van de ILT met een bedrag van € 6 miljoen. </w:t>
      </w:r>
      <w:r w:rsidR="00B62E7D">
        <w:t>Als daartoe aanleiding is, wordt e</w:t>
      </w:r>
      <w:r w:rsidRPr="003732E1" w:rsidR="003732E1">
        <w:t xml:space="preserve">en bijdrage voor de versterking van </w:t>
      </w:r>
      <w:r w:rsidR="003732E1">
        <w:t>o</w:t>
      </w:r>
      <w:r w:rsidRPr="003732E1" w:rsidR="003732E1">
        <w:t xml:space="preserve">mgevingsdiensten uit </w:t>
      </w:r>
      <w:r w:rsidR="00B62E7D">
        <w:t>deze middelen</w:t>
      </w:r>
      <w:r w:rsidRPr="003732E1" w:rsidR="003732E1">
        <w:t xml:space="preserve"> bekostigd. </w:t>
      </w:r>
      <w:r w:rsidRPr="00DE44A2" w:rsidR="00320D4B">
        <w:t>De middelen worden in overleg met de partners zo gericht mogelijk ingezet en</w:t>
      </w:r>
      <w:r w:rsidR="0018799F">
        <w:t xml:space="preserve"> een gedeelte van de </w:t>
      </w:r>
      <w:r w:rsidR="00DC4108">
        <w:t>ingezette</w:t>
      </w:r>
      <w:r w:rsidR="0018799F">
        <w:t xml:space="preserve"> middelen komt </w:t>
      </w:r>
      <w:r w:rsidRPr="00DE44A2" w:rsidR="00320D4B">
        <w:t>direct ten goede aan de omgevingsdiensten</w:t>
      </w:r>
      <w:r w:rsidR="0018799F">
        <w:t xml:space="preserve">. </w:t>
      </w:r>
      <w:r w:rsidRPr="00C8389C" w:rsidR="003558DD">
        <w:t>In de Kamerbrief van 27 oktober 2024</w:t>
      </w:r>
      <w:r w:rsidRPr="00C8389C" w:rsidR="003558DD">
        <w:rPr>
          <w:rStyle w:val="FootnoteReference"/>
        </w:rPr>
        <w:footnoteReference w:id="6"/>
      </w:r>
      <w:r w:rsidRPr="00C8389C" w:rsidR="003558DD">
        <w:t xml:space="preserve"> is aangegeven hoe deze middelen voor 2025 worden ingezet</w:t>
      </w:r>
      <w:r w:rsidR="003558DD">
        <w:t xml:space="preserve"> en welke partijen ontvanger zijn</w:t>
      </w:r>
      <w:r w:rsidRPr="00C8389C" w:rsidR="003558DD">
        <w:t xml:space="preserve">. </w:t>
      </w:r>
      <w:r w:rsidRPr="00C8389C" w:rsidR="004F0F28">
        <w:t xml:space="preserve">De komende jaren wordt het stelsel onder andere versterkt door de aanpak van milieucriminaliteit, het verbeteren van kennis binnen het stelsel, het creëren van een digitaal stelsel VTH-milieu en het robuust maken van de omgevingsdiensten. </w:t>
      </w:r>
      <w:r w:rsidRPr="00C8389C" w:rsidR="00320D4B">
        <w:t xml:space="preserve">In de brief </w:t>
      </w:r>
      <w:r w:rsidR="003558DD">
        <w:t xml:space="preserve">van 27 oktober 2024 </w:t>
      </w:r>
      <w:r w:rsidRPr="00C8389C" w:rsidR="00320D4B">
        <w:t xml:space="preserve">is ook aangegeven op welke manier wordt verder gewerkt aan de ontwikkeling van het digitaal VTH-stelsel. </w:t>
      </w:r>
      <w:bookmarkStart w:name="_Hlk192579717" w:id="9"/>
      <w:r w:rsidRPr="00C8389C" w:rsidR="004F0F28">
        <w:t xml:space="preserve">In het programma Digitaal VTH-stelsel milieu wordt nu gewerkt aan een programmaplan waarin </w:t>
      </w:r>
      <w:r w:rsidR="00C8389C">
        <w:t xml:space="preserve">de werkzaamheden voor de komende jaren worden opgenomen. </w:t>
      </w:r>
      <w:r w:rsidR="00C83CF3">
        <w:t xml:space="preserve">Incidentele ontwikkelkosten worden op dit moment bekostigd uit de beschikbare </w:t>
      </w:r>
      <w:r w:rsidRPr="00B62E7D" w:rsidR="00C83CF3">
        <w:t>rijksmiddelen</w:t>
      </w:r>
      <w:r w:rsidRPr="00B62E7D" w:rsidR="00B62E7D">
        <w:t>.</w:t>
      </w:r>
      <w:r w:rsidRPr="00B62E7D" w:rsidR="00C83CF3">
        <w:t xml:space="preserve"> </w:t>
      </w:r>
      <w:bookmarkEnd w:id="9"/>
      <w:r w:rsidRPr="00B62E7D" w:rsidR="007E377C">
        <w:t>In</w:t>
      </w:r>
      <w:r w:rsidRPr="007E377C" w:rsidR="007E377C">
        <w:t xml:space="preserve"> het programmaplan wordt een afweging gemaakt tussen de beschikbare financiële middelen en de ambities van het programma</w:t>
      </w:r>
      <w:r w:rsidR="00FC5388">
        <w:t xml:space="preserve">. </w:t>
      </w:r>
    </w:p>
    <w:bookmarkEnd w:id="7"/>
    <w:p w:rsidR="005A03A5" w:rsidP="005A03A5" w:rsidRDefault="005A03A5" w14:paraId="348F39DC" w14:textId="77777777"/>
    <w:p w:rsidRPr="009358A9" w:rsidR="009358A9" w:rsidP="009358A9" w:rsidRDefault="009358A9" w14:paraId="5B958AA8" w14:textId="77777777">
      <w:pPr>
        <w:rPr>
          <w:b/>
          <w:bCs/>
        </w:rPr>
      </w:pPr>
      <w:r w:rsidRPr="009358A9">
        <w:rPr>
          <w:b/>
          <w:bCs/>
        </w:rPr>
        <w:t>ILT-onderzoek VTH: Adviesfunctie omgevingsdiensten</w:t>
      </w:r>
    </w:p>
    <w:p w:rsidRPr="00AB2B11" w:rsidR="007C492A" w:rsidP="007C492A" w:rsidRDefault="007C492A" w14:paraId="50E8A304" w14:textId="3CDA2313">
      <w:pPr>
        <w:autoSpaceDN/>
        <w:spacing w:line="259" w:lineRule="auto"/>
        <w:textAlignment w:val="auto"/>
        <w:rPr>
          <w:rFonts w:eastAsia="Aptos" w:cs="Calibri"/>
          <w:color w:val="auto"/>
          <w:lang w:eastAsia="en-US"/>
        </w:rPr>
      </w:pPr>
      <w:r w:rsidRPr="00AB2B11">
        <w:rPr>
          <w:rFonts w:eastAsia="Aptos" w:cs="Calibri"/>
          <w:color w:val="auto"/>
          <w:lang w:eastAsia="en-US"/>
        </w:rPr>
        <w:t xml:space="preserve">De ILT heeft een onderzoek naar </w:t>
      </w:r>
      <w:r w:rsidR="00C34038">
        <w:rPr>
          <w:rFonts w:eastAsia="Aptos" w:cs="Calibri"/>
          <w:color w:val="auto"/>
          <w:lang w:eastAsia="en-US"/>
        </w:rPr>
        <w:t xml:space="preserve">de adviesfunctie van omgevingsdiensten </w:t>
      </w:r>
      <w:r w:rsidRPr="00AB2B11">
        <w:rPr>
          <w:rFonts w:eastAsia="Aptos" w:cs="Calibri"/>
          <w:color w:val="auto"/>
          <w:lang w:eastAsia="en-US"/>
        </w:rPr>
        <w:t xml:space="preserve">afgerond. Met deze brief ontvangt de Kamer het onderzoek van de ILT </w:t>
      </w:r>
      <w:r w:rsidRPr="00763C67">
        <w:rPr>
          <w:rFonts w:eastAsia="Aptos" w:cs="Calibri"/>
          <w:color w:val="auto"/>
          <w:lang w:eastAsia="en-US"/>
        </w:rPr>
        <w:t xml:space="preserve">(bijlage </w:t>
      </w:r>
      <w:r w:rsidR="00631955">
        <w:rPr>
          <w:rFonts w:eastAsia="Aptos" w:cs="Calibri"/>
          <w:color w:val="auto"/>
          <w:lang w:eastAsia="en-US"/>
        </w:rPr>
        <w:t>5</w:t>
      </w:r>
      <w:r w:rsidRPr="00AB2B11">
        <w:rPr>
          <w:rFonts w:eastAsia="Aptos" w:cs="Calibri"/>
          <w:color w:val="auto"/>
          <w:lang w:eastAsia="en-US"/>
        </w:rPr>
        <w:t>) inclusief de</w:t>
      </w:r>
      <w:r w:rsidR="00E90A6B">
        <w:rPr>
          <w:rFonts w:eastAsia="Aptos" w:cs="Calibri"/>
          <w:color w:val="auto"/>
          <w:lang w:eastAsia="en-US"/>
        </w:rPr>
        <w:t xml:space="preserve"> </w:t>
      </w:r>
      <w:r w:rsidRPr="00AB2B11">
        <w:rPr>
          <w:rFonts w:eastAsia="Aptos" w:cs="Calibri"/>
          <w:color w:val="auto"/>
          <w:lang w:eastAsia="en-US"/>
        </w:rPr>
        <w:t>beleidsreactie van IenW</w:t>
      </w:r>
      <w:r w:rsidR="00E77960">
        <w:rPr>
          <w:rFonts w:eastAsia="Aptos" w:cs="Calibri"/>
          <w:color w:val="auto"/>
          <w:lang w:eastAsia="en-US"/>
        </w:rPr>
        <w:t xml:space="preserve"> (bijlage </w:t>
      </w:r>
      <w:r w:rsidR="00631955">
        <w:rPr>
          <w:rFonts w:eastAsia="Aptos" w:cs="Calibri"/>
          <w:color w:val="auto"/>
          <w:lang w:eastAsia="en-US"/>
        </w:rPr>
        <w:t>6</w:t>
      </w:r>
      <w:r w:rsidR="00E77960">
        <w:rPr>
          <w:rFonts w:eastAsia="Aptos" w:cs="Calibri"/>
          <w:color w:val="auto"/>
          <w:lang w:eastAsia="en-US"/>
        </w:rPr>
        <w:t>)</w:t>
      </w:r>
      <w:r w:rsidRPr="00AB2B11">
        <w:rPr>
          <w:rFonts w:eastAsia="Aptos" w:cs="Calibri"/>
          <w:color w:val="auto"/>
          <w:lang w:eastAsia="en-US"/>
        </w:rPr>
        <w:t>.</w:t>
      </w:r>
      <w:r w:rsidRPr="00AB2B11">
        <w:rPr>
          <w:rFonts w:eastAsia="Aptos" w:cs="Calibri"/>
          <w:b/>
          <w:bCs/>
          <w:color w:val="auto"/>
          <w:lang w:eastAsia="en-US"/>
        </w:rPr>
        <w:t xml:space="preserve"> </w:t>
      </w:r>
      <w:r w:rsidRPr="00CA3154" w:rsidR="00CA3154">
        <w:t xml:space="preserve"> </w:t>
      </w:r>
      <w:r w:rsidRPr="0038128C" w:rsidR="00CA3154">
        <w:rPr>
          <w:rFonts w:eastAsia="Aptos" w:cs="Calibri"/>
          <w:color w:val="auto"/>
          <w:lang w:eastAsia="en-US"/>
        </w:rPr>
        <w:t xml:space="preserve">Het ILT-rapport schetst de uitdagingen waarmee omgevingsdiensten te maken hebben bij </w:t>
      </w:r>
      <w:r w:rsidR="00CA3154">
        <w:rPr>
          <w:rFonts w:eastAsia="Aptos" w:cs="Calibri"/>
          <w:color w:val="auto"/>
          <w:lang w:eastAsia="en-US"/>
        </w:rPr>
        <w:t xml:space="preserve">de uitvoering van </w:t>
      </w:r>
      <w:r w:rsidRPr="0038128C" w:rsidR="00CA3154">
        <w:rPr>
          <w:rFonts w:eastAsia="Aptos" w:cs="Calibri"/>
          <w:color w:val="auto"/>
          <w:lang w:eastAsia="en-US"/>
        </w:rPr>
        <w:t>hun adviestaak en benoemt mogelijke verbeteringen.</w:t>
      </w:r>
    </w:p>
    <w:p w:rsidR="007C492A" w:rsidP="005A03A5" w:rsidRDefault="007C492A" w14:paraId="5EE93FCF" w14:textId="77777777"/>
    <w:p w:rsidR="00924A16" w:rsidP="00924A16" w:rsidRDefault="00924A16" w14:paraId="668EFA9D" w14:textId="77777777">
      <w:pPr>
        <w:spacing w:line="240" w:lineRule="auto"/>
      </w:pPr>
    </w:p>
    <w:p w:rsidRPr="00E4210B" w:rsidR="00E4210B" w:rsidP="00924A16" w:rsidRDefault="00E4210B" w14:paraId="4D71FA3A" w14:textId="0CBDC082">
      <w:pPr>
        <w:spacing w:line="240" w:lineRule="auto"/>
      </w:pPr>
      <w:r w:rsidRPr="00E4210B">
        <w:t xml:space="preserve">Met deze brief is de Kamer geïnformeerd over de recente ontwikkelingen </w:t>
      </w:r>
      <w:r w:rsidR="000B5DF3">
        <w:t>in</w:t>
      </w:r>
      <w:r w:rsidRPr="00E4210B" w:rsidR="000B5DF3">
        <w:t xml:space="preserve"> </w:t>
      </w:r>
      <w:r w:rsidRPr="00E4210B">
        <w:t xml:space="preserve">de versterking van het VTH-stelsel. </w:t>
      </w:r>
      <w:r w:rsidR="000B5DF3">
        <w:t xml:space="preserve">Voor daadwerkelijke versterking van het stelsel is het nodig dat alle partijen hun verantwoordelijkheid nemen en gemaakte afspraken nakomen. Hiervoor is aangegeven op welke manier de staatssecretaris van IenW zijn verantwoordelijkheid neemt. Met deze brief worden </w:t>
      </w:r>
      <w:r w:rsidR="00706083">
        <w:t>de genoemde</w:t>
      </w:r>
      <w:r w:rsidR="000B5DF3">
        <w:t xml:space="preserve"> toezeggingen </w:t>
      </w:r>
      <w:r w:rsidR="00AA1AED">
        <w:t xml:space="preserve">beschouwd </w:t>
      </w:r>
      <w:r w:rsidR="000B5DF3">
        <w:t xml:space="preserve">als afgedaan. </w:t>
      </w:r>
    </w:p>
    <w:p w:rsidRPr="005A03A5" w:rsidR="00E4210B" w:rsidP="005A03A5" w:rsidRDefault="00E4210B" w14:paraId="5C53B1FC" w14:textId="77777777"/>
    <w:p w:rsidR="00C51D7F" w:rsidRDefault="00A24338" w14:paraId="4FDCC7C6" w14:textId="2BCF619D">
      <w:pPr>
        <w:pStyle w:val="Slotzin"/>
      </w:pPr>
      <w:r>
        <w:t>Hoogachtend,</w:t>
      </w:r>
    </w:p>
    <w:p w:rsidR="00C51D7F" w:rsidRDefault="00DE44A2" w14:paraId="63E8D08B" w14:textId="558213E9">
      <w:pPr>
        <w:pStyle w:val="OndertekeningArea1"/>
      </w:pPr>
      <w:r w:rsidRPr="00DE44A2">
        <w:t>DE STAATSSECRETARIS VAN INFRASTRUCTUUR EN WATERSTAAT - OPENBAAR VERVOER EN MILIEU,</w:t>
      </w:r>
    </w:p>
    <w:p w:rsidR="00C51D7F" w:rsidRDefault="00C51D7F" w14:paraId="759547A0" w14:textId="77777777"/>
    <w:p w:rsidR="00C51D7F" w:rsidRDefault="00C51D7F" w14:paraId="7AE9AAE0" w14:textId="77777777"/>
    <w:p w:rsidR="00C51D7F" w:rsidRDefault="00C51D7F" w14:paraId="714D46FD" w14:textId="77777777"/>
    <w:p w:rsidR="00C51D7F" w:rsidRDefault="00C51D7F" w14:paraId="3CA93C3D" w14:textId="77777777"/>
    <w:p w:rsidR="00C51D7F" w:rsidRDefault="00A24338" w14:paraId="4378D264" w14:textId="77777777">
      <w:r>
        <w:t>C.A. Jansen</w:t>
      </w:r>
    </w:p>
    <w:sectPr w:rsidR="00C51D7F">
      <w:headerReference w:type="even" r:id="rId8"/>
      <w:headerReference w:type="default" r:id="rId9"/>
      <w:footerReference w:type="even"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B89D4" w14:textId="77777777" w:rsidR="00B97420" w:rsidRDefault="00B97420">
      <w:pPr>
        <w:spacing w:line="240" w:lineRule="auto"/>
      </w:pPr>
      <w:r>
        <w:separator/>
      </w:r>
    </w:p>
  </w:endnote>
  <w:endnote w:type="continuationSeparator" w:id="0">
    <w:p w14:paraId="267BB859" w14:textId="77777777" w:rsidR="00B97420" w:rsidRDefault="00B97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jaVu Sans">
    <w:altName w:val="Verdana"/>
    <w:charset w:val="00"/>
    <w:family w:val="swiss"/>
    <w:pitch w:val="variable"/>
    <w:sig w:usb0="E7002EFF" w:usb1="D200FDFF" w:usb2="0A246029" w:usb3="00000000" w:csb0="000001FF" w:csb1="00000000"/>
  </w:font>
  <w:font w:name="Lohit Hindi">
    <w:altName w:val="Cambria"/>
    <w:charset w:val="00"/>
    <w:family w:val="auto"/>
    <w:pitch w:val="default"/>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8521" w14:textId="77777777" w:rsidR="0015788A" w:rsidRDefault="001578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9060C" w14:textId="77777777" w:rsidR="0015788A" w:rsidRDefault="001578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C4678" w14:textId="77777777" w:rsidR="0015788A" w:rsidRDefault="00157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D27B3" w14:textId="77777777" w:rsidR="00B97420" w:rsidRDefault="00B97420">
      <w:pPr>
        <w:spacing w:line="240" w:lineRule="auto"/>
      </w:pPr>
      <w:r>
        <w:separator/>
      </w:r>
    </w:p>
  </w:footnote>
  <w:footnote w:type="continuationSeparator" w:id="0">
    <w:p w14:paraId="099FECED" w14:textId="77777777" w:rsidR="00B97420" w:rsidRDefault="00B97420">
      <w:pPr>
        <w:spacing w:line="240" w:lineRule="auto"/>
      </w:pPr>
      <w:r>
        <w:continuationSeparator/>
      </w:r>
    </w:p>
  </w:footnote>
  <w:footnote w:id="1">
    <w:p w14:paraId="78AD6D5A" w14:textId="72FA4D1F" w:rsidR="002A1926" w:rsidRPr="00A50D83" w:rsidRDefault="002A1926" w:rsidP="002A1926">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Kamerstuk 22343, nr. 401</w:t>
      </w:r>
      <w:r w:rsidR="00CE74AF" w:rsidRPr="00A50D83">
        <w:rPr>
          <w:rFonts w:ascii="Verdana" w:hAnsi="Verdana"/>
          <w:sz w:val="14"/>
          <w:szCs w:val="14"/>
        </w:rPr>
        <w:t>.</w:t>
      </w:r>
    </w:p>
  </w:footnote>
  <w:footnote w:id="2">
    <w:p w14:paraId="5E5AAFE2" w14:textId="489AD11D" w:rsidR="0038128C" w:rsidRDefault="0038128C">
      <w:pPr>
        <w:pStyle w:val="FootnoteText"/>
      </w:pPr>
      <w:r>
        <w:rPr>
          <w:rStyle w:val="FootnoteReference"/>
        </w:rPr>
        <w:footnoteRef/>
      </w:r>
      <w:r>
        <w:t xml:space="preserve"> </w:t>
      </w:r>
      <w:r w:rsidRPr="00A50D83">
        <w:rPr>
          <w:rFonts w:ascii="Verdana" w:hAnsi="Verdana"/>
          <w:sz w:val="14"/>
          <w:szCs w:val="14"/>
        </w:rPr>
        <w:t>Met ondergrens doelt de Commissie Van Aartsen op een zodanige omvang en inrichting van de organisatie dat omgevingsdiensten in staat zijn om hun taken op kwalitatief voldoende niveau en in onafhankelijkheid uit te voeren.</w:t>
      </w:r>
    </w:p>
  </w:footnote>
  <w:footnote w:id="3">
    <w:p w14:paraId="3FC6869A" w14:textId="035F1D79" w:rsidR="00C43D33" w:rsidRPr="00A50D83" w:rsidRDefault="00C43D33">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w:t>
      </w:r>
      <w:r w:rsidR="00CE74AF" w:rsidRPr="00A50D83">
        <w:rPr>
          <w:rFonts w:ascii="Verdana" w:hAnsi="Verdana"/>
          <w:sz w:val="14"/>
          <w:szCs w:val="14"/>
        </w:rPr>
        <w:t>Het laatste gesprek vindt dit voorjaar plaats</w:t>
      </w:r>
      <w:r w:rsidR="002B7924" w:rsidRPr="00A50D83">
        <w:rPr>
          <w:rFonts w:ascii="Verdana" w:hAnsi="Verdana"/>
          <w:sz w:val="14"/>
          <w:szCs w:val="14"/>
        </w:rPr>
        <w:t>.</w:t>
      </w:r>
    </w:p>
  </w:footnote>
  <w:footnote w:id="4">
    <w:p w14:paraId="781F73B0" w14:textId="1E211D4B" w:rsidR="00B32206" w:rsidRDefault="00B32206">
      <w:pPr>
        <w:pStyle w:val="FootnoteText"/>
      </w:pPr>
      <w:r>
        <w:rPr>
          <w:rStyle w:val="FootnoteReference"/>
        </w:rPr>
        <w:footnoteRef/>
      </w:r>
      <w:r>
        <w:t xml:space="preserve"> </w:t>
      </w:r>
      <w:r w:rsidRPr="00746FCD">
        <w:rPr>
          <w:rFonts w:ascii="Verdana" w:hAnsi="Verdana"/>
          <w:sz w:val="14"/>
          <w:szCs w:val="14"/>
        </w:rPr>
        <w:t>Kamerstuk 22 343, 394 en kamerstuk 22 343, 405</w:t>
      </w:r>
      <w:r>
        <w:rPr>
          <w:rFonts w:ascii="Verdana" w:hAnsi="Verdana"/>
          <w:sz w:val="14"/>
          <w:szCs w:val="14"/>
        </w:rPr>
        <w:t>.</w:t>
      </w:r>
    </w:p>
  </w:footnote>
  <w:footnote w:id="5">
    <w:p w14:paraId="2705F229" w14:textId="6DD8A40E" w:rsidR="00707BB2" w:rsidRPr="00A50D83" w:rsidRDefault="00707BB2" w:rsidP="00707BB2">
      <w:pPr>
        <w:pStyle w:val="FootnoteText"/>
        <w:rPr>
          <w:rFonts w:ascii="Verdana" w:hAnsi="Verdana"/>
          <w:sz w:val="14"/>
          <w:szCs w:val="14"/>
        </w:rPr>
      </w:pPr>
      <w:r w:rsidRPr="00A50D83">
        <w:rPr>
          <w:rStyle w:val="FootnoteReference"/>
          <w:rFonts w:ascii="Verdana" w:hAnsi="Verdana"/>
          <w:sz w:val="14"/>
          <w:szCs w:val="14"/>
        </w:rPr>
        <w:footnoteRef/>
      </w:r>
      <w:r w:rsidRPr="00A50D83">
        <w:rPr>
          <w:rFonts w:ascii="Verdana" w:hAnsi="Verdana"/>
          <w:sz w:val="14"/>
          <w:szCs w:val="14"/>
        </w:rPr>
        <w:t xml:space="preserve"> Kamerstuk 36 410 B, nr. 2</w:t>
      </w:r>
    </w:p>
  </w:footnote>
  <w:footnote w:id="6">
    <w:p w14:paraId="2D984FF3" w14:textId="77777777" w:rsidR="003558DD" w:rsidRPr="003732E1" w:rsidRDefault="003558DD" w:rsidP="003558DD">
      <w:pPr>
        <w:pStyle w:val="FootnoteText"/>
        <w:rPr>
          <w:rFonts w:ascii="Verdana" w:hAnsi="Verdana"/>
          <w:sz w:val="12"/>
          <w:szCs w:val="12"/>
        </w:rPr>
      </w:pPr>
      <w:r w:rsidRPr="00A50D83">
        <w:rPr>
          <w:rStyle w:val="FootnoteReference"/>
          <w:rFonts w:ascii="Verdana" w:hAnsi="Verdana"/>
          <w:sz w:val="14"/>
          <w:szCs w:val="14"/>
        </w:rPr>
        <w:footnoteRef/>
      </w:r>
      <w:r w:rsidRPr="00A50D83">
        <w:rPr>
          <w:rFonts w:ascii="Verdana" w:hAnsi="Verdana"/>
          <w:sz w:val="14"/>
          <w:szCs w:val="14"/>
        </w:rPr>
        <w:t xml:space="preserve"> Kamerstukken 22 343, nr. 401.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8B4E" w14:textId="77777777" w:rsidR="0015788A" w:rsidRDefault="001578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6FDD3" w14:textId="77777777" w:rsidR="00C51D7F" w:rsidRDefault="00A24338">
    <w:pPr>
      <w:pStyle w:val="MarginlessContainer"/>
    </w:pPr>
    <w:r>
      <w:rPr>
        <w:noProof/>
        <w:lang w:val="en-GB" w:eastAsia="en-GB"/>
      </w:rPr>
      <mc:AlternateContent>
        <mc:Choice Requires="wps">
          <w:drawing>
            <wp:anchor distT="0" distB="0" distL="0" distR="0" simplePos="0" relativeHeight="251651584" behindDoc="0" locked="1" layoutInCell="1" allowOverlap="1" wp14:anchorId="5CC1AEB7" wp14:editId="0D589C51">
              <wp:simplePos x="0" y="0"/>
              <wp:positionH relativeFrom="page">
                <wp:posOffset>5903595</wp:posOffset>
              </wp:positionH>
              <wp:positionV relativeFrom="page">
                <wp:posOffset>1907539</wp:posOffset>
              </wp:positionV>
              <wp:extent cx="1259840" cy="7991475"/>
              <wp:effectExtent l="0" t="0" r="0" b="0"/>
              <wp:wrapNone/>
              <wp:docPr id="12" name="Colofon_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54DB8D1A" w14:textId="77777777" w:rsidR="00C51D7F" w:rsidRDefault="00A24338">
                          <w:pPr>
                            <w:pStyle w:val="AfzendgegevensKop0"/>
                          </w:pPr>
                          <w:r>
                            <w:t>Ministerie van Infrastructuur en Waterstaat</w:t>
                          </w:r>
                        </w:p>
                        <w:p w14:paraId="537A789E" w14:textId="77777777" w:rsidR="00BF46E7" w:rsidRDefault="00BF46E7" w:rsidP="00BF46E7"/>
                        <w:p w14:paraId="0C165437" w14:textId="6C3482B4" w:rsidR="00BF46E7" w:rsidRPr="00A83C5A" w:rsidRDefault="00BF46E7" w:rsidP="00BF46E7">
                          <w:pPr>
                            <w:spacing w:line="0" w:lineRule="atLeast"/>
                            <w:rPr>
                              <w:b/>
                              <w:bCs/>
                              <w:sz w:val="13"/>
                              <w:szCs w:val="13"/>
                            </w:rPr>
                          </w:pPr>
                          <w:bookmarkStart w:id="10" w:name="_Hlk191569147"/>
                          <w:bookmarkStart w:id="11" w:name="_Hlk191569148"/>
                          <w:bookmarkStart w:id="12" w:name="_Hlk191569149"/>
                          <w:bookmarkStart w:id="13" w:name="_Hlk191569150"/>
                          <w:r w:rsidRPr="00A83C5A">
                            <w:rPr>
                              <w:b/>
                              <w:bCs/>
                              <w:sz w:val="13"/>
                              <w:szCs w:val="13"/>
                            </w:rPr>
                            <w:t xml:space="preserve">Ons kenmerk </w:t>
                          </w:r>
                        </w:p>
                        <w:p w14:paraId="6507CC15" w14:textId="0BACBAA3" w:rsidR="00BF46E7" w:rsidRPr="00BF46E7" w:rsidRDefault="00BF46E7" w:rsidP="00BF46E7">
                          <w:pPr>
                            <w:spacing w:line="0" w:lineRule="atLeast"/>
                            <w:rPr>
                              <w:sz w:val="13"/>
                              <w:szCs w:val="13"/>
                              <w:lang w:val="de-DE"/>
                            </w:rPr>
                          </w:pPr>
                          <w:r w:rsidRPr="00BF46E7">
                            <w:rPr>
                              <w:sz w:val="13"/>
                              <w:szCs w:val="13"/>
                              <w:lang w:val="de-DE"/>
                            </w:rPr>
                            <w:t>IENW/BSK-202</w:t>
                          </w:r>
                          <w:r>
                            <w:rPr>
                              <w:sz w:val="13"/>
                              <w:szCs w:val="13"/>
                              <w:lang w:val="de-DE"/>
                            </w:rPr>
                            <w:t>5/46661</w:t>
                          </w:r>
                          <w:bookmarkEnd w:id="10"/>
                          <w:bookmarkEnd w:id="11"/>
                          <w:bookmarkEnd w:id="12"/>
                          <w:bookmarkEnd w:id="13"/>
                        </w:p>
                      </w:txbxContent>
                    </wps:txbx>
                    <wps:bodyPr vert="horz" wrap="square" lIns="0" tIns="0" rIns="0" bIns="0" anchor="t" anchorCtr="0"/>
                  </wps:wsp>
                </a:graphicData>
              </a:graphic>
            </wp:anchor>
          </w:drawing>
        </mc:Choice>
        <mc:Fallback>
          <w:pict>
            <v:shapetype w14:anchorId="5CC1AEB7" id="_x0000_t202" coordsize="21600,21600" o:spt="202" path="m,l,21600r21600,l21600,xe">
              <v:stroke joinstyle="miter"/>
              <v:path gradientshapeok="t" o:connecttype="rect"/>
            </v:shapetype>
            <v:shape id="Colofon_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" filled="f" stroked="f">
              <v:textbox inset="0,0,0,0">
                <w:txbxContent>
                  <w:p w14:paraId="54DB8D1A" w14:textId="77777777" w:rsidR="00C51D7F" w:rsidRDefault="00A24338">
                    <w:pPr>
                      <w:pStyle w:val="AfzendgegevensKop0"/>
                    </w:pPr>
                    <w:r>
                      <w:t>Ministerie van Infrastructuur en Waterstaat</w:t>
                    </w:r>
                  </w:p>
                  <w:p w14:paraId="537A789E" w14:textId="77777777" w:rsidR="00BF46E7" w:rsidRDefault="00BF46E7" w:rsidP="00BF46E7"/>
                  <w:p w14:paraId="0C165437" w14:textId="6C3482B4" w:rsidR="00BF46E7" w:rsidRPr="00A83C5A" w:rsidRDefault="00BF46E7" w:rsidP="00BF46E7">
                    <w:pPr>
                      <w:spacing w:line="0" w:lineRule="atLeast"/>
                      <w:rPr>
                        <w:b/>
                        <w:bCs/>
                        <w:sz w:val="13"/>
                        <w:szCs w:val="13"/>
                      </w:rPr>
                    </w:pPr>
                    <w:bookmarkStart w:id="14" w:name="_Hlk191569147"/>
                    <w:bookmarkStart w:id="15" w:name="_Hlk191569148"/>
                    <w:bookmarkStart w:id="16" w:name="_Hlk191569149"/>
                    <w:bookmarkStart w:id="17" w:name="_Hlk191569150"/>
                    <w:r w:rsidRPr="00A83C5A">
                      <w:rPr>
                        <w:b/>
                        <w:bCs/>
                        <w:sz w:val="13"/>
                        <w:szCs w:val="13"/>
                      </w:rPr>
                      <w:t xml:space="preserve">Ons kenmerk </w:t>
                    </w:r>
                  </w:p>
                  <w:p w14:paraId="6507CC15" w14:textId="0BACBAA3" w:rsidR="00BF46E7" w:rsidRPr="00BF46E7" w:rsidRDefault="00BF46E7" w:rsidP="00BF46E7">
                    <w:pPr>
                      <w:spacing w:line="0" w:lineRule="atLeast"/>
                      <w:rPr>
                        <w:sz w:val="13"/>
                        <w:szCs w:val="13"/>
                        <w:lang w:val="de-DE"/>
                      </w:rPr>
                    </w:pPr>
                    <w:r w:rsidRPr="00BF46E7">
                      <w:rPr>
                        <w:sz w:val="13"/>
                        <w:szCs w:val="13"/>
                        <w:lang w:val="de-DE"/>
                      </w:rPr>
                      <w:t>IENW/BSK-202</w:t>
                    </w:r>
                    <w:r>
                      <w:rPr>
                        <w:sz w:val="13"/>
                        <w:szCs w:val="13"/>
                        <w:lang w:val="de-DE"/>
                      </w:rPr>
                      <w:t>5/46661</w:t>
                    </w:r>
                    <w:bookmarkEnd w:id="14"/>
                    <w:bookmarkEnd w:id="15"/>
                    <w:bookmarkEnd w:id="16"/>
                    <w:bookmarkEnd w:id="17"/>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1B71903E" wp14:editId="6EB75291">
              <wp:simplePos x="0" y="0"/>
              <wp:positionH relativeFrom="page">
                <wp:posOffset>5903595</wp:posOffset>
              </wp:positionH>
              <wp:positionV relativeFrom="page">
                <wp:posOffset>10223500</wp:posOffset>
              </wp:positionV>
              <wp:extent cx="1257300" cy="180975"/>
              <wp:effectExtent l="0" t="0" r="0" b="0"/>
              <wp:wrapNone/>
              <wp:docPr id="13" name="Paginanummer_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F06F75" w14:textId="548A56F6" w:rsidR="00C51D7F" w:rsidRDefault="00A24338">
                          <w:pPr>
                            <w:pStyle w:val="Referentiegegevens"/>
                          </w:pPr>
                          <w:r>
                            <w:t xml:space="preserve">Pagina </w:t>
                          </w:r>
                          <w:r>
                            <w:fldChar w:fldCharType="begin"/>
                          </w:r>
                          <w:r>
                            <w:instrText>PAGE</w:instrText>
                          </w:r>
                          <w:r>
                            <w:fldChar w:fldCharType="separate"/>
                          </w:r>
                          <w:r w:rsidR="00735893">
                            <w:rPr>
                              <w:noProof/>
                            </w:rPr>
                            <w:t>2</w:t>
                          </w:r>
                          <w:r>
                            <w:fldChar w:fldCharType="end"/>
                          </w:r>
                          <w:r>
                            <w:t xml:space="preserve"> van </w:t>
                          </w:r>
                          <w:r>
                            <w:fldChar w:fldCharType="begin"/>
                          </w:r>
                          <w:r>
                            <w:instrText>NUMPAGES</w:instrText>
                          </w:r>
                          <w:r>
                            <w:fldChar w:fldCharType="separate"/>
                          </w:r>
                          <w:r w:rsidR="002F6471">
                            <w:rPr>
                              <w:noProof/>
                            </w:rPr>
                            <w:t>1</w:t>
                          </w:r>
                          <w:r>
                            <w:fldChar w:fldCharType="end"/>
                          </w:r>
                        </w:p>
                      </w:txbxContent>
                    </wps:txbx>
                    <wps:bodyPr vert="horz" wrap="square" lIns="0" tIns="0" rIns="0" bIns="0" anchor="t" anchorCtr="0"/>
                  </wps:wsp>
                </a:graphicData>
              </a:graphic>
            </wp:anchor>
          </w:drawing>
        </mc:Choice>
        <mc:Fallback>
          <w:pict>
            <v:shape w14:anchorId="1B71903E" id="Paginanummer_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" filled="f" stroked="f">
              <v:textbox inset="0,0,0,0">
                <w:txbxContent>
                  <w:p w14:paraId="57F06F75" w14:textId="548A56F6" w:rsidR="00C51D7F" w:rsidRDefault="00A24338">
                    <w:pPr>
                      <w:pStyle w:val="Referentiegegevens"/>
                    </w:pPr>
                    <w:r>
                      <w:t xml:space="preserve">Pagina </w:t>
                    </w:r>
                    <w:r>
                      <w:fldChar w:fldCharType="begin"/>
                    </w:r>
                    <w:r>
                      <w:instrText>PAGE</w:instrText>
                    </w:r>
                    <w:r>
                      <w:fldChar w:fldCharType="separate"/>
                    </w:r>
                    <w:r w:rsidR="00735893">
                      <w:rPr>
                        <w:noProof/>
                      </w:rPr>
                      <w:t>2</w:t>
                    </w:r>
                    <w:r>
                      <w:fldChar w:fldCharType="end"/>
                    </w:r>
                    <w:r>
                      <w:t xml:space="preserve"> van </w:t>
                    </w:r>
                    <w:r>
                      <w:fldChar w:fldCharType="begin"/>
                    </w:r>
                    <w:r>
                      <w:instrText>NUMPAGES</w:instrText>
                    </w:r>
                    <w:r>
                      <w:fldChar w:fldCharType="separate"/>
                    </w:r>
                    <w:r w:rsidR="002F647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09E77FC9" wp14:editId="111E0648">
              <wp:simplePos x="0" y="0"/>
              <wp:positionH relativeFrom="page">
                <wp:posOffset>1007744</wp:posOffset>
              </wp:positionH>
              <wp:positionV relativeFrom="page">
                <wp:posOffset>10223500</wp:posOffset>
              </wp:positionV>
              <wp:extent cx="1800225" cy="180975"/>
              <wp:effectExtent l="0" t="0" r="0" b="0"/>
              <wp:wrapNone/>
              <wp:docPr id="14" name="Rubricering onder vervolgpagina"/>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56D41DDB" w14:textId="77777777" w:rsidR="00D15237" w:rsidRDefault="00D15237"/>
                      </w:txbxContent>
                    </wps:txbx>
                    <wps:bodyPr vert="horz" wrap="square" lIns="0" tIns="0" rIns="0" bIns="0" anchor="t" anchorCtr="0"/>
                  </wps:wsp>
                </a:graphicData>
              </a:graphic>
            </wp:anchor>
          </w:drawing>
        </mc:Choice>
        <mc:Fallback>
          <w:pict>
            <v:shape w14:anchorId="09E77FC9" id="Rubricering onder vervolgpagina"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" filled="f" stroked="f">
              <v:textbox inset="0,0,0,0">
                <w:txbxContent>
                  <w:p w14:paraId="56D41DDB" w14:textId="77777777" w:rsidR="00D15237" w:rsidRDefault="00D152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47E3BDD7" wp14:editId="06F6B81A">
              <wp:simplePos x="0" y="0"/>
              <wp:positionH relativeFrom="page">
                <wp:posOffset>1007744</wp:posOffset>
              </wp:positionH>
              <wp:positionV relativeFrom="page">
                <wp:posOffset>1199515</wp:posOffset>
              </wp:positionV>
              <wp:extent cx="2381250" cy="285750"/>
              <wp:effectExtent l="0" t="0" r="0" b="0"/>
              <wp:wrapNone/>
              <wp:docPr id="15" name="Merking vervolgpagina"/>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B1D1DD3" w14:textId="77777777" w:rsidR="00D15237" w:rsidRDefault="00D15237"/>
                      </w:txbxContent>
                    </wps:txbx>
                    <wps:bodyPr vert="horz" wrap="square" lIns="0" tIns="0" rIns="0" bIns="0" anchor="t" anchorCtr="0"/>
                  </wps:wsp>
                </a:graphicData>
              </a:graphic>
            </wp:anchor>
          </w:drawing>
        </mc:Choice>
        <mc:Fallback>
          <w:pict>
            <v:shape w14:anchorId="47E3BDD7" id="Merking vervolgpagina"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" filled="f" stroked="f">
              <v:textbox inset="0,0,0,0">
                <w:txbxContent>
                  <w:p w14:paraId="2B1D1DD3" w14:textId="77777777" w:rsidR="00D15237" w:rsidRDefault="00D15237"/>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668E3" w14:textId="77777777" w:rsidR="00C51D7F" w:rsidRDefault="00A24338">
    <w:pPr>
      <w:pStyle w:val="MarginlessContaine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42016C80" wp14:editId="4BAC4709">
              <wp:simplePos x="0" y="0"/>
              <wp:positionH relativeFrom="page">
                <wp:posOffset>1007744</wp:posOffset>
              </wp:positionH>
              <wp:positionV relativeFrom="page">
                <wp:posOffset>10223500</wp:posOffset>
              </wp:positionV>
              <wp:extent cx="1800225" cy="180975"/>
              <wp:effectExtent l="0" t="0" r="0" b="0"/>
              <wp:wrapNone/>
              <wp:docPr id="1" name="Rubricering onder"/>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AF82304" w14:textId="77777777" w:rsidR="00D15237" w:rsidRDefault="00D15237"/>
                      </w:txbxContent>
                    </wps:txbx>
                    <wps:bodyPr vert="horz" wrap="square" lIns="0" tIns="0" rIns="0" bIns="0" anchor="t" anchorCtr="0"/>
                  </wps:wsp>
                </a:graphicData>
              </a:graphic>
            </wp:anchor>
          </w:drawing>
        </mc:Choice>
        <mc:Fallback>
          <w:pict>
            <v:shapetype w14:anchorId="42016C80" id="_x0000_t202" coordsize="21600,21600" o:spt="202" path="m,l,21600r21600,l21600,xe">
              <v:stroke joinstyle="miter"/>
              <v:path gradientshapeok="t" o:connecttype="rect"/>
            </v:shapetype>
            <v:shape id="Rubricering onder"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" filled="f" stroked="f">
              <v:textbox inset="0,0,0,0">
                <w:txbxContent>
                  <w:p w14:paraId="0AF82304" w14:textId="77777777" w:rsidR="00D15237" w:rsidRDefault="00D152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2B2E0AA0" wp14:editId="205A5440">
              <wp:simplePos x="0" y="0"/>
              <wp:positionH relativeFrom="page">
                <wp:posOffset>5921375</wp:posOffset>
              </wp:positionH>
              <wp:positionV relativeFrom="page">
                <wp:posOffset>10223500</wp:posOffset>
              </wp:positionV>
              <wp:extent cx="1257300" cy="180975"/>
              <wp:effectExtent l="0" t="0" r="0" b="0"/>
              <wp:wrapNone/>
              <wp:docPr id="2" name="Paginanummer_2"/>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3E933C7" w14:textId="56E7D9B9" w:rsidR="00C51D7F" w:rsidRDefault="00A24338">
                          <w:pPr>
                            <w:pStyle w:val="Referentiegegevens"/>
                          </w:pPr>
                          <w:r>
                            <w:t xml:space="preserve">Pagina </w:t>
                          </w:r>
                          <w:r>
                            <w:fldChar w:fldCharType="begin"/>
                          </w:r>
                          <w:r>
                            <w:instrText>PAGE</w:instrText>
                          </w:r>
                          <w:r>
                            <w:fldChar w:fldCharType="separate"/>
                          </w:r>
                          <w:r w:rsidR="00E81181">
                            <w:rPr>
                              <w:noProof/>
                            </w:rPr>
                            <w:t>1</w:t>
                          </w:r>
                          <w:r>
                            <w:fldChar w:fldCharType="end"/>
                          </w:r>
                          <w:r>
                            <w:t xml:space="preserve"> van </w:t>
                          </w:r>
                          <w:r>
                            <w:fldChar w:fldCharType="begin"/>
                          </w:r>
                          <w:r>
                            <w:instrText>NUMPAGES</w:instrText>
                          </w:r>
                          <w:r>
                            <w:fldChar w:fldCharType="separate"/>
                          </w:r>
                          <w:r w:rsidR="00E81181">
                            <w:rPr>
                              <w:noProof/>
                            </w:rPr>
                            <w:t>1</w:t>
                          </w:r>
                          <w:r>
                            <w:fldChar w:fldCharType="end"/>
                          </w:r>
                        </w:p>
                      </w:txbxContent>
                    </wps:txbx>
                    <wps:bodyPr vert="horz" wrap="square" lIns="0" tIns="0" rIns="0" bIns="0" anchor="t" anchorCtr="0"/>
                  </wps:wsp>
                </a:graphicData>
              </a:graphic>
            </wp:anchor>
          </w:drawing>
        </mc:Choice>
        <mc:Fallback>
          <w:pict>
            <v:shape w14:anchorId="2B2E0AA0" id="Paginanummer_2"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" filled="f" stroked="f">
              <v:textbox inset="0,0,0,0">
                <w:txbxContent>
                  <w:p w14:paraId="53E933C7" w14:textId="56E7D9B9" w:rsidR="00C51D7F" w:rsidRDefault="00A24338">
                    <w:pPr>
                      <w:pStyle w:val="Referentiegegevens"/>
                    </w:pPr>
                    <w:r>
                      <w:t xml:space="preserve">Pagina </w:t>
                    </w:r>
                    <w:r>
                      <w:fldChar w:fldCharType="begin"/>
                    </w:r>
                    <w:r>
                      <w:instrText>PAGE</w:instrText>
                    </w:r>
                    <w:r>
                      <w:fldChar w:fldCharType="separate"/>
                    </w:r>
                    <w:r w:rsidR="00E81181">
                      <w:rPr>
                        <w:noProof/>
                      </w:rPr>
                      <w:t>1</w:t>
                    </w:r>
                    <w:r>
                      <w:fldChar w:fldCharType="end"/>
                    </w:r>
                    <w:r>
                      <w:t xml:space="preserve"> van </w:t>
                    </w:r>
                    <w:r>
                      <w:fldChar w:fldCharType="begin"/>
                    </w:r>
                    <w:r>
                      <w:instrText>NUMPAGES</w:instrText>
                    </w:r>
                    <w:r>
                      <w:fldChar w:fldCharType="separate"/>
                    </w:r>
                    <w:r w:rsidR="00E8118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445ED099" wp14:editId="04756403">
              <wp:simplePos x="0" y="0"/>
              <wp:positionH relativeFrom="page">
                <wp:posOffset>5921375</wp:posOffset>
              </wp:positionH>
              <wp:positionV relativeFrom="page">
                <wp:posOffset>1943735</wp:posOffset>
              </wp:positionV>
              <wp:extent cx="1259840" cy="8009890"/>
              <wp:effectExtent l="0" t="0" r="0" b="0"/>
              <wp:wrapNone/>
              <wp:docPr id="3"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BE28E1A" w14:textId="77777777" w:rsidR="00C51D7F" w:rsidRDefault="00A24338">
                          <w:pPr>
                            <w:pStyle w:val="AfzendgegevensKop0"/>
                          </w:pPr>
                          <w:r>
                            <w:t>Ministerie van Infrastructuur en Waterstaat</w:t>
                          </w:r>
                        </w:p>
                        <w:p w14:paraId="6D727B0C" w14:textId="77777777" w:rsidR="00C51D7F" w:rsidRDefault="00C51D7F">
                          <w:pPr>
                            <w:pStyle w:val="WitregelW1"/>
                          </w:pPr>
                        </w:p>
                        <w:p w14:paraId="5BE76216" w14:textId="77777777" w:rsidR="00C51D7F" w:rsidRDefault="00A24338">
                          <w:pPr>
                            <w:pStyle w:val="Afzendgegevens"/>
                          </w:pPr>
                          <w:r>
                            <w:t>Rijnstraat 8</w:t>
                          </w:r>
                        </w:p>
                        <w:p w14:paraId="56AAC107" w14:textId="77777777" w:rsidR="00C51D7F" w:rsidRPr="002F6471" w:rsidRDefault="00A24338">
                          <w:pPr>
                            <w:pStyle w:val="Afzendgegevens"/>
                            <w:rPr>
                              <w:lang w:val="de-DE"/>
                            </w:rPr>
                          </w:pPr>
                          <w:r w:rsidRPr="002F6471">
                            <w:rPr>
                              <w:lang w:val="de-DE"/>
                            </w:rPr>
                            <w:t>2515 XP  Den Haag</w:t>
                          </w:r>
                        </w:p>
                        <w:p w14:paraId="6FBC1DFB" w14:textId="77777777" w:rsidR="00C51D7F" w:rsidRPr="002F6471" w:rsidRDefault="00A24338">
                          <w:pPr>
                            <w:pStyle w:val="Afzendgegevens"/>
                            <w:rPr>
                              <w:lang w:val="de-DE"/>
                            </w:rPr>
                          </w:pPr>
                          <w:r w:rsidRPr="002F6471">
                            <w:rPr>
                              <w:lang w:val="de-DE"/>
                            </w:rPr>
                            <w:t>Postbus 20901</w:t>
                          </w:r>
                        </w:p>
                        <w:p w14:paraId="1ED70A5D" w14:textId="77777777" w:rsidR="00C51D7F" w:rsidRPr="002F6471" w:rsidRDefault="00A24338">
                          <w:pPr>
                            <w:pStyle w:val="Afzendgegevens"/>
                            <w:rPr>
                              <w:lang w:val="de-DE"/>
                            </w:rPr>
                          </w:pPr>
                          <w:r w:rsidRPr="002F6471">
                            <w:rPr>
                              <w:lang w:val="de-DE"/>
                            </w:rPr>
                            <w:t>2500 EX Den Haag</w:t>
                          </w:r>
                        </w:p>
                        <w:p w14:paraId="3AB56615" w14:textId="77777777" w:rsidR="00C51D7F" w:rsidRPr="002F6471" w:rsidRDefault="00C51D7F">
                          <w:pPr>
                            <w:pStyle w:val="WitregelW1"/>
                            <w:rPr>
                              <w:lang w:val="de-DE"/>
                            </w:rPr>
                          </w:pPr>
                        </w:p>
                        <w:p w14:paraId="5C19F45E" w14:textId="77777777" w:rsidR="00C51D7F" w:rsidRPr="002F6471" w:rsidRDefault="00A24338">
                          <w:pPr>
                            <w:pStyle w:val="Afzendgegevens"/>
                            <w:rPr>
                              <w:lang w:val="de-DE"/>
                            </w:rPr>
                          </w:pPr>
                          <w:r w:rsidRPr="002F6471">
                            <w:rPr>
                              <w:lang w:val="de-DE"/>
                            </w:rPr>
                            <w:t>T   070-456 0000</w:t>
                          </w:r>
                        </w:p>
                        <w:p w14:paraId="6AC09196" w14:textId="77777777" w:rsidR="00C51D7F" w:rsidRDefault="00A24338">
                          <w:pPr>
                            <w:pStyle w:val="Afzendgegevens"/>
                          </w:pPr>
                          <w:r>
                            <w:t>F   070-456 1111</w:t>
                          </w:r>
                        </w:p>
                        <w:p w14:paraId="2262DF53" w14:textId="77777777" w:rsidR="00BF46E7" w:rsidRDefault="00BF46E7" w:rsidP="00BF46E7"/>
                        <w:p w14:paraId="3858E421" w14:textId="77777777" w:rsidR="00BF46E7" w:rsidRPr="00A83C5A" w:rsidRDefault="00BF46E7" w:rsidP="00BF46E7">
                          <w:pPr>
                            <w:spacing w:line="0" w:lineRule="atLeast"/>
                            <w:rPr>
                              <w:b/>
                              <w:bCs/>
                              <w:sz w:val="13"/>
                              <w:szCs w:val="13"/>
                            </w:rPr>
                          </w:pPr>
                          <w:r w:rsidRPr="00A83C5A">
                            <w:rPr>
                              <w:b/>
                              <w:bCs/>
                              <w:sz w:val="13"/>
                              <w:szCs w:val="13"/>
                            </w:rPr>
                            <w:t xml:space="preserve">Ons kenmerk </w:t>
                          </w:r>
                        </w:p>
                        <w:p w14:paraId="45349257" w14:textId="77777777" w:rsidR="00BF46E7" w:rsidRPr="00A83C5A" w:rsidRDefault="00BF46E7" w:rsidP="00BF46E7">
                          <w:pPr>
                            <w:spacing w:line="0" w:lineRule="atLeast"/>
                            <w:rPr>
                              <w:sz w:val="13"/>
                              <w:szCs w:val="13"/>
                            </w:rPr>
                          </w:pPr>
                          <w:r w:rsidRPr="00A83C5A">
                            <w:rPr>
                              <w:sz w:val="13"/>
                              <w:szCs w:val="13"/>
                            </w:rPr>
                            <w:t>IENW/BSK-2025/46661</w:t>
                          </w:r>
                        </w:p>
                        <w:p w14:paraId="7619014D" w14:textId="77777777" w:rsidR="00996578" w:rsidRPr="00A83C5A" w:rsidRDefault="00996578" w:rsidP="00BF46E7">
                          <w:pPr>
                            <w:spacing w:line="0" w:lineRule="atLeast"/>
                            <w:rPr>
                              <w:sz w:val="13"/>
                              <w:szCs w:val="13"/>
                            </w:rPr>
                          </w:pPr>
                        </w:p>
                        <w:p w14:paraId="020A06DD" w14:textId="54FFB4B1" w:rsidR="00996578" w:rsidRPr="005B0A83" w:rsidRDefault="00996578" w:rsidP="00BF46E7">
                          <w:pPr>
                            <w:spacing w:line="0" w:lineRule="atLeast"/>
                            <w:rPr>
                              <w:b/>
                              <w:bCs/>
                              <w:sz w:val="13"/>
                              <w:szCs w:val="13"/>
                              <w:lang w:val="de-DE"/>
                            </w:rPr>
                          </w:pPr>
                          <w:r w:rsidRPr="005B0A83">
                            <w:rPr>
                              <w:b/>
                              <w:bCs/>
                              <w:sz w:val="13"/>
                              <w:szCs w:val="13"/>
                              <w:lang w:val="de-DE"/>
                            </w:rPr>
                            <w:t>Bijlage(n)</w:t>
                          </w:r>
                        </w:p>
                        <w:p w14:paraId="241CCA29" w14:textId="586668F1" w:rsidR="00996578" w:rsidRPr="00BF46E7" w:rsidRDefault="00514A2C" w:rsidP="00BF46E7">
                          <w:pPr>
                            <w:spacing w:line="0" w:lineRule="atLeast"/>
                            <w:rPr>
                              <w:sz w:val="13"/>
                              <w:szCs w:val="13"/>
                              <w:lang w:val="de-DE"/>
                            </w:rPr>
                          </w:pPr>
                          <w:r>
                            <w:rPr>
                              <w:sz w:val="13"/>
                              <w:szCs w:val="13"/>
                              <w:lang w:val="de-DE"/>
                            </w:rPr>
                            <w:t>6</w:t>
                          </w:r>
                        </w:p>
                        <w:p w14:paraId="12294D35" w14:textId="77777777" w:rsidR="00BF46E7" w:rsidRPr="00BF46E7" w:rsidRDefault="00BF46E7" w:rsidP="00BF46E7"/>
                      </w:txbxContent>
                    </wps:txbx>
                    <wps:bodyPr vert="horz" wrap="square" lIns="0" tIns="0" rIns="0" bIns="0" anchor="t" anchorCtr="0"/>
                  </wps:wsp>
                </a:graphicData>
              </a:graphic>
            </wp:anchor>
          </w:drawing>
        </mc:Choice>
        <mc:Fallback>
          <w:pict>
            <v:shape w14:anchorId="445ED099" id="Colofon_2"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" filled="f" stroked="f">
              <v:textbox inset="0,0,0,0">
                <w:txbxContent>
                  <w:p w14:paraId="6BE28E1A" w14:textId="77777777" w:rsidR="00C51D7F" w:rsidRDefault="00A24338">
                    <w:pPr>
                      <w:pStyle w:val="AfzendgegevensKop0"/>
                    </w:pPr>
                    <w:r>
                      <w:t>Ministerie van Infrastructuur en Waterstaat</w:t>
                    </w:r>
                  </w:p>
                  <w:p w14:paraId="6D727B0C" w14:textId="77777777" w:rsidR="00C51D7F" w:rsidRDefault="00C51D7F">
                    <w:pPr>
                      <w:pStyle w:val="WitregelW1"/>
                    </w:pPr>
                  </w:p>
                  <w:p w14:paraId="5BE76216" w14:textId="77777777" w:rsidR="00C51D7F" w:rsidRDefault="00A24338">
                    <w:pPr>
                      <w:pStyle w:val="Afzendgegevens"/>
                    </w:pPr>
                    <w:r>
                      <w:t>Rijnstraat 8</w:t>
                    </w:r>
                  </w:p>
                  <w:p w14:paraId="56AAC107" w14:textId="77777777" w:rsidR="00C51D7F" w:rsidRPr="002F6471" w:rsidRDefault="00A24338">
                    <w:pPr>
                      <w:pStyle w:val="Afzendgegevens"/>
                      <w:rPr>
                        <w:lang w:val="de-DE"/>
                      </w:rPr>
                    </w:pPr>
                    <w:r w:rsidRPr="002F6471">
                      <w:rPr>
                        <w:lang w:val="de-DE"/>
                      </w:rPr>
                      <w:t>2515 XP  Den Haag</w:t>
                    </w:r>
                  </w:p>
                  <w:p w14:paraId="6FBC1DFB" w14:textId="77777777" w:rsidR="00C51D7F" w:rsidRPr="002F6471" w:rsidRDefault="00A24338">
                    <w:pPr>
                      <w:pStyle w:val="Afzendgegevens"/>
                      <w:rPr>
                        <w:lang w:val="de-DE"/>
                      </w:rPr>
                    </w:pPr>
                    <w:r w:rsidRPr="002F6471">
                      <w:rPr>
                        <w:lang w:val="de-DE"/>
                      </w:rPr>
                      <w:t>Postbus 20901</w:t>
                    </w:r>
                  </w:p>
                  <w:p w14:paraId="1ED70A5D" w14:textId="77777777" w:rsidR="00C51D7F" w:rsidRPr="002F6471" w:rsidRDefault="00A24338">
                    <w:pPr>
                      <w:pStyle w:val="Afzendgegevens"/>
                      <w:rPr>
                        <w:lang w:val="de-DE"/>
                      </w:rPr>
                    </w:pPr>
                    <w:r w:rsidRPr="002F6471">
                      <w:rPr>
                        <w:lang w:val="de-DE"/>
                      </w:rPr>
                      <w:t>2500 EX Den Haag</w:t>
                    </w:r>
                  </w:p>
                  <w:p w14:paraId="3AB56615" w14:textId="77777777" w:rsidR="00C51D7F" w:rsidRPr="002F6471" w:rsidRDefault="00C51D7F">
                    <w:pPr>
                      <w:pStyle w:val="WitregelW1"/>
                      <w:rPr>
                        <w:lang w:val="de-DE"/>
                      </w:rPr>
                    </w:pPr>
                  </w:p>
                  <w:p w14:paraId="5C19F45E" w14:textId="77777777" w:rsidR="00C51D7F" w:rsidRPr="002F6471" w:rsidRDefault="00A24338">
                    <w:pPr>
                      <w:pStyle w:val="Afzendgegevens"/>
                      <w:rPr>
                        <w:lang w:val="de-DE"/>
                      </w:rPr>
                    </w:pPr>
                    <w:r w:rsidRPr="002F6471">
                      <w:rPr>
                        <w:lang w:val="de-DE"/>
                      </w:rPr>
                      <w:t>T   070-456 0000</w:t>
                    </w:r>
                  </w:p>
                  <w:p w14:paraId="6AC09196" w14:textId="77777777" w:rsidR="00C51D7F" w:rsidRDefault="00A24338">
                    <w:pPr>
                      <w:pStyle w:val="Afzendgegevens"/>
                    </w:pPr>
                    <w:r>
                      <w:t>F   070-456 1111</w:t>
                    </w:r>
                  </w:p>
                  <w:p w14:paraId="2262DF53" w14:textId="77777777" w:rsidR="00BF46E7" w:rsidRDefault="00BF46E7" w:rsidP="00BF46E7"/>
                  <w:p w14:paraId="3858E421" w14:textId="77777777" w:rsidR="00BF46E7" w:rsidRPr="00A83C5A" w:rsidRDefault="00BF46E7" w:rsidP="00BF46E7">
                    <w:pPr>
                      <w:spacing w:line="0" w:lineRule="atLeast"/>
                      <w:rPr>
                        <w:b/>
                        <w:bCs/>
                        <w:sz w:val="13"/>
                        <w:szCs w:val="13"/>
                      </w:rPr>
                    </w:pPr>
                    <w:r w:rsidRPr="00A83C5A">
                      <w:rPr>
                        <w:b/>
                        <w:bCs/>
                        <w:sz w:val="13"/>
                        <w:szCs w:val="13"/>
                      </w:rPr>
                      <w:t xml:space="preserve">Ons kenmerk </w:t>
                    </w:r>
                  </w:p>
                  <w:p w14:paraId="45349257" w14:textId="77777777" w:rsidR="00BF46E7" w:rsidRPr="00A83C5A" w:rsidRDefault="00BF46E7" w:rsidP="00BF46E7">
                    <w:pPr>
                      <w:spacing w:line="0" w:lineRule="atLeast"/>
                      <w:rPr>
                        <w:sz w:val="13"/>
                        <w:szCs w:val="13"/>
                      </w:rPr>
                    </w:pPr>
                    <w:r w:rsidRPr="00A83C5A">
                      <w:rPr>
                        <w:sz w:val="13"/>
                        <w:szCs w:val="13"/>
                      </w:rPr>
                      <w:t>IENW/BSK-2025/46661</w:t>
                    </w:r>
                  </w:p>
                  <w:p w14:paraId="7619014D" w14:textId="77777777" w:rsidR="00996578" w:rsidRPr="00A83C5A" w:rsidRDefault="00996578" w:rsidP="00BF46E7">
                    <w:pPr>
                      <w:spacing w:line="0" w:lineRule="atLeast"/>
                      <w:rPr>
                        <w:sz w:val="13"/>
                        <w:szCs w:val="13"/>
                      </w:rPr>
                    </w:pPr>
                  </w:p>
                  <w:p w14:paraId="020A06DD" w14:textId="54FFB4B1" w:rsidR="00996578" w:rsidRPr="005B0A83" w:rsidRDefault="00996578" w:rsidP="00BF46E7">
                    <w:pPr>
                      <w:spacing w:line="0" w:lineRule="atLeast"/>
                      <w:rPr>
                        <w:b/>
                        <w:bCs/>
                        <w:sz w:val="13"/>
                        <w:szCs w:val="13"/>
                        <w:lang w:val="de-DE"/>
                      </w:rPr>
                    </w:pPr>
                    <w:r w:rsidRPr="005B0A83">
                      <w:rPr>
                        <w:b/>
                        <w:bCs/>
                        <w:sz w:val="13"/>
                        <w:szCs w:val="13"/>
                        <w:lang w:val="de-DE"/>
                      </w:rPr>
                      <w:t>Bijlage(n)</w:t>
                    </w:r>
                  </w:p>
                  <w:p w14:paraId="241CCA29" w14:textId="586668F1" w:rsidR="00996578" w:rsidRPr="00BF46E7" w:rsidRDefault="00514A2C" w:rsidP="00BF46E7">
                    <w:pPr>
                      <w:spacing w:line="0" w:lineRule="atLeast"/>
                      <w:rPr>
                        <w:sz w:val="13"/>
                        <w:szCs w:val="13"/>
                        <w:lang w:val="de-DE"/>
                      </w:rPr>
                    </w:pPr>
                    <w:r>
                      <w:rPr>
                        <w:sz w:val="13"/>
                        <w:szCs w:val="13"/>
                        <w:lang w:val="de-DE"/>
                      </w:rPr>
                      <w:t>6</w:t>
                    </w:r>
                  </w:p>
                  <w:p w14:paraId="12294D35" w14:textId="77777777" w:rsidR="00BF46E7" w:rsidRPr="00BF46E7" w:rsidRDefault="00BF46E7" w:rsidP="00BF46E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268A862E" wp14:editId="2B4A6A4E">
              <wp:simplePos x="0" y="0"/>
              <wp:positionH relativeFrom="page">
                <wp:posOffset>3527425</wp:posOffset>
              </wp:positionH>
              <wp:positionV relativeFrom="page">
                <wp:posOffset>0</wp:posOffset>
              </wp:positionV>
              <wp:extent cx="467995" cy="1583690"/>
              <wp:effectExtent l="0" t="0" r="0" b="0"/>
              <wp:wrapNone/>
              <wp:docPr id="4" name="lint_2"/>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66404B04" w14:textId="77777777" w:rsidR="00C51D7F" w:rsidRDefault="00A24338">
                          <w:pPr>
                            <w:pStyle w:val="MarginlessContainer"/>
                          </w:pPr>
                          <w:r>
                            <w:rPr>
                              <w:noProof/>
                              <w:lang w:val="en-GB" w:eastAsia="en-GB"/>
                            </w:rPr>
                            <w:drawing>
                              <wp:inline distT="0" distB="0" distL="0" distR="0" wp14:anchorId="3EC8997C" wp14:editId="30B4F79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68A862E" id="lint_2"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" filled="f" stroked="f">
              <v:textbox inset="0,0,0,0">
                <w:txbxContent>
                  <w:p w14:paraId="66404B04" w14:textId="77777777" w:rsidR="00C51D7F" w:rsidRDefault="00A24338">
                    <w:pPr>
                      <w:pStyle w:val="MarginlessContainer"/>
                    </w:pPr>
                    <w:r>
                      <w:rPr>
                        <w:noProof/>
                        <w:lang w:val="en-GB" w:eastAsia="en-GB"/>
                      </w:rPr>
                      <w:drawing>
                        <wp:inline distT="0" distB="0" distL="0" distR="0" wp14:anchorId="3EC8997C" wp14:editId="30B4F799">
                          <wp:extent cx="467995" cy="1583865"/>
                          <wp:effectExtent l="0" t="0" r="0" b="0"/>
                          <wp:docPr id="5" name="Rijkslint"/>
                          <wp:cNvGraphicFramePr/>
                          <a:graphic xmlns:a="http://schemas.openxmlformats.org/drawingml/2006/main">
                            <a:graphicData uri="http://schemas.openxmlformats.org/drawingml/2006/picture">
                              <pic:pic xmlns:pic="http://schemas.openxmlformats.org/drawingml/2006/picture">
                                <pic:nvPicPr>
                                  <pic:cNvPr id="5" name="Rijkslint"/>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60DCF2C6" wp14:editId="175A77DD">
              <wp:simplePos x="0" y="0"/>
              <wp:positionH relativeFrom="page">
                <wp:posOffset>3995420</wp:posOffset>
              </wp:positionH>
              <wp:positionV relativeFrom="page">
                <wp:posOffset>0</wp:posOffset>
              </wp:positionV>
              <wp:extent cx="2339975" cy="1583690"/>
              <wp:effectExtent l="0" t="0" r="0" b="0"/>
              <wp:wrapNone/>
              <wp:docPr id="6"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51FDF50" w14:textId="77777777" w:rsidR="00C51D7F" w:rsidRDefault="00A24338">
                          <w:pPr>
                            <w:pStyle w:val="MarginlessContainer"/>
                          </w:pPr>
                          <w:r>
                            <w:rPr>
                              <w:noProof/>
                              <w:lang w:val="en-GB" w:eastAsia="en-GB"/>
                            </w:rPr>
                            <w:drawing>
                              <wp:inline distT="0" distB="0" distL="0" distR="0" wp14:anchorId="298B8259" wp14:editId="68145B0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0DCF2C6" id="Woordmerk_2"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" filled="f" stroked="f">
              <v:textbox inset="0,0,0,0">
                <w:txbxContent>
                  <w:p w14:paraId="251FDF50" w14:textId="77777777" w:rsidR="00C51D7F" w:rsidRDefault="00A24338">
                    <w:pPr>
                      <w:pStyle w:val="MarginlessContainer"/>
                    </w:pPr>
                    <w:r>
                      <w:rPr>
                        <w:noProof/>
                        <w:lang w:val="en-GB" w:eastAsia="en-GB"/>
                      </w:rPr>
                      <w:drawing>
                        <wp:inline distT="0" distB="0" distL="0" distR="0" wp14:anchorId="298B8259" wp14:editId="68145B09">
                          <wp:extent cx="2339975" cy="1582834"/>
                          <wp:effectExtent l="0" t="0" r="0" b="0"/>
                          <wp:docPr id="7" name="IENM_Brief_aan_Parlement"/>
                          <wp:cNvGraphicFramePr/>
                          <a:graphic xmlns:a="http://schemas.openxmlformats.org/drawingml/2006/main">
                            <a:graphicData uri="http://schemas.openxmlformats.org/drawingml/2006/picture">
                              <pic:pic xmlns:pic="http://schemas.openxmlformats.org/drawingml/2006/picture">
                                <pic:nvPicPr>
                                  <pic:cNvPr id="7"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4B51C46" wp14:editId="330A6BBE">
              <wp:simplePos x="0" y="0"/>
              <wp:positionH relativeFrom="page">
                <wp:posOffset>1007744</wp:posOffset>
              </wp:positionH>
              <wp:positionV relativeFrom="page">
                <wp:posOffset>1691639</wp:posOffset>
              </wp:positionV>
              <wp:extent cx="3563620" cy="143510"/>
              <wp:effectExtent l="0" t="0" r="0" b="0"/>
              <wp:wrapNone/>
              <wp:docPr id="8" name="Retourregel_2"/>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30045737" w14:textId="77777777" w:rsidR="00C51D7F" w:rsidRDefault="00A24338">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4B51C46" id="Retourregel_2"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" filled="f" stroked="f">
              <v:textbox inset="0,0,0,0">
                <w:txbxContent>
                  <w:p w14:paraId="30045737" w14:textId="77777777" w:rsidR="00C51D7F" w:rsidRDefault="00A24338">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31D42859" wp14:editId="331CAD62">
              <wp:simplePos x="0" y="0"/>
              <wp:positionH relativeFrom="page">
                <wp:posOffset>1007744</wp:posOffset>
              </wp:positionH>
              <wp:positionV relativeFrom="page">
                <wp:posOffset>1943735</wp:posOffset>
              </wp:positionV>
              <wp:extent cx="3491865" cy="1079500"/>
              <wp:effectExtent l="0" t="0" r="0" b="0"/>
              <wp:wrapNone/>
              <wp:docPr id="9"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60C3D7E9" w14:textId="1840CBA0" w:rsidR="00D15237" w:rsidRDefault="005D5876">
                          <w:r>
                            <w:t>De voorzitter van de Tweede Kamer</w:t>
                          </w:r>
                        </w:p>
                        <w:p w14:paraId="43107182" w14:textId="2CE63F0A" w:rsidR="005D5876" w:rsidRDefault="005D5876">
                          <w:r>
                            <w:t>Der Staten-Generaal</w:t>
                          </w:r>
                        </w:p>
                        <w:p w14:paraId="3D08C1CB" w14:textId="0AD9D062" w:rsidR="005D5876" w:rsidRDefault="005D5876">
                          <w:r>
                            <w:t>Postbus 20018</w:t>
                          </w:r>
                        </w:p>
                        <w:p w14:paraId="090F6F05" w14:textId="1E26CB30" w:rsidR="005D5876" w:rsidRDefault="005D5876">
                          <w:r>
                            <w:t>2500 EA  DEN HAAG</w:t>
                          </w:r>
                        </w:p>
                      </w:txbxContent>
                    </wps:txbx>
                    <wps:bodyPr vert="horz" wrap="square" lIns="0" tIns="0" rIns="0" bIns="0" anchor="t" anchorCtr="0"/>
                  </wps:wsp>
                </a:graphicData>
              </a:graphic>
            </wp:anchor>
          </w:drawing>
        </mc:Choice>
        <mc:Fallback>
          <w:pict>
            <v:shape w14:anchorId="31D42859" id="Toezendgegevens_2"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" filled="f" stroked="f">
              <v:textbox inset="0,0,0,0">
                <w:txbxContent>
                  <w:p w14:paraId="60C3D7E9" w14:textId="1840CBA0" w:rsidR="00D15237" w:rsidRDefault="005D5876">
                    <w:r>
                      <w:t>De voorzitter van de Tweede Kamer</w:t>
                    </w:r>
                  </w:p>
                  <w:p w14:paraId="43107182" w14:textId="2CE63F0A" w:rsidR="005D5876" w:rsidRDefault="005D5876">
                    <w:r>
                      <w:t>Der Staten-Generaal</w:t>
                    </w:r>
                  </w:p>
                  <w:p w14:paraId="3D08C1CB" w14:textId="0AD9D062" w:rsidR="005D5876" w:rsidRDefault="005D5876">
                    <w:r>
                      <w:t>Postbus 20018</w:t>
                    </w:r>
                  </w:p>
                  <w:p w14:paraId="090F6F05" w14:textId="1E26CB30" w:rsidR="005D5876" w:rsidRDefault="005D5876">
                    <w: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6E345447" wp14:editId="6892132A">
              <wp:simplePos x="0" y="0"/>
              <wp:positionH relativeFrom="page">
                <wp:posOffset>1007744</wp:posOffset>
              </wp:positionH>
              <wp:positionV relativeFrom="page">
                <wp:posOffset>3635375</wp:posOffset>
              </wp:positionV>
              <wp:extent cx="4105275" cy="629920"/>
              <wp:effectExtent l="0" t="0" r="0" b="0"/>
              <wp:wrapNone/>
              <wp:docPr id="10" name="Documentgegevens"/>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C51D7F" w14:paraId="3B2D116E" w14:textId="77777777">
                            <w:trPr>
                              <w:trHeight w:val="200"/>
                            </w:trPr>
                            <w:tc>
                              <w:tcPr>
                                <w:tcW w:w="1140" w:type="dxa"/>
                              </w:tcPr>
                              <w:p w14:paraId="0FF5B156" w14:textId="77777777" w:rsidR="00C51D7F" w:rsidRDefault="00C51D7F"/>
                            </w:tc>
                            <w:tc>
                              <w:tcPr>
                                <w:tcW w:w="5400" w:type="dxa"/>
                              </w:tcPr>
                              <w:p w14:paraId="5FA0E990" w14:textId="77777777" w:rsidR="00C51D7F" w:rsidRDefault="00C51D7F"/>
                            </w:tc>
                          </w:tr>
                          <w:tr w:rsidR="00C51D7F" w14:paraId="064EDEB4" w14:textId="77777777">
                            <w:trPr>
                              <w:trHeight w:val="240"/>
                            </w:trPr>
                            <w:tc>
                              <w:tcPr>
                                <w:tcW w:w="1140" w:type="dxa"/>
                              </w:tcPr>
                              <w:p w14:paraId="4B0273D0" w14:textId="77777777" w:rsidR="00C51D7F" w:rsidRDefault="00A24338">
                                <w:r>
                                  <w:t>Datum</w:t>
                                </w:r>
                              </w:p>
                            </w:tc>
                            <w:tc>
                              <w:tcPr>
                                <w:tcW w:w="5400" w:type="dxa"/>
                              </w:tcPr>
                              <w:p w14:paraId="3821DE03" w14:textId="4DA54BA3" w:rsidR="00C51D7F" w:rsidRDefault="00BE3E87">
                                <w:r>
                                  <w:t>15 april 2025</w:t>
                                </w:r>
                              </w:p>
                            </w:tc>
                          </w:tr>
                          <w:tr w:rsidR="00C51D7F" w14:paraId="0B2F5381" w14:textId="77777777">
                            <w:trPr>
                              <w:trHeight w:val="240"/>
                            </w:trPr>
                            <w:tc>
                              <w:tcPr>
                                <w:tcW w:w="1140" w:type="dxa"/>
                              </w:tcPr>
                              <w:p w14:paraId="1AC2490E" w14:textId="77777777" w:rsidR="00C51D7F" w:rsidRDefault="00A24338">
                                <w:r>
                                  <w:t>Betreft</w:t>
                                </w:r>
                              </w:p>
                            </w:tc>
                            <w:tc>
                              <w:tcPr>
                                <w:tcW w:w="5400" w:type="dxa"/>
                              </w:tcPr>
                              <w:p w14:paraId="2A795143" w14:textId="56BAD893" w:rsidR="00C51D7F" w:rsidRDefault="00A24338">
                                <w:r>
                                  <w:t xml:space="preserve">Voortgang versterking VTH-stelsel </w:t>
                                </w:r>
                                <w:r w:rsidR="00887CEE">
                                  <w:t>april</w:t>
                                </w:r>
                                <w:r>
                                  <w:t xml:space="preserve"> 2025</w:t>
                                </w:r>
                              </w:p>
                            </w:tc>
                          </w:tr>
                          <w:tr w:rsidR="00C51D7F" w14:paraId="7CAD77C8" w14:textId="77777777">
                            <w:trPr>
                              <w:trHeight w:val="200"/>
                            </w:trPr>
                            <w:tc>
                              <w:tcPr>
                                <w:tcW w:w="1140" w:type="dxa"/>
                              </w:tcPr>
                              <w:p w14:paraId="31A33F60" w14:textId="77777777" w:rsidR="00C51D7F" w:rsidRDefault="00C51D7F"/>
                            </w:tc>
                            <w:tc>
                              <w:tcPr>
                                <w:tcW w:w="5400" w:type="dxa"/>
                              </w:tcPr>
                              <w:p w14:paraId="5EC3129A" w14:textId="77777777" w:rsidR="00C51D7F" w:rsidRDefault="00C51D7F"/>
                            </w:tc>
                          </w:tr>
                        </w:tbl>
                        <w:p w14:paraId="25D92BB1" w14:textId="77777777" w:rsidR="00D15237" w:rsidRDefault="00D15237"/>
                      </w:txbxContent>
                    </wps:txbx>
                    <wps:bodyPr vert="horz" wrap="square" lIns="0" tIns="0" rIns="0" bIns="0" anchor="t" anchorCtr="0"/>
                  </wps:wsp>
                </a:graphicData>
              </a:graphic>
            </wp:anchor>
          </w:drawing>
        </mc:Choice>
        <mc:Fallback>
          <w:pict>
            <v:shape w14:anchorId="6E345447" id="Documentgegevens"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" filled="f" stroked="f">
              <v:textbox inset="0,0,0,0">
                <w:txbxContent>
                  <w:tbl>
                    <w:tblPr>
                      <w:tblW w:w="0" w:type="auto"/>
                      <w:tblLayout w:type="fixed"/>
                      <w:tblLook w:val="07E0" w:firstRow="1" w:lastRow="1" w:firstColumn="1" w:lastColumn="1" w:noHBand="1" w:noVBand="1"/>
                    </w:tblPr>
                    <w:tblGrid>
                      <w:gridCol w:w="1140"/>
                      <w:gridCol w:w="5400"/>
                    </w:tblGrid>
                    <w:tr w:rsidR="00C51D7F" w14:paraId="3B2D116E" w14:textId="77777777">
                      <w:trPr>
                        <w:trHeight w:val="200"/>
                      </w:trPr>
                      <w:tc>
                        <w:tcPr>
                          <w:tcW w:w="1140" w:type="dxa"/>
                        </w:tcPr>
                        <w:p w14:paraId="0FF5B156" w14:textId="77777777" w:rsidR="00C51D7F" w:rsidRDefault="00C51D7F"/>
                      </w:tc>
                      <w:tc>
                        <w:tcPr>
                          <w:tcW w:w="5400" w:type="dxa"/>
                        </w:tcPr>
                        <w:p w14:paraId="5FA0E990" w14:textId="77777777" w:rsidR="00C51D7F" w:rsidRDefault="00C51D7F"/>
                      </w:tc>
                    </w:tr>
                    <w:tr w:rsidR="00C51D7F" w14:paraId="064EDEB4" w14:textId="77777777">
                      <w:trPr>
                        <w:trHeight w:val="240"/>
                      </w:trPr>
                      <w:tc>
                        <w:tcPr>
                          <w:tcW w:w="1140" w:type="dxa"/>
                        </w:tcPr>
                        <w:p w14:paraId="4B0273D0" w14:textId="77777777" w:rsidR="00C51D7F" w:rsidRDefault="00A24338">
                          <w:r>
                            <w:t>Datum</w:t>
                          </w:r>
                        </w:p>
                      </w:tc>
                      <w:tc>
                        <w:tcPr>
                          <w:tcW w:w="5400" w:type="dxa"/>
                        </w:tcPr>
                        <w:p w14:paraId="3821DE03" w14:textId="4DA54BA3" w:rsidR="00C51D7F" w:rsidRDefault="00BE3E87">
                          <w:r>
                            <w:t>15 april 2025</w:t>
                          </w:r>
                        </w:p>
                      </w:tc>
                    </w:tr>
                    <w:tr w:rsidR="00C51D7F" w14:paraId="0B2F5381" w14:textId="77777777">
                      <w:trPr>
                        <w:trHeight w:val="240"/>
                      </w:trPr>
                      <w:tc>
                        <w:tcPr>
                          <w:tcW w:w="1140" w:type="dxa"/>
                        </w:tcPr>
                        <w:p w14:paraId="1AC2490E" w14:textId="77777777" w:rsidR="00C51D7F" w:rsidRDefault="00A24338">
                          <w:r>
                            <w:t>Betreft</w:t>
                          </w:r>
                        </w:p>
                      </w:tc>
                      <w:tc>
                        <w:tcPr>
                          <w:tcW w:w="5400" w:type="dxa"/>
                        </w:tcPr>
                        <w:p w14:paraId="2A795143" w14:textId="56BAD893" w:rsidR="00C51D7F" w:rsidRDefault="00A24338">
                          <w:r>
                            <w:t xml:space="preserve">Voortgang versterking VTH-stelsel </w:t>
                          </w:r>
                          <w:r w:rsidR="00887CEE">
                            <w:t>april</w:t>
                          </w:r>
                          <w:r>
                            <w:t xml:space="preserve"> 2025</w:t>
                          </w:r>
                        </w:p>
                      </w:tc>
                    </w:tr>
                    <w:tr w:rsidR="00C51D7F" w14:paraId="7CAD77C8" w14:textId="77777777">
                      <w:trPr>
                        <w:trHeight w:val="200"/>
                      </w:trPr>
                      <w:tc>
                        <w:tcPr>
                          <w:tcW w:w="1140" w:type="dxa"/>
                        </w:tcPr>
                        <w:p w14:paraId="31A33F60" w14:textId="77777777" w:rsidR="00C51D7F" w:rsidRDefault="00C51D7F"/>
                      </w:tc>
                      <w:tc>
                        <w:tcPr>
                          <w:tcW w:w="5400" w:type="dxa"/>
                        </w:tcPr>
                        <w:p w14:paraId="5EC3129A" w14:textId="77777777" w:rsidR="00C51D7F" w:rsidRDefault="00C51D7F"/>
                      </w:tc>
                    </w:tr>
                  </w:tbl>
                  <w:p w14:paraId="25D92BB1" w14:textId="77777777" w:rsidR="00D15237" w:rsidRDefault="00D15237"/>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6F61756" wp14:editId="69EA195A">
              <wp:simplePos x="0" y="0"/>
              <wp:positionH relativeFrom="page">
                <wp:posOffset>1007744</wp:posOffset>
              </wp:positionH>
              <wp:positionV relativeFrom="page">
                <wp:posOffset>1199515</wp:posOffset>
              </wp:positionV>
              <wp:extent cx="2381250" cy="285750"/>
              <wp:effectExtent l="0" t="0" r="0" b="0"/>
              <wp:wrapNone/>
              <wp:docPr id="11" name="Merking"/>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71D65A44" w14:textId="77777777" w:rsidR="00D15237" w:rsidRDefault="00D15237"/>
                      </w:txbxContent>
                    </wps:txbx>
                    <wps:bodyPr vert="horz" wrap="square" lIns="0" tIns="0" rIns="0" bIns="0" anchor="t" anchorCtr="0"/>
                  </wps:wsp>
                </a:graphicData>
              </a:graphic>
            </wp:anchor>
          </w:drawing>
        </mc:Choice>
        <mc:Fallback>
          <w:pict>
            <v:shape w14:anchorId="46F61756" id="Merking"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" filled="f" stroked="f">
              <v:textbox inset="0,0,0,0">
                <w:txbxContent>
                  <w:p w14:paraId="71D65A44" w14:textId="77777777" w:rsidR="00D15237" w:rsidRDefault="00D152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177010"/>
    <w:multiLevelType w:val="multilevel"/>
    <w:tmpl w:val="67847AC2"/>
    <w:name w:val="OIM Rapport Opsomminglijst"/>
    <w:lvl w:ilvl="0">
      <w:start w:val="1"/>
      <w:numFmt w:val="bullet"/>
      <w:pStyle w:val="OIMRapportNummer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A70CBFAD"/>
    <w:multiLevelType w:val="multilevel"/>
    <w:tmpl w:val="B699B08A"/>
    <w:name w:val="Huisstijl opsomming colofon en inleiding"/>
    <w:lvl w:ilvl="0">
      <w:start w:val="1"/>
      <w:numFmt w:val="bullet"/>
      <w:pStyle w:val="Huisstijl-Colofon"/>
      <w:lvlText w:val="●"/>
      <w:lvlJc w:val="left"/>
      <w:pPr>
        <w:ind w:left="0" w:firstLine="0"/>
      </w:pPr>
      <w:rPr>
        <w:color w:val="FFFFFF"/>
      </w:rPr>
    </w:lvl>
    <w:lvl w:ilvl="1">
      <w:start w:val="1"/>
      <w:numFmt w:val="bullet"/>
      <w:pStyle w:val="Huisstijl-Bijlagezletter"/>
      <w:lvlText w:val="●"/>
      <w:lvlJc w:val="left"/>
      <w:pPr>
        <w:ind w:left="-1120" w:firstLine="1120"/>
      </w:pPr>
      <w:rPr>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E1D2852"/>
    <w:multiLevelType w:val="multilevel"/>
    <w:tmpl w:val="CCAB4E95"/>
    <w:name w:val="ANVS - Opsomming"/>
    <w:lvl w:ilvl="0">
      <w:start w:val="1"/>
      <w:numFmt w:val="bullet"/>
      <w:pStyle w:val="ANVS-Opsommingstekens"/>
      <w:lvlText w:val="●"/>
      <w:lvlJc w:val="left"/>
      <w:pPr>
        <w:ind w:left="226" w:hanging="226"/>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367765F"/>
    <w:multiLevelType w:val="multilevel"/>
    <w:tmpl w:val="CC9ED466"/>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ED691C7"/>
    <w:multiLevelType w:val="multilevel"/>
    <w:tmpl w:val="50DE5077"/>
    <w:name w:val="Huisstijl nummering zonder nummer"/>
    <w:lvl w:ilvl="0">
      <w:start w:val="1"/>
      <w:numFmt w:val="bullet"/>
      <w:pStyle w:val="Huisstijl-Kopznr1"/>
      <w:lvlText w:val="●"/>
      <w:lvlJc w:val="left"/>
      <w:pPr>
        <w:ind w:left="0" w:firstLine="0"/>
      </w:pPr>
      <w:rPr>
        <w:color w:val="FFFFFF"/>
      </w:rPr>
    </w:lvl>
    <w:lvl w:ilvl="1">
      <w:start w:val="1"/>
      <w:numFmt w:val="bullet"/>
      <w:pStyle w:val="Huisstijl-Kopznr2"/>
      <w:lvlText w:val="●"/>
      <w:lvlJc w:val="left"/>
      <w:pPr>
        <w:ind w:left="0" w:firstLine="0"/>
      </w:pPr>
      <w:rPr>
        <w:color w:val="FFFFFF"/>
      </w:rPr>
    </w:lvl>
    <w:lvl w:ilvl="2">
      <w:start w:val="1"/>
      <w:numFmt w:val="bullet"/>
      <w:pStyle w:val="Huisstijl-Kopznr3"/>
      <w:lvlText w:val="●"/>
      <w:lvlJc w:val="left"/>
      <w:pPr>
        <w:ind w:left="0" w:firstLine="0"/>
      </w:pPr>
      <w:rPr>
        <w:color w:val="FFFFFF"/>
      </w:rPr>
    </w:lvl>
    <w:lvl w:ilvl="3">
      <w:start w:val="1"/>
      <w:numFmt w:val="bullet"/>
      <w:pStyle w:val="Huisstijl-Kopznr4"/>
      <w:lvlText w:val="●"/>
      <w:lvlJc w:val="left"/>
      <w:pPr>
        <w:ind w:left="0" w:firstLine="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D3013F7"/>
    <w:multiLevelType w:val="multilevel"/>
    <w:tmpl w:val="D6AE87B0"/>
    <w:name w:val="Standaard opsomming lijst"/>
    <w:lvl w:ilvl="0">
      <w:start w:val="1"/>
      <w:numFmt w:val="bullet"/>
      <w:pStyle w:val="Standaardopsomming"/>
      <w:lvlText w:val="●"/>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C9CFFF9"/>
    <w:multiLevelType w:val="multilevel"/>
    <w:tmpl w:val="1B41D508"/>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FAD1D85"/>
    <w:multiLevelType w:val="multilevel"/>
    <w:tmpl w:val="F645B669"/>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B74896F"/>
    <w:multiLevelType w:val="multilevel"/>
    <w:tmpl w:val="D5CDF2D2"/>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F5C2DE94"/>
    <w:multiLevelType w:val="multilevel"/>
    <w:tmpl w:val="43EA25D4"/>
    <w:name w:val="OIM Rapport Nummerlijst"/>
    <w:lvl w:ilvl="0">
      <w:start w:val="1"/>
      <w:numFmt w:val="decimal"/>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9AC5C4E"/>
    <w:multiLevelType w:val="multilevel"/>
    <w:tmpl w:val="D538F0C8"/>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14F5E0E"/>
    <w:multiLevelType w:val="hybridMultilevel"/>
    <w:tmpl w:val="245C2EC4"/>
    <w:lvl w:ilvl="0" w:tplc="049AFFC8">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49F6D97"/>
    <w:multiLevelType w:val="hybridMultilevel"/>
    <w:tmpl w:val="ECBA5E8E"/>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05111A59"/>
    <w:multiLevelType w:val="hybridMultilevel"/>
    <w:tmpl w:val="DE888AEA"/>
    <w:lvl w:ilvl="0" w:tplc="DD9E7F66">
      <w:start w:val="1"/>
      <w:numFmt w:val="bullet"/>
      <w:lvlText w:val=""/>
      <w:lvlJc w:val="left"/>
      <w:pPr>
        <w:ind w:left="1440" w:hanging="360"/>
      </w:pPr>
      <w:rPr>
        <w:rFonts w:ascii="Symbol" w:hAnsi="Symbol"/>
      </w:rPr>
    </w:lvl>
    <w:lvl w:ilvl="1" w:tplc="DA2428A2">
      <w:start w:val="1"/>
      <w:numFmt w:val="bullet"/>
      <w:lvlText w:val=""/>
      <w:lvlJc w:val="left"/>
      <w:pPr>
        <w:ind w:left="1440" w:hanging="360"/>
      </w:pPr>
      <w:rPr>
        <w:rFonts w:ascii="Symbol" w:hAnsi="Symbol"/>
      </w:rPr>
    </w:lvl>
    <w:lvl w:ilvl="2" w:tplc="30EC16E0">
      <w:start w:val="1"/>
      <w:numFmt w:val="bullet"/>
      <w:lvlText w:val=""/>
      <w:lvlJc w:val="left"/>
      <w:pPr>
        <w:ind w:left="1440" w:hanging="360"/>
      </w:pPr>
      <w:rPr>
        <w:rFonts w:ascii="Symbol" w:hAnsi="Symbol"/>
      </w:rPr>
    </w:lvl>
    <w:lvl w:ilvl="3" w:tplc="DB2CD016">
      <w:start w:val="1"/>
      <w:numFmt w:val="bullet"/>
      <w:lvlText w:val=""/>
      <w:lvlJc w:val="left"/>
      <w:pPr>
        <w:ind w:left="1440" w:hanging="360"/>
      </w:pPr>
      <w:rPr>
        <w:rFonts w:ascii="Symbol" w:hAnsi="Symbol"/>
      </w:rPr>
    </w:lvl>
    <w:lvl w:ilvl="4" w:tplc="937EEC42">
      <w:start w:val="1"/>
      <w:numFmt w:val="bullet"/>
      <w:lvlText w:val=""/>
      <w:lvlJc w:val="left"/>
      <w:pPr>
        <w:ind w:left="1440" w:hanging="360"/>
      </w:pPr>
      <w:rPr>
        <w:rFonts w:ascii="Symbol" w:hAnsi="Symbol"/>
      </w:rPr>
    </w:lvl>
    <w:lvl w:ilvl="5" w:tplc="222AF76A">
      <w:start w:val="1"/>
      <w:numFmt w:val="bullet"/>
      <w:lvlText w:val=""/>
      <w:lvlJc w:val="left"/>
      <w:pPr>
        <w:ind w:left="1440" w:hanging="360"/>
      </w:pPr>
      <w:rPr>
        <w:rFonts w:ascii="Symbol" w:hAnsi="Symbol"/>
      </w:rPr>
    </w:lvl>
    <w:lvl w:ilvl="6" w:tplc="5AE6C118">
      <w:start w:val="1"/>
      <w:numFmt w:val="bullet"/>
      <w:lvlText w:val=""/>
      <w:lvlJc w:val="left"/>
      <w:pPr>
        <w:ind w:left="1440" w:hanging="360"/>
      </w:pPr>
      <w:rPr>
        <w:rFonts w:ascii="Symbol" w:hAnsi="Symbol"/>
      </w:rPr>
    </w:lvl>
    <w:lvl w:ilvl="7" w:tplc="70EC6A94">
      <w:start w:val="1"/>
      <w:numFmt w:val="bullet"/>
      <w:lvlText w:val=""/>
      <w:lvlJc w:val="left"/>
      <w:pPr>
        <w:ind w:left="1440" w:hanging="360"/>
      </w:pPr>
      <w:rPr>
        <w:rFonts w:ascii="Symbol" w:hAnsi="Symbol"/>
      </w:rPr>
    </w:lvl>
    <w:lvl w:ilvl="8" w:tplc="390859F0">
      <w:start w:val="1"/>
      <w:numFmt w:val="bullet"/>
      <w:lvlText w:val=""/>
      <w:lvlJc w:val="left"/>
      <w:pPr>
        <w:ind w:left="1440" w:hanging="360"/>
      </w:pPr>
      <w:rPr>
        <w:rFonts w:ascii="Symbol" w:hAnsi="Symbol"/>
      </w:rPr>
    </w:lvl>
  </w:abstractNum>
  <w:abstractNum w:abstractNumId="14" w15:restartNumberingAfterBreak="0">
    <w:nsid w:val="09260B95"/>
    <w:multiLevelType w:val="multilevel"/>
    <w:tmpl w:val="2E014BFC"/>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204749"/>
    <w:multiLevelType w:val="multilevel"/>
    <w:tmpl w:val="2C750F97"/>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5A9E41"/>
    <w:multiLevelType w:val="multilevel"/>
    <w:tmpl w:val="D9944736"/>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5683108"/>
    <w:multiLevelType w:val="hybridMultilevel"/>
    <w:tmpl w:val="25CC6C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81850D8"/>
    <w:multiLevelType w:val="hybridMultilevel"/>
    <w:tmpl w:val="DC30CC36"/>
    <w:lvl w:ilvl="0" w:tplc="B380D68A">
      <w:start w:val="4"/>
      <w:numFmt w:val="bullet"/>
      <w:lvlText w:val="-"/>
      <w:lvlJc w:val="left"/>
      <w:pPr>
        <w:ind w:left="720" w:hanging="360"/>
      </w:pPr>
      <w:rPr>
        <w:rFonts w:ascii="Calibri" w:eastAsiaTheme="minorHAns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DD5815"/>
    <w:multiLevelType w:val="multilevel"/>
    <w:tmpl w:val="AE62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8DF2483"/>
    <w:multiLevelType w:val="hybridMultilevel"/>
    <w:tmpl w:val="C114CD4A"/>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C3530C2"/>
    <w:multiLevelType w:val="hybridMultilevel"/>
    <w:tmpl w:val="8CDEAC46"/>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D626077"/>
    <w:multiLevelType w:val="multilevel"/>
    <w:tmpl w:val="9E48D09A"/>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E313BF1"/>
    <w:multiLevelType w:val="hybridMultilevel"/>
    <w:tmpl w:val="7C429242"/>
    <w:lvl w:ilvl="0" w:tplc="B380D68A">
      <w:start w:val="4"/>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32D72885"/>
    <w:multiLevelType w:val="hybridMultilevel"/>
    <w:tmpl w:val="8FBA3E48"/>
    <w:lvl w:ilvl="0" w:tplc="803294F8">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37BF5249"/>
    <w:multiLevelType w:val="multilevel"/>
    <w:tmpl w:val="B40F74AC"/>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D62D09F"/>
    <w:multiLevelType w:val="multilevel"/>
    <w:tmpl w:val="81A9B96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2922EF3"/>
    <w:multiLevelType w:val="hybridMultilevel"/>
    <w:tmpl w:val="D8D4D81C"/>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47E283F"/>
    <w:multiLevelType w:val="multilevel"/>
    <w:tmpl w:val="6204C7C9"/>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68EC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9EE9C88"/>
    <w:multiLevelType w:val="multilevel"/>
    <w:tmpl w:val="E1A528DE"/>
    <w:name w:val="ANVS - Inhoudsopgave 9"/>
    <w:lvl w:ilvl="0">
      <w:start w:val="1"/>
      <w:numFmt w:val="bullet"/>
      <w:pStyle w:val="ANVS-Hoofdstukongenummerd"/>
      <w:lvlText w:val="●"/>
      <w:lvlJc w:val="left"/>
      <w:pPr>
        <w:ind w:left="0" w:hanging="102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BD91BE8"/>
    <w:multiLevelType w:val="hybridMultilevel"/>
    <w:tmpl w:val="B582B5FC"/>
    <w:lvl w:ilvl="0" w:tplc="42C85552">
      <w:start w:val="1"/>
      <w:numFmt w:val="bullet"/>
      <w:lvlText w:val="-"/>
      <w:lvlJc w:val="left"/>
      <w:pPr>
        <w:ind w:left="36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D6C6BBE"/>
    <w:multiLevelType w:val="hybridMultilevel"/>
    <w:tmpl w:val="92B0FED2"/>
    <w:lvl w:ilvl="0" w:tplc="0413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0DC5C5C"/>
    <w:multiLevelType w:val="hybridMultilevel"/>
    <w:tmpl w:val="0B587808"/>
    <w:lvl w:ilvl="0" w:tplc="B380D68A">
      <w:start w:val="4"/>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5B353764"/>
    <w:multiLevelType w:val="hybridMultilevel"/>
    <w:tmpl w:val="7C066150"/>
    <w:lvl w:ilvl="0" w:tplc="B380D68A">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6A1746F"/>
    <w:multiLevelType w:val="multilevel"/>
    <w:tmpl w:val="36129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706FBE2"/>
    <w:multiLevelType w:val="multilevel"/>
    <w:tmpl w:val="A0241B2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B9CACE"/>
    <w:multiLevelType w:val="multilevel"/>
    <w:tmpl w:val="7831A5FD"/>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0"/>
  </w:num>
  <w:num w:numId="3">
    <w:abstractNumId w:val="2"/>
  </w:num>
  <w:num w:numId="4">
    <w:abstractNumId w:val="37"/>
  </w:num>
  <w:num w:numId="5">
    <w:abstractNumId w:val="14"/>
  </w:num>
  <w:num w:numId="6">
    <w:abstractNumId w:val="22"/>
  </w:num>
  <w:num w:numId="7">
    <w:abstractNumId w:val="4"/>
  </w:num>
  <w:num w:numId="8">
    <w:abstractNumId w:val="1"/>
  </w:num>
  <w:num w:numId="9">
    <w:abstractNumId w:val="26"/>
  </w:num>
  <w:num w:numId="10">
    <w:abstractNumId w:val="8"/>
  </w:num>
  <w:num w:numId="11">
    <w:abstractNumId w:val="15"/>
  </w:num>
  <w:num w:numId="12">
    <w:abstractNumId w:val="25"/>
  </w:num>
  <w:num w:numId="13">
    <w:abstractNumId w:val="7"/>
  </w:num>
  <w:num w:numId="14">
    <w:abstractNumId w:val="10"/>
  </w:num>
  <w:num w:numId="15">
    <w:abstractNumId w:val="36"/>
  </w:num>
  <w:num w:numId="16">
    <w:abstractNumId w:val="6"/>
  </w:num>
  <w:num w:numId="17">
    <w:abstractNumId w:val="9"/>
  </w:num>
  <w:num w:numId="18">
    <w:abstractNumId w:val="0"/>
  </w:num>
  <w:num w:numId="19">
    <w:abstractNumId w:val="3"/>
  </w:num>
  <w:num w:numId="20">
    <w:abstractNumId w:val="28"/>
  </w:num>
  <w:num w:numId="21">
    <w:abstractNumId w:val="5"/>
  </w:num>
  <w:num w:numId="22">
    <w:abstractNumId w:val="11"/>
  </w:num>
  <w:num w:numId="23">
    <w:abstractNumId w:val="31"/>
  </w:num>
  <w:num w:numId="24">
    <w:abstractNumId w:val="24"/>
  </w:num>
  <w:num w:numId="25">
    <w:abstractNumId w:val="33"/>
  </w:num>
  <w:num w:numId="26">
    <w:abstractNumId w:val="20"/>
  </w:num>
  <w:num w:numId="27">
    <w:abstractNumId w:val="34"/>
  </w:num>
  <w:num w:numId="28">
    <w:abstractNumId w:val="29"/>
  </w:num>
  <w:num w:numId="29">
    <w:abstractNumId w:val="12"/>
  </w:num>
  <w:num w:numId="30">
    <w:abstractNumId w:val="19"/>
  </w:num>
  <w:num w:numId="31">
    <w:abstractNumId w:val="35"/>
  </w:num>
  <w:num w:numId="32">
    <w:abstractNumId w:val="23"/>
  </w:num>
  <w:num w:numId="33">
    <w:abstractNumId w:val="27"/>
  </w:num>
  <w:num w:numId="34">
    <w:abstractNumId w:val="21"/>
  </w:num>
  <w:num w:numId="35">
    <w:abstractNumId w:val="17"/>
  </w:num>
  <w:num w:numId="36">
    <w:abstractNumId w:val="32"/>
  </w:num>
  <w:num w:numId="37">
    <w:abstractNumId w:val="18"/>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471"/>
    <w:rsid w:val="0000220C"/>
    <w:rsid w:val="00012BDD"/>
    <w:rsid w:val="000147D0"/>
    <w:rsid w:val="00021E75"/>
    <w:rsid w:val="000328BF"/>
    <w:rsid w:val="000379E5"/>
    <w:rsid w:val="00042577"/>
    <w:rsid w:val="000465EC"/>
    <w:rsid w:val="000610FE"/>
    <w:rsid w:val="0006174E"/>
    <w:rsid w:val="00063A15"/>
    <w:rsid w:val="00071AD3"/>
    <w:rsid w:val="00071C39"/>
    <w:rsid w:val="00075E71"/>
    <w:rsid w:val="0008497E"/>
    <w:rsid w:val="00086D1B"/>
    <w:rsid w:val="000920EB"/>
    <w:rsid w:val="00094ED5"/>
    <w:rsid w:val="000A14EA"/>
    <w:rsid w:val="000A491B"/>
    <w:rsid w:val="000A662B"/>
    <w:rsid w:val="000B4619"/>
    <w:rsid w:val="000B4D84"/>
    <w:rsid w:val="000B5DF3"/>
    <w:rsid w:val="000C34EE"/>
    <w:rsid w:val="000C459A"/>
    <w:rsid w:val="000E0654"/>
    <w:rsid w:val="000E1D7A"/>
    <w:rsid w:val="000E323A"/>
    <w:rsid w:val="000E4A53"/>
    <w:rsid w:val="000F0FA2"/>
    <w:rsid w:val="000F1D05"/>
    <w:rsid w:val="000F4124"/>
    <w:rsid w:val="001031CB"/>
    <w:rsid w:val="00107919"/>
    <w:rsid w:val="00110633"/>
    <w:rsid w:val="00111B95"/>
    <w:rsid w:val="00116111"/>
    <w:rsid w:val="00117681"/>
    <w:rsid w:val="00124B75"/>
    <w:rsid w:val="00127789"/>
    <w:rsid w:val="001371DF"/>
    <w:rsid w:val="00141F3D"/>
    <w:rsid w:val="0015788A"/>
    <w:rsid w:val="001612E3"/>
    <w:rsid w:val="001621D9"/>
    <w:rsid w:val="001812A3"/>
    <w:rsid w:val="0018799F"/>
    <w:rsid w:val="001A1940"/>
    <w:rsid w:val="001A5963"/>
    <w:rsid w:val="001C2790"/>
    <w:rsid w:val="001C347C"/>
    <w:rsid w:val="001D0061"/>
    <w:rsid w:val="001D273A"/>
    <w:rsid w:val="001E2077"/>
    <w:rsid w:val="001E6CEB"/>
    <w:rsid w:val="001E73D6"/>
    <w:rsid w:val="001F2EB6"/>
    <w:rsid w:val="001F46BB"/>
    <w:rsid w:val="001F588F"/>
    <w:rsid w:val="00202106"/>
    <w:rsid w:val="00203E94"/>
    <w:rsid w:val="002213D7"/>
    <w:rsid w:val="00223E60"/>
    <w:rsid w:val="00242E70"/>
    <w:rsid w:val="00245D9C"/>
    <w:rsid w:val="00253A86"/>
    <w:rsid w:val="002726F0"/>
    <w:rsid w:val="002774F1"/>
    <w:rsid w:val="00296463"/>
    <w:rsid w:val="002A1926"/>
    <w:rsid w:val="002A1CDB"/>
    <w:rsid w:val="002B2A95"/>
    <w:rsid w:val="002B63F4"/>
    <w:rsid w:val="002B7924"/>
    <w:rsid w:val="002C1C82"/>
    <w:rsid w:val="002C514A"/>
    <w:rsid w:val="002C6B31"/>
    <w:rsid w:val="002C738F"/>
    <w:rsid w:val="002D207A"/>
    <w:rsid w:val="002D42F2"/>
    <w:rsid w:val="002D7971"/>
    <w:rsid w:val="002E14ED"/>
    <w:rsid w:val="002E6298"/>
    <w:rsid w:val="002E7B8F"/>
    <w:rsid w:val="002F02E5"/>
    <w:rsid w:val="002F1603"/>
    <w:rsid w:val="002F2B36"/>
    <w:rsid w:val="002F39F8"/>
    <w:rsid w:val="002F639C"/>
    <w:rsid w:val="002F6471"/>
    <w:rsid w:val="003178AA"/>
    <w:rsid w:val="00320D4B"/>
    <w:rsid w:val="003211C1"/>
    <w:rsid w:val="0032286C"/>
    <w:rsid w:val="003275A8"/>
    <w:rsid w:val="00333C94"/>
    <w:rsid w:val="003412D6"/>
    <w:rsid w:val="003457BA"/>
    <w:rsid w:val="00351897"/>
    <w:rsid w:val="00352E98"/>
    <w:rsid w:val="00355477"/>
    <w:rsid w:val="003558DD"/>
    <w:rsid w:val="003605CB"/>
    <w:rsid w:val="003612DF"/>
    <w:rsid w:val="00361946"/>
    <w:rsid w:val="003732E1"/>
    <w:rsid w:val="00373DE5"/>
    <w:rsid w:val="0038128C"/>
    <w:rsid w:val="00383EDC"/>
    <w:rsid w:val="0039708C"/>
    <w:rsid w:val="003A2BC1"/>
    <w:rsid w:val="003A3744"/>
    <w:rsid w:val="003A46EA"/>
    <w:rsid w:val="003A7134"/>
    <w:rsid w:val="003B6607"/>
    <w:rsid w:val="003B6AE5"/>
    <w:rsid w:val="003D1325"/>
    <w:rsid w:val="003D664E"/>
    <w:rsid w:val="003E69E9"/>
    <w:rsid w:val="004019BF"/>
    <w:rsid w:val="004026AC"/>
    <w:rsid w:val="00402DEC"/>
    <w:rsid w:val="00410385"/>
    <w:rsid w:val="00410FFF"/>
    <w:rsid w:val="00411F56"/>
    <w:rsid w:val="0041453B"/>
    <w:rsid w:val="00425449"/>
    <w:rsid w:val="0043135E"/>
    <w:rsid w:val="00436E67"/>
    <w:rsid w:val="00440C8A"/>
    <w:rsid w:val="00443ADE"/>
    <w:rsid w:val="00444D61"/>
    <w:rsid w:val="00445A68"/>
    <w:rsid w:val="0045131E"/>
    <w:rsid w:val="00451CBB"/>
    <w:rsid w:val="0045738B"/>
    <w:rsid w:val="00462576"/>
    <w:rsid w:val="00470C08"/>
    <w:rsid w:val="00483F61"/>
    <w:rsid w:val="004848AF"/>
    <w:rsid w:val="00493777"/>
    <w:rsid w:val="00495A87"/>
    <w:rsid w:val="00495CC9"/>
    <w:rsid w:val="004A389B"/>
    <w:rsid w:val="004E0B80"/>
    <w:rsid w:val="004F0F28"/>
    <w:rsid w:val="004F15DE"/>
    <w:rsid w:val="004F4C12"/>
    <w:rsid w:val="00501145"/>
    <w:rsid w:val="00501BAB"/>
    <w:rsid w:val="00505C94"/>
    <w:rsid w:val="005077F8"/>
    <w:rsid w:val="005079EF"/>
    <w:rsid w:val="00513B6E"/>
    <w:rsid w:val="00514A2C"/>
    <w:rsid w:val="005313A7"/>
    <w:rsid w:val="00535FB2"/>
    <w:rsid w:val="005431C5"/>
    <w:rsid w:val="00563F00"/>
    <w:rsid w:val="00582C05"/>
    <w:rsid w:val="0058650C"/>
    <w:rsid w:val="005A03A5"/>
    <w:rsid w:val="005A4323"/>
    <w:rsid w:val="005A5BA4"/>
    <w:rsid w:val="005A7032"/>
    <w:rsid w:val="005B0A83"/>
    <w:rsid w:val="005B7E40"/>
    <w:rsid w:val="005C0BA1"/>
    <w:rsid w:val="005C1D94"/>
    <w:rsid w:val="005C2E1A"/>
    <w:rsid w:val="005C345D"/>
    <w:rsid w:val="005D3C45"/>
    <w:rsid w:val="005D5876"/>
    <w:rsid w:val="005E64E8"/>
    <w:rsid w:val="005F4AAC"/>
    <w:rsid w:val="0060393D"/>
    <w:rsid w:val="006039CC"/>
    <w:rsid w:val="00612D35"/>
    <w:rsid w:val="00614064"/>
    <w:rsid w:val="00631955"/>
    <w:rsid w:val="00636466"/>
    <w:rsid w:val="00641A91"/>
    <w:rsid w:val="00641ADA"/>
    <w:rsid w:val="00646F59"/>
    <w:rsid w:val="00660A18"/>
    <w:rsid w:val="006634BE"/>
    <w:rsid w:val="00672794"/>
    <w:rsid w:val="00674C2B"/>
    <w:rsid w:val="0068611E"/>
    <w:rsid w:val="006A6FAF"/>
    <w:rsid w:val="006B1169"/>
    <w:rsid w:val="006B3AE3"/>
    <w:rsid w:val="006B4395"/>
    <w:rsid w:val="006C579D"/>
    <w:rsid w:val="006D4918"/>
    <w:rsid w:val="006D6E26"/>
    <w:rsid w:val="006F3F3E"/>
    <w:rsid w:val="006F5219"/>
    <w:rsid w:val="006F6730"/>
    <w:rsid w:val="006F79E4"/>
    <w:rsid w:val="00702B3B"/>
    <w:rsid w:val="00706083"/>
    <w:rsid w:val="00707BB2"/>
    <w:rsid w:val="00712951"/>
    <w:rsid w:val="00734E2E"/>
    <w:rsid w:val="00735893"/>
    <w:rsid w:val="00737FAE"/>
    <w:rsid w:val="00745607"/>
    <w:rsid w:val="00751358"/>
    <w:rsid w:val="00763C67"/>
    <w:rsid w:val="007664C9"/>
    <w:rsid w:val="00766CCA"/>
    <w:rsid w:val="007674A4"/>
    <w:rsid w:val="007719AF"/>
    <w:rsid w:val="00774CC4"/>
    <w:rsid w:val="00774DB4"/>
    <w:rsid w:val="00781D71"/>
    <w:rsid w:val="00785D41"/>
    <w:rsid w:val="00795371"/>
    <w:rsid w:val="00797ABB"/>
    <w:rsid w:val="007A3CB7"/>
    <w:rsid w:val="007A3EE1"/>
    <w:rsid w:val="007A4661"/>
    <w:rsid w:val="007B0BFD"/>
    <w:rsid w:val="007B0CAF"/>
    <w:rsid w:val="007C492A"/>
    <w:rsid w:val="007D0C11"/>
    <w:rsid w:val="007D4AFC"/>
    <w:rsid w:val="007E377C"/>
    <w:rsid w:val="007F2A8C"/>
    <w:rsid w:val="007F366E"/>
    <w:rsid w:val="00800CF0"/>
    <w:rsid w:val="0080754F"/>
    <w:rsid w:val="00815387"/>
    <w:rsid w:val="0081699A"/>
    <w:rsid w:val="008216C4"/>
    <w:rsid w:val="008330D3"/>
    <w:rsid w:val="00843C08"/>
    <w:rsid w:val="0084437F"/>
    <w:rsid w:val="0084651C"/>
    <w:rsid w:val="00850F76"/>
    <w:rsid w:val="008532B0"/>
    <w:rsid w:val="00866D54"/>
    <w:rsid w:val="00867F8C"/>
    <w:rsid w:val="00873A66"/>
    <w:rsid w:val="00880981"/>
    <w:rsid w:val="00885B6A"/>
    <w:rsid w:val="00887CEE"/>
    <w:rsid w:val="00890741"/>
    <w:rsid w:val="00893F55"/>
    <w:rsid w:val="008A2A99"/>
    <w:rsid w:val="008A586B"/>
    <w:rsid w:val="008A5E8F"/>
    <w:rsid w:val="008B0FD3"/>
    <w:rsid w:val="008B3217"/>
    <w:rsid w:val="008B64F3"/>
    <w:rsid w:val="008C069D"/>
    <w:rsid w:val="008D4958"/>
    <w:rsid w:val="0090162D"/>
    <w:rsid w:val="009034A0"/>
    <w:rsid w:val="00907E9C"/>
    <w:rsid w:val="00924A16"/>
    <w:rsid w:val="00925A4D"/>
    <w:rsid w:val="0093158E"/>
    <w:rsid w:val="009358A9"/>
    <w:rsid w:val="0093757A"/>
    <w:rsid w:val="00942D67"/>
    <w:rsid w:val="0095561E"/>
    <w:rsid w:val="00956257"/>
    <w:rsid w:val="00965D07"/>
    <w:rsid w:val="00975FAB"/>
    <w:rsid w:val="00992C6A"/>
    <w:rsid w:val="00996578"/>
    <w:rsid w:val="009A116E"/>
    <w:rsid w:val="009A1E77"/>
    <w:rsid w:val="009A5008"/>
    <w:rsid w:val="009B2070"/>
    <w:rsid w:val="009B30DC"/>
    <w:rsid w:val="009B477B"/>
    <w:rsid w:val="009C2969"/>
    <w:rsid w:val="009D14D9"/>
    <w:rsid w:val="009D745F"/>
    <w:rsid w:val="009E0C00"/>
    <w:rsid w:val="009E79C5"/>
    <w:rsid w:val="009E7B3D"/>
    <w:rsid w:val="009F1EF8"/>
    <w:rsid w:val="009F329D"/>
    <w:rsid w:val="009F55B1"/>
    <w:rsid w:val="009F698A"/>
    <w:rsid w:val="009F74ED"/>
    <w:rsid w:val="00A1271D"/>
    <w:rsid w:val="00A136E1"/>
    <w:rsid w:val="00A22CF8"/>
    <w:rsid w:val="00A24338"/>
    <w:rsid w:val="00A30B1A"/>
    <w:rsid w:val="00A440F4"/>
    <w:rsid w:val="00A50D83"/>
    <w:rsid w:val="00A528EF"/>
    <w:rsid w:val="00A53AF4"/>
    <w:rsid w:val="00A63DB6"/>
    <w:rsid w:val="00A65147"/>
    <w:rsid w:val="00A6786C"/>
    <w:rsid w:val="00A708BB"/>
    <w:rsid w:val="00A71EB1"/>
    <w:rsid w:val="00A81A90"/>
    <w:rsid w:val="00A83C5A"/>
    <w:rsid w:val="00A87AB5"/>
    <w:rsid w:val="00A9059F"/>
    <w:rsid w:val="00AA1AED"/>
    <w:rsid w:val="00AA2520"/>
    <w:rsid w:val="00AA68A5"/>
    <w:rsid w:val="00AA7784"/>
    <w:rsid w:val="00AB17BC"/>
    <w:rsid w:val="00AB2B11"/>
    <w:rsid w:val="00AB2DEC"/>
    <w:rsid w:val="00AC3D4F"/>
    <w:rsid w:val="00AC42DF"/>
    <w:rsid w:val="00AC60E5"/>
    <w:rsid w:val="00AD425F"/>
    <w:rsid w:val="00AD5721"/>
    <w:rsid w:val="00AE1C4A"/>
    <w:rsid w:val="00AE4477"/>
    <w:rsid w:val="00AE48F6"/>
    <w:rsid w:val="00AE4C50"/>
    <w:rsid w:val="00AF7173"/>
    <w:rsid w:val="00B10D86"/>
    <w:rsid w:val="00B2396B"/>
    <w:rsid w:val="00B32206"/>
    <w:rsid w:val="00B40620"/>
    <w:rsid w:val="00B407CB"/>
    <w:rsid w:val="00B62492"/>
    <w:rsid w:val="00B62E7D"/>
    <w:rsid w:val="00B726BF"/>
    <w:rsid w:val="00B7621A"/>
    <w:rsid w:val="00B76EDC"/>
    <w:rsid w:val="00B807D8"/>
    <w:rsid w:val="00B9082F"/>
    <w:rsid w:val="00B92FC2"/>
    <w:rsid w:val="00B948CC"/>
    <w:rsid w:val="00B972E3"/>
    <w:rsid w:val="00B97420"/>
    <w:rsid w:val="00BA18E5"/>
    <w:rsid w:val="00BA2083"/>
    <w:rsid w:val="00BB14F0"/>
    <w:rsid w:val="00BC171E"/>
    <w:rsid w:val="00BC3DC1"/>
    <w:rsid w:val="00BD118E"/>
    <w:rsid w:val="00BD5FF8"/>
    <w:rsid w:val="00BE2122"/>
    <w:rsid w:val="00BE3E87"/>
    <w:rsid w:val="00BE7518"/>
    <w:rsid w:val="00BF46E7"/>
    <w:rsid w:val="00BF6DDB"/>
    <w:rsid w:val="00BF7540"/>
    <w:rsid w:val="00C003D2"/>
    <w:rsid w:val="00C146C0"/>
    <w:rsid w:val="00C1482E"/>
    <w:rsid w:val="00C2470B"/>
    <w:rsid w:val="00C31310"/>
    <w:rsid w:val="00C32900"/>
    <w:rsid w:val="00C34038"/>
    <w:rsid w:val="00C3654F"/>
    <w:rsid w:val="00C412CA"/>
    <w:rsid w:val="00C42634"/>
    <w:rsid w:val="00C43D33"/>
    <w:rsid w:val="00C51D7F"/>
    <w:rsid w:val="00C52E3A"/>
    <w:rsid w:val="00C53467"/>
    <w:rsid w:val="00C558AE"/>
    <w:rsid w:val="00C56AE4"/>
    <w:rsid w:val="00C57DCF"/>
    <w:rsid w:val="00C701AE"/>
    <w:rsid w:val="00C71071"/>
    <w:rsid w:val="00C77B60"/>
    <w:rsid w:val="00C81A6C"/>
    <w:rsid w:val="00C8389C"/>
    <w:rsid w:val="00C83CF3"/>
    <w:rsid w:val="00C91F63"/>
    <w:rsid w:val="00C961DE"/>
    <w:rsid w:val="00C96603"/>
    <w:rsid w:val="00CA0199"/>
    <w:rsid w:val="00CA3154"/>
    <w:rsid w:val="00CA3B32"/>
    <w:rsid w:val="00CB1726"/>
    <w:rsid w:val="00CC11AC"/>
    <w:rsid w:val="00CC77F6"/>
    <w:rsid w:val="00CE74AF"/>
    <w:rsid w:val="00CF1E6B"/>
    <w:rsid w:val="00CF6320"/>
    <w:rsid w:val="00D14BD2"/>
    <w:rsid w:val="00D15237"/>
    <w:rsid w:val="00D25861"/>
    <w:rsid w:val="00D31D43"/>
    <w:rsid w:val="00D42BD0"/>
    <w:rsid w:val="00D47A1D"/>
    <w:rsid w:val="00D53BC7"/>
    <w:rsid w:val="00D62322"/>
    <w:rsid w:val="00D66DFA"/>
    <w:rsid w:val="00D70A9F"/>
    <w:rsid w:val="00D71746"/>
    <w:rsid w:val="00D732E8"/>
    <w:rsid w:val="00D866A4"/>
    <w:rsid w:val="00DB20C5"/>
    <w:rsid w:val="00DC2D8C"/>
    <w:rsid w:val="00DC4108"/>
    <w:rsid w:val="00DD18D9"/>
    <w:rsid w:val="00DD35B1"/>
    <w:rsid w:val="00DD67DF"/>
    <w:rsid w:val="00DE20E6"/>
    <w:rsid w:val="00DE44A2"/>
    <w:rsid w:val="00E05051"/>
    <w:rsid w:val="00E151DD"/>
    <w:rsid w:val="00E15A58"/>
    <w:rsid w:val="00E320D6"/>
    <w:rsid w:val="00E420CC"/>
    <w:rsid w:val="00E4210B"/>
    <w:rsid w:val="00E44758"/>
    <w:rsid w:val="00E5101E"/>
    <w:rsid w:val="00E54833"/>
    <w:rsid w:val="00E64553"/>
    <w:rsid w:val="00E70B20"/>
    <w:rsid w:val="00E77960"/>
    <w:rsid w:val="00E81181"/>
    <w:rsid w:val="00E877ED"/>
    <w:rsid w:val="00E90A6B"/>
    <w:rsid w:val="00EA5BE9"/>
    <w:rsid w:val="00EA6BDA"/>
    <w:rsid w:val="00EA74FB"/>
    <w:rsid w:val="00EB0CD7"/>
    <w:rsid w:val="00ED0E05"/>
    <w:rsid w:val="00ED3524"/>
    <w:rsid w:val="00ED4194"/>
    <w:rsid w:val="00ED58E7"/>
    <w:rsid w:val="00EE4255"/>
    <w:rsid w:val="00EF66FF"/>
    <w:rsid w:val="00F021E9"/>
    <w:rsid w:val="00F13F9E"/>
    <w:rsid w:val="00F200AD"/>
    <w:rsid w:val="00F2793D"/>
    <w:rsid w:val="00F32E84"/>
    <w:rsid w:val="00F34E69"/>
    <w:rsid w:val="00F370FF"/>
    <w:rsid w:val="00F41BEA"/>
    <w:rsid w:val="00F41EBF"/>
    <w:rsid w:val="00F462B6"/>
    <w:rsid w:val="00F604A2"/>
    <w:rsid w:val="00F609E4"/>
    <w:rsid w:val="00F735B8"/>
    <w:rsid w:val="00F8767A"/>
    <w:rsid w:val="00F97A3E"/>
    <w:rsid w:val="00FA41F0"/>
    <w:rsid w:val="00FB3C8A"/>
    <w:rsid w:val="00FB5025"/>
    <w:rsid w:val="00FC5388"/>
    <w:rsid w:val="00FD0E8D"/>
    <w:rsid w:val="00FD208E"/>
    <w:rsid w:val="00FD2B74"/>
    <w:rsid w:val="00FD4F3B"/>
    <w:rsid w:val="00FE091A"/>
    <w:rsid w:val="00FE63C6"/>
    <w:rsid w:val="00FF19E9"/>
    <w:rsid w:val="00FF2C31"/>
    <w:rsid w:val="00FF5E90"/>
    <w:rsid w:val="00FF6E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2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inlessContainer">
    <w:name w:val="Marginless Container"/>
    <w:hidden/>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line="240" w:lineRule="exact"/>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Hoofdstuknummering">
    <w:name w:val="ANVS - Hoofdstuknummering"/>
    <w:basedOn w:val="Normal"/>
    <w:next w:val="Normal"/>
    <w:pPr>
      <w:spacing w:after="700" w:line="300" w:lineRule="atLeas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Inhoudsopgave9">
    <w:name w:val="ANVS - Inhoudsopgave 9"/>
    <w:basedOn w:val="Normal"/>
    <w:next w:val="Normal"/>
    <w:pPr>
      <w:spacing w:after="700" w:line="300" w:lineRule="atLeast"/>
    </w:pPr>
    <w:rPr>
      <w:color w:val="275937"/>
      <w:sz w:val="24"/>
      <w:szCs w:val="24"/>
    </w:rPr>
  </w:style>
  <w:style w:type="paragraph" w:customStyle="1" w:styleId="ANVS-Opsomming">
    <w:name w:val="ANVS - Opsomming"/>
    <w:basedOn w:val="Normal"/>
    <w:next w:val="ANVS-Opsommingstekens"/>
    <w:pPr>
      <w:spacing w:line="240" w:lineRule="exact"/>
    </w:p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cPr>
      <w:shd w:val="clear" w:color="auto" w:fill="auto"/>
    </w:tc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opsomming">
    <w:name w:val="DP opsomming"/>
    <w:basedOn w:val="Normal"/>
    <w:next w:val="Normal"/>
    <w:pPr>
      <w:spacing w:line="240" w:lineRule="exact"/>
    </w:p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cPr>
      <w:shd w:val="clear" w:color="auto" w:fill="auto"/>
    </w:tc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tcPr>
      <w:shd w:val="clear" w:color="auto" w:fill="auto"/>
    </w:tc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5"/>
      </w:numPr>
      <w:tabs>
        <w:tab w:val="left" w:pos="0"/>
      </w:tabs>
      <w:spacing w:after="740" w:line="240" w:lineRule="exact"/>
      <w:ind w:left="-1420" w:firstLine="0"/>
    </w:pPr>
    <w:rPr>
      <w:sz w:val="24"/>
      <w:szCs w:val="24"/>
    </w:rPr>
  </w:style>
  <w:style w:type="paragraph" w:customStyle="1" w:styleId="Huisstijl-BijlageA">
    <w:name w:val="Huisstijl - Bijlage A"/>
    <w:basedOn w:val="Normal"/>
    <w:next w:val="Normal"/>
    <w:pPr>
      <w:spacing w:line="240" w:lineRule="exact"/>
    </w:pPr>
  </w:style>
  <w:style w:type="paragraph" w:customStyle="1" w:styleId="Huisstijl-Bijlagezletter">
    <w:name w:val="Huisstijl - Bijlage z. letter"/>
    <w:basedOn w:val="Normal"/>
    <w:next w:val="Normal"/>
    <w:pPr>
      <w:numPr>
        <w:ilvl w:val="1"/>
        <w:numId w:val="8"/>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8"/>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6"/>
      </w:numPr>
      <w:tabs>
        <w:tab w:val="left" w:pos="0"/>
      </w:tabs>
      <w:spacing w:after="720" w:line="300" w:lineRule="exact"/>
      <w:ind w:left="-1120"/>
    </w:pPr>
    <w:rPr>
      <w:sz w:val="24"/>
      <w:szCs w:val="24"/>
    </w:rPr>
  </w:style>
  <w:style w:type="paragraph" w:customStyle="1" w:styleId="Huisstijl-Kop2">
    <w:name w:val="Huisstijl - Kop 2"/>
    <w:basedOn w:val="Normal"/>
    <w:next w:val="Normal"/>
    <w:pPr>
      <w:numPr>
        <w:ilvl w:val="1"/>
        <w:numId w:val="6"/>
      </w:numPr>
      <w:tabs>
        <w:tab w:val="left" w:pos="0"/>
      </w:tabs>
      <w:spacing w:before="240" w:line="240" w:lineRule="exact"/>
      <w:ind w:left="-1120"/>
    </w:pPr>
    <w:rPr>
      <w:b/>
    </w:rPr>
  </w:style>
  <w:style w:type="paragraph" w:customStyle="1" w:styleId="Huisstijl-Kop3">
    <w:name w:val="Huisstijl - Kop 3"/>
    <w:basedOn w:val="Normal"/>
    <w:next w:val="Normal"/>
    <w:pPr>
      <w:numPr>
        <w:ilvl w:val="2"/>
        <w:numId w:val="6"/>
      </w:numPr>
      <w:tabs>
        <w:tab w:val="left" w:pos="0"/>
      </w:tabs>
      <w:spacing w:before="240" w:line="240" w:lineRule="exact"/>
      <w:ind w:left="-1120"/>
    </w:pPr>
    <w:rPr>
      <w:i/>
    </w:rPr>
  </w:style>
  <w:style w:type="paragraph" w:customStyle="1" w:styleId="Huisstijl-Kop4">
    <w:name w:val="Huisstijl - Kop 4"/>
    <w:basedOn w:val="Normal"/>
    <w:next w:val="Normal"/>
    <w:pPr>
      <w:numPr>
        <w:ilvl w:val="3"/>
        <w:numId w:val="6"/>
      </w:numPr>
      <w:tabs>
        <w:tab w:val="left" w:pos="0"/>
      </w:tabs>
      <w:spacing w:before="240" w:line="240" w:lineRule="exact"/>
      <w:ind w:left="-1120"/>
    </w:pPr>
  </w:style>
  <w:style w:type="paragraph" w:customStyle="1" w:styleId="Huisstijl-Kopznr1">
    <w:name w:val="Huisstijl - Kop z.nr 1"/>
    <w:basedOn w:val="Normal"/>
    <w:next w:val="Normal"/>
    <w:pPr>
      <w:numPr>
        <w:numId w:val="7"/>
      </w:numPr>
      <w:tabs>
        <w:tab w:val="left" w:pos="0"/>
      </w:tabs>
      <w:spacing w:after="720" w:line="300" w:lineRule="exact"/>
      <w:ind w:left="-1120"/>
    </w:pPr>
    <w:rPr>
      <w:sz w:val="24"/>
      <w:szCs w:val="24"/>
    </w:rPr>
  </w:style>
  <w:style w:type="paragraph" w:customStyle="1" w:styleId="Huisstijl-Kopznr2">
    <w:name w:val="Huisstijl - Kop z.nr 2"/>
    <w:basedOn w:val="Normal"/>
    <w:next w:val="Normal"/>
    <w:pPr>
      <w:numPr>
        <w:ilvl w:val="1"/>
        <w:numId w:val="7"/>
      </w:numPr>
      <w:tabs>
        <w:tab w:val="left" w:pos="0"/>
      </w:tabs>
      <w:spacing w:before="240" w:line="240" w:lineRule="exact"/>
      <w:ind w:left="-1120"/>
    </w:pPr>
    <w:rPr>
      <w:b/>
    </w:rPr>
  </w:style>
  <w:style w:type="paragraph" w:customStyle="1" w:styleId="Huisstijl-Kopznr3">
    <w:name w:val="Huisstijl - Kop z.nr 3"/>
    <w:basedOn w:val="Normal"/>
    <w:next w:val="Normal"/>
    <w:pPr>
      <w:numPr>
        <w:ilvl w:val="2"/>
        <w:numId w:val="7"/>
      </w:numPr>
      <w:tabs>
        <w:tab w:val="left" w:pos="0"/>
      </w:tabs>
      <w:spacing w:before="240" w:line="240" w:lineRule="exact"/>
      <w:ind w:left="-1120"/>
    </w:pPr>
    <w:rPr>
      <w:i/>
    </w:rPr>
  </w:style>
  <w:style w:type="paragraph" w:customStyle="1" w:styleId="Huisstijl-Kopznr4">
    <w:name w:val="Huisstijl - Kop z.nr 4"/>
    <w:basedOn w:val="Normal"/>
    <w:next w:val="Normal"/>
    <w:pPr>
      <w:numPr>
        <w:ilvl w:val="3"/>
        <w:numId w:val="7"/>
      </w:numPr>
      <w:tabs>
        <w:tab w:val="left" w:pos="0"/>
      </w:tabs>
      <w:spacing w:before="240" w:line="240" w:lineRule="exact"/>
      <w:ind w:left="-1120"/>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Huisstijlnummeringmetnummer">
    <w:name w:val="Huisstijl nummering met nummer"/>
    <w:basedOn w:val="Normal"/>
    <w:next w:val="Normal"/>
    <w:pPr>
      <w:spacing w:line="240" w:lineRule="exact"/>
    </w:pPr>
  </w:style>
  <w:style w:type="paragraph" w:customStyle="1" w:styleId="Huisstijlnummeringzondernummer">
    <w:name w:val="Huisstijl nummering zonder nummer"/>
    <w:basedOn w:val="Normal"/>
    <w:next w:val="Normal"/>
    <w:pPr>
      <w:spacing w:before="100" w:after="240" w:line="240" w:lineRule="exact"/>
    </w:pPr>
  </w:style>
  <w:style w:type="paragraph" w:customStyle="1" w:styleId="Huisstijlopsommingcolofoneninleiding">
    <w:name w:val="Huisstijl opsomming colofon en inleiding"/>
    <w:basedOn w:val="Normal"/>
    <w:next w:val="Normal"/>
    <w:pPr>
      <w:spacing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9"/>
      </w:numPr>
      <w:spacing w:line="240" w:lineRule="exact"/>
    </w:pPr>
  </w:style>
  <w:style w:type="paragraph" w:customStyle="1" w:styleId="ILTOpsomming15">
    <w:name w:val="ILT Opsomming 1.5"/>
    <w:basedOn w:val="Normal"/>
    <w:next w:val="Normal"/>
    <w:pPr>
      <w:numPr>
        <w:ilvl w:val="1"/>
        <w:numId w:val="9"/>
      </w:numPr>
      <w:spacing w:line="300" w:lineRule="exact"/>
    </w:pPr>
  </w:style>
  <w:style w:type="paragraph" w:customStyle="1" w:styleId="ILTOpsommingbullet">
    <w:name w:val="ILT Opsomming bullet"/>
    <w:basedOn w:val="Normal"/>
    <w:next w:val="Normal"/>
    <w:pPr>
      <w:numPr>
        <w:ilvl w:val="2"/>
        <w:numId w:val="9"/>
      </w:numPr>
      <w:spacing w:line="300" w:lineRule="exact"/>
    </w:pPr>
  </w:style>
  <w:style w:type="paragraph" w:customStyle="1" w:styleId="ILTOpsomminglijst">
    <w:name w:val="ILT Opsomming lijst"/>
    <w:basedOn w:val="Normal"/>
    <w:next w:val="Normal"/>
    <w:pPr>
      <w:spacing w:before="20" w:after="80" w:line="300" w:lineRule="exact"/>
    </w:pPr>
  </w:style>
  <w:style w:type="paragraph" w:customStyle="1" w:styleId="ILTRapport-je">
    <w:name w:val="ILT Rapport - je"/>
    <w:basedOn w:val="Normal"/>
    <w:next w:val="Normal"/>
    <w:pPr>
      <w:numPr>
        <w:ilvl w:val="1"/>
        <w:numId w:val="10"/>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nummering">
    <w:name w:val="ILT Rapport 16a nummering"/>
    <w:basedOn w:val="Normal"/>
    <w:next w:val="Normal"/>
    <w:pPr>
      <w:spacing w:after="120" w:line="240" w:lineRule="exact"/>
    </w:p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tcPr>
      <w:shd w:val="clear" w:color="auto" w:fill="auto"/>
    </w:tc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0"/>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1"/>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bestuuropsomming">
    <w:name w:val="NEa memo bestuur opsomming"/>
    <w:basedOn w:val="Normal"/>
    <w:next w:val="Normal"/>
    <w:pPr>
      <w:spacing w:line="240" w:lineRule="exact"/>
    </w:p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NEaopsomming">
    <w:name w:val="NEa opsomming"/>
    <w:basedOn w:val="Normal"/>
    <w:next w:val="Normal"/>
    <w:pPr>
      <w:spacing w:line="240" w:lineRule="exact"/>
    </w:pPr>
  </w:style>
  <w:style w:type="paragraph" w:customStyle="1" w:styleId="NEaopsommingletters">
    <w:name w:val="NEa opsomming (letters)"/>
    <w:basedOn w:val="Normal"/>
    <w:pPr>
      <w:numPr>
        <w:numId w:val="13"/>
      </w:numPr>
      <w:spacing w:line="240" w:lineRule="exact"/>
    </w:pPr>
  </w:style>
  <w:style w:type="paragraph" w:customStyle="1" w:styleId="NEaopsommingletters2">
    <w:name w:val="NEa opsomming (letters) 2"/>
    <w:basedOn w:val="NEaopsommingletters"/>
    <w:next w:val="NEaStandaard"/>
  </w:style>
  <w:style w:type="paragraph" w:customStyle="1" w:styleId="NEaopsommingextra">
    <w:name w:val="NEa opsomming extra"/>
    <w:basedOn w:val="Normal"/>
    <w:next w:val="Normal"/>
    <w:pPr>
      <w:numPr>
        <w:numId w:val="14"/>
      </w:numPr>
    </w:pPr>
  </w:style>
  <w:style w:type="paragraph" w:customStyle="1" w:styleId="NEaopsommingextralijst">
    <w:name w:val="NEa opsomming extra lijst"/>
    <w:basedOn w:val="Normal"/>
    <w:next w:val="Normal"/>
  </w:style>
  <w:style w:type="paragraph" w:customStyle="1" w:styleId="NEaOpsommingstekenkortestreep">
    <w:name w:val="NEa Opsommingsteken korte streep"/>
    <w:basedOn w:val="Normal"/>
    <w:next w:val="Normal"/>
    <w:pPr>
      <w:spacing w:before="240" w:after="240" w:line="240" w:lineRule="exact"/>
    </w:pPr>
  </w:style>
  <w:style w:type="paragraph" w:customStyle="1" w:styleId="NEaOpsommingstekst">
    <w:name w:val="NEa Opsommingstekst"/>
    <w:basedOn w:val="NEaStandaard"/>
    <w:pPr>
      <w:numPr>
        <w:numId w:val="15"/>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2"/>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6"/>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fstenparagraafnummering">
    <w:name w:val="OIM Rapport hfst en paragraafnummering"/>
    <w:basedOn w:val="Normal"/>
    <w:next w:val="Normal"/>
    <w:pPr>
      <w:spacing w:line="240" w:lineRule="exact"/>
    </w:pPr>
  </w:style>
  <w:style w:type="paragraph" w:customStyle="1" w:styleId="OIMRapportHoofdstuk">
    <w:name w:val="OIM Rapport Hoofdstuk"/>
    <w:basedOn w:val="Normal"/>
    <w:next w:val="Normal"/>
    <w:pPr>
      <w:numPr>
        <w:numId w:val="16"/>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8"/>
      </w:numPr>
      <w:spacing w:line="240" w:lineRule="exact"/>
    </w:pPr>
  </w:style>
  <w:style w:type="paragraph" w:customStyle="1" w:styleId="OIMRapportNummerlijst">
    <w:name w:val="OIM Rapport Nummerlijst"/>
    <w:basedOn w:val="Normal"/>
    <w:next w:val="Normal"/>
    <w:pPr>
      <w:spacing w:line="240" w:lineRule="exact"/>
    </w:pPr>
  </w:style>
  <w:style w:type="paragraph" w:customStyle="1" w:styleId="OIMRapportOpsomminglijst">
    <w:name w:val="OIM Rapport Opsomminglijst"/>
    <w:basedOn w:val="Normal"/>
    <w:next w:val="Normal"/>
    <w:p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6"/>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rFonts w:ascii="Verdana" w:hAnsi="Verdana"/>
        <w:sz w:val="18"/>
        <w:szCs w:val="18"/>
      </w:rPr>
      <w:tblPr/>
      <w:tcPr>
        <w:shd w:val="clear" w:color="auto" w:fill="auto"/>
      </w:tcPr>
    </w:tblStylePr>
    <w:tblStylePr w:type="firstCol">
      <w:tblPr/>
      <w:tcPr>
        <w:shd w:val="clear" w:color="auto" w:fill="auto"/>
      </w:tc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19"/>
      </w:numPr>
      <w:spacing w:after="180"/>
    </w:pPr>
  </w:style>
  <w:style w:type="paragraph" w:customStyle="1" w:styleId="SSFNummeringKredietovereenkomstA">
    <w:name w:val="SSF Nummering Kredietovereenkomst (A)"/>
    <w:basedOn w:val="SSFPaginanummering"/>
    <w:next w:val="SSFStandaard"/>
    <w:pPr>
      <w:numPr>
        <w:numId w:val="20"/>
      </w:numPr>
      <w:jc w:val="left"/>
    </w:pPr>
  </w:style>
  <w:style w:type="paragraph" w:customStyle="1" w:styleId="SSFnummeringovereenkomst">
    <w:name w:val="SSF nummering overeenkomst"/>
    <w:basedOn w:val="SSFStandaard"/>
    <w:next w:val="SSFStandaard"/>
    <w:pPr>
      <w:spacing w:after="180"/>
    </w:pPr>
  </w:style>
  <w:style w:type="paragraph" w:customStyle="1" w:styleId="SSFnummeringovereenkomstletters">
    <w:name w:val="SSF nummering overeenkomst (letters)"/>
    <w:basedOn w:val="SSFPaginanummering"/>
    <w:next w:val="SSFStandaard"/>
    <w:p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1"/>
      </w:numPr>
      <w:spacing w:line="240" w:lineRule="exact"/>
    </w:pPr>
  </w:style>
  <w:style w:type="paragraph" w:customStyle="1" w:styleId="Standaardopsomminglijst">
    <w:name w:val="Standaard opsomming lijst"/>
    <w:basedOn w:val="Normal"/>
    <w:next w:val="Normal"/>
    <w:p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FootnoteText">
    <w:name w:val="footnote text"/>
    <w:basedOn w:val="Normal"/>
    <w:link w:val="FootnoteTextChar"/>
    <w:uiPriority w:val="99"/>
    <w:semiHidden/>
    <w:unhideWhenUsed/>
    <w:rsid w:val="005A03A5"/>
    <w:pPr>
      <w:autoSpaceDN/>
      <w:spacing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FootnoteTextChar">
    <w:name w:val="Footnote Text Char"/>
    <w:basedOn w:val="DefaultParagraphFont"/>
    <w:link w:val="FootnoteText"/>
    <w:uiPriority w:val="99"/>
    <w:semiHidden/>
    <w:rsid w:val="005A03A5"/>
    <w:rPr>
      <w:rFonts w:asciiTheme="minorHAnsi" w:eastAsiaTheme="minorHAnsi" w:hAnsiTheme="minorHAnsi" w:cstheme="minorBidi"/>
      <w:kern w:val="2"/>
      <w:lang w:eastAsia="en-US"/>
      <w14:ligatures w14:val="standardContextual"/>
    </w:rPr>
  </w:style>
  <w:style w:type="paragraph" w:styleId="CommentText">
    <w:name w:val="annotation text"/>
    <w:basedOn w:val="Normal"/>
    <w:link w:val="CommentTextChar"/>
    <w:uiPriority w:val="99"/>
    <w:unhideWhenUsed/>
    <w:rsid w:val="005A03A5"/>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5A03A5"/>
    <w:rPr>
      <w:rFonts w:asciiTheme="minorHAnsi" w:eastAsiaTheme="minorHAnsi" w:hAnsiTheme="minorHAnsi" w:cstheme="minorBidi"/>
      <w:kern w:val="2"/>
      <w:lang w:eastAsia="en-US"/>
      <w14:ligatures w14:val="standardContextual"/>
    </w:rPr>
  </w:style>
  <w:style w:type="character" w:styleId="FootnoteReference">
    <w:name w:val="footnote reference"/>
    <w:basedOn w:val="DefaultParagraphFont"/>
    <w:semiHidden/>
    <w:unhideWhenUsed/>
    <w:rsid w:val="005A03A5"/>
    <w:rPr>
      <w:vertAlign w:val="superscript"/>
    </w:rPr>
  </w:style>
  <w:style w:type="character" w:styleId="CommentReference">
    <w:name w:val="annotation reference"/>
    <w:basedOn w:val="DefaultParagraphFont"/>
    <w:uiPriority w:val="99"/>
    <w:semiHidden/>
    <w:unhideWhenUsed/>
    <w:rsid w:val="005A03A5"/>
    <w:rPr>
      <w:sz w:val="16"/>
      <w:szCs w:val="16"/>
    </w:rPr>
  </w:style>
  <w:style w:type="character" w:customStyle="1" w:styleId="Hyperlink1">
    <w:name w:val="Hyperlink1"/>
    <w:basedOn w:val="DefaultParagraphFont"/>
    <w:uiPriority w:val="99"/>
    <w:unhideWhenUsed/>
    <w:rsid w:val="00042577"/>
    <w:rPr>
      <w:color w:val="0000FF"/>
      <w:u w:val="single"/>
    </w:rPr>
  </w:style>
  <w:style w:type="character" w:styleId="Hyperlink">
    <w:name w:val="Hyperlink"/>
    <w:basedOn w:val="DefaultParagraphFont"/>
    <w:uiPriority w:val="99"/>
    <w:unhideWhenUsed/>
    <w:rsid w:val="00042577"/>
    <w:rPr>
      <w:color w:val="467886" w:themeColor="hyperlink"/>
      <w:u w:val="single"/>
    </w:rPr>
  </w:style>
  <w:style w:type="paragraph" w:styleId="ListParagraph">
    <w:name w:val="List Paragraph"/>
    <w:basedOn w:val="Normal"/>
    <w:uiPriority w:val="34"/>
    <w:qFormat/>
    <w:rsid w:val="00042577"/>
    <w:pPr>
      <w:ind w:left="720"/>
      <w:contextualSpacing/>
    </w:pPr>
  </w:style>
  <w:style w:type="paragraph" w:styleId="Revision">
    <w:name w:val="Revision"/>
    <w:hidden/>
    <w:uiPriority w:val="99"/>
    <w:semiHidden/>
    <w:rsid w:val="003A7134"/>
    <w:pPr>
      <w:autoSpaceDN/>
      <w:textAlignment w:val="auto"/>
    </w:pPr>
    <w:rPr>
      <w:rFonts w:ascii="Verdana" w:hAnsi="Verdana"/>
      <w:color w:val="000000"/>
      <w:sz w:val="18"/>
      <w:szCs w:val="18"/>
    </w:rPr>
  </w:style>
  <w:style w:type="paragraph" w:styleId="NormalWeb">
    <w:name w:val="Normal (Web)"/>
    <w:basedOn w:val="Normal"/>
    <w:uiPriority w:val="99"/>
    <w:semiHidden/>
    <w:unhideWhenUsed/>
    <w:rsid w:val="009F698A"/>
    <w:rPr>
      <w:rFonts w:ascii="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41ADA"/>
    <w:pPr>
      <w:autoSpaceDN w:val="0"/>
      <w:spacing w:after="0"/>
      <w:textAlignment w:val="baseline"/>
    </w:pPr>
    <w:rPr>
      <w:rFonts w:ascii="Verdana" w:eastAsia="DejaVu Sans" w:hAnsi="Verdana" w:cs="Lohit Hindi"/>
      <w:b/>
      <w:bCs/>
      <w:color w:val="000000"/>
      <w:kern w:val="0"/>
      <w:lang w:eastAsia="nl-NL"/>
      <w14:ligatures w14:val="none"/>
    </w:rPr>
  </w:style>
  <w:style w:type="character" w:customStyle="1" w:styleId="CommentSubjectChar">
    <w:name w:val="Comment Subject Char"/>
    <w:basedOn w:val="CommentTextChar"/>
    <w:link w:val="CommentSubject"/>
    <w:uiPriority w:val="99"/>
    <w:semiHidden/>
    <w:rsid w:val="00641ADA"/>
    <w:rPr>
      <w:rFonts w:ascii="Verdana" w:eastAsiaTheme="minorHAnsi" w:hAnsi="Verdana" w:cstheme="minorBidi"/>
      <w:b/>
      <w:bCs/>
      <w:color w:val="000000"/>
      <w:kern w:val="2"/>
      <w:lang w:eastAsia="en-US"/>
      <w14:ligatures w14:val="standardContextual"/>
    </w:rPr>
  </w:style>
  <w:style w:type="character" w:customStyle="1" w:styleId="UnresolvedMention">
    <w:name w:val="Unresolved Mention"/>
    <w:basedOn w:val="DefaultParagraphFont"/>
    <w:uiPriority w:val="99"/>
    <w:semiHidden/>
    <w:unhideWhenUsed/>
    <w:rsid w:val="008C069D"/>
    <w:rPr>
      <w:color w:val="605E5C"/>
      <w:shd w:val="clear" w:color="auto" w:fill="E1DFDD"/>
    </w:rPr>
  </w:style>
  <w:style w:type="paragraph" w:styleId="Header">
    <w:name w:val="header"/>
    <w:basedOn w:val="Normal"/>
    <w:link w:val="HeaderChar"/>
    <w:uiPriority w:val="99"/>
    <w:unhideWhenUsed/>
    <w:rsid w:val="00B40620"/>
    <w:pPr>
      <w:tabs>
        <w:tab w:val="center" w:pos="4536"/>
        <w:tab w:val="right" w:pos="9072"/>
      </w:tabs>
      <w:spacing w:line="240" w:lineRule="auto"/>
    </w:pPr>
  </w:style>
  <w:style w:type="character" w:customStyle="1" w:styleId="HeaderChar">
    <w:name w:val="Header Char"/>
    <w:basedOn w:val="DefaultParagraphFont"/>
    <w:link w:val="Header"/>
    <w:uiPriority w:val="99"/>
    <w:rsid w:val="00B40620"/>
    <w:rPr>
      <w:rFonts w:ascii="Verdana" w:hAnsi="Verdana"/>
      <w:color w:val="000000"/>
      <w:sz w:val="18"/>
      <w:szCs w:val="18"/>
    </w:rPr>
  </w:style>
  <w:style w:type="paragraph" w:styleId="Footer">
    <w:name w:val="footer"/>
    <w:basedOn w:val="Normal"/>
    <w:link w:val="FooterChar"/>
    <w:uiPriority w:val="99"/>
    <w:unhideWhenUsed/>
    <w:rsid w:val="00B40620"/>
    <w:pPr>
      <w:tabs>
        <w:tab w:val="center" w:pos="4536"/>
        <w:tab w:val="right" w:pos="9072"/>
      </w:tabs>
      <w:spacing w:line="240" w:lineRule="auto"/>
    </w:pPr>
  </w:style>
  <w:style w:type="character" w:customStyle="1" w:styleId="FooterChar">
    <w:name w:val="Footer Char"/>
    <w:basedOn w:val="DefaultParagraphFont"/>
    <w:link w:val="Footer"/>
    <w:uiPriority w:val="99"/>
    <w:rsid w:val="00B40620"/>
    <w:rPr>
      <w:rFonts w:ascii="Verdana" w:hAnsi="Verdana"/>
      <w:color w:val="000000"/>
      <w:sz w:val="18"/>
      <w:szCs w:val="18"/>
    </w:rPr>
  </w:style>
  <w:style w:type="paragraph" w:styleId="NoSpacing">
    <w:name w:val="No Spacing"/>
    <w:uiPriority w:val="1"/>
    <w:qFormat/>
    <w:rsid w:val="002A1926"/>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3563">
      <w:bodyDiv w:val="1"/>
      <w:marLeft w:val="0"/>
      <w:marRight w:val="0"/>
      <w:marTop w:val="0"/>
      <w:marBottom w:val="0"/>
      <w:divBdr>
        <w:top w:val="none" w:sz="0" w:space="0" w:color="auto"/>
        <w:left w:val="none" w:sz="0" w:space="0" w:color="auto"/>
        <w:bottom w:val="none" w:sz="0" w:space="0" w:color="auto"/>
        <w:right w:val="none" w:sz="0" w:space="0" w:color="auto"/>
      </w:divBdr>
    </w:div>
    <w:div w:id="277219606">
      <w:bodyDiv w:val="1"/>
      <w:marLeft w:val="0"/>
      <w:marRight w:val="0"/>
      <w:marTop w:val="0"/>
      <w:marBottom w:val="0"/>
      <w:divBdr>
        <w:top w:val="none" w:sz="0" w:space="0" w:color="auto"/>
        <w:left w:val="none" w:sz="0" w:space="0" w:color="auto"/>
        <w:bottom w:val="none" w:sz="0" w:space="0" w:color="auto"/>
        <w:right w:val="none" w:sz="0" w:space="0" w:color="auto"/>
      </w:divBdr>
      <w:divsChild>
        <w:div w:id="211968784">
          <w:marLeft w:val="0"/>
          <w:marRight w:val="0"/>
          <w:marTop w:val="0"/>
          <w:marBottom w:val="0"/>
          <w:divBdr>
            <w:top w:val="none" w:sz="0" w:space="0" w:color="auto"/>
            <w:left w:val="none" w:sz="0" w:space="0" w:color="auto"/>
            <w:bottom w:val="none" w:sz="0" w:space="0" w:color="auto"/>
            <w:right w:val="none" w:sz="0" w:space="0" w:color="auto"/>
          </w:divBdr>
          <w:divsChild>
            <w:div w:id="1539196079">
              <w:marLeft w:val="0"/>
              <w:marRight w:val="0"/>
              <w:marTop w:val="0"/>
              <w:marBottom w:val="0"/>
              <w:divBdr>
                <w:top w:val="none" w:sz="0" w:space="0" w:color="auto"/>
                <w:left w:val="none" w:sz="0" w:space="0" w:color="auto"/>
                <w:bottom w:val="none" w:sz="0" w:space="0" w:color="auto"/>
                <w:right w:val="none" w:sz="0" w:space="0" w:color="auto"/>
              </w:divBdr>
              <w:divsChild>
                <w:div w:id="2096856512">
                  <w:marLeft w:val="0"/>
                  <w:marRight w:val="0"/>
                  <w:marTop w:val="0"/>
                  <w:marBottom w:val="0"/>
                  <w:divBdr>
                    <w:top w:val="none" w:sz="0" w:space="0" w:color="auto"/>
                    <w:left w:val="none" w:sz="0" w:space="0" w:color="auto"/>
                    <w:bottom w:val="none" w:sz="0" w:space="0" w:color="auto"/>
                    <w:right w:val="none" w:sz="0" w:space="0" w:color="auto"/>
                  </w:divBdr>
                  <w:divsChild>
                    <w:div w:id="194583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2587">
          <w:marLeft w:val="0"/>
          <w:marRight w:val="0"/>
          <w:marTop w:val="0"/>
          <w:marBottom w:val="0"/>
          <w:divBdr>
            <w:top w:val="none" w:sz="0" w:space="0" w:color="auto"/>
            <w:left w:val="none" w:sz="0" w:space="0" w:color="auto"/>
            <w:bottom w:val="none" w:sz="0" w:space="0" w:color="auto"/>
            <w:right w:val="none" w:sz="0" w:space="0" w:color="auto"/>
          </w:divBdr>
          <w:divsChild>
            <w:div w:id="2007203443">
              <w:marLeft w:val="0"/>
              <w:marRight w:val="0"/>
              <w:marTop w:val="0"/>
              <w:marBottom w:val="0"/>
              <w:divBdr>
                <w:top w:val="none" w:sz="0" w:space="0" w:color="auto"/>
                <w:left w:val="none" w:sz="0" w:space="0" w:color="auto"/>
                <w:bottom w:val="none" w:sz="0" w:space="0" w:color="auto"/>
                <w:right w:val="none" w:sz="0" w:space="0" w:color="auto"/>
              </w:divBdr>
              <w:divsChild>
                <w:div w:id="1779565641">
                  <w:marLeft w:val="0"/>
                  <w:marRight w:val="0"/>
                  <w:marTop w:val="0"/>
                  <w:marBottom w:val="0"/>
                  <w:divBdr>
                    <w:top w:val="none" w:sz="0" w:space="0" w:color="auto"/>
                    <w:left w:val="none" w:sz="0" w:space="0" w:color="auto"/>
                    <w:bottom w:val="none" w:sz="0" w:space="0" w:color="auto"/>
                    <w:right w:val="none" w:sz="0" w:space="0" w:color="auto"/>
                  </w:divBdr>
                  <w:divsChild>
                    <w:div w:id="31060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288410">
      <w:bodyDiv w:val="1"/>
      <w:marLeft w:val="0"/>
      <w:marRight w:val="0"/>
      <w:marTop w:val="0"/>
      <w:marBottom w:val="0"/>
      <w:divBdr>
        <w:top w:val="none" w:sz="0" w:space="0" w:color="auto"/>
        <w:left w:val="none" w:sz="0" w:space="0" w:color="auto"/>
        <w:bottom w:val="none" w:sz="0" w:space="0" w:color="auto"/>
        <w:right w:val="none" w:sz="0" w:space="0" w:color="auto"/>
      </w:divBdr>
      <w:divsChild>
        <w:div w:id="324944915">
          <w:marLeft w:val="0"/>
          <w:marRight w:val="0"/>
          <w:marTop w:val="0"/>
          <w:marBottom w:val="0"/>
          <w:divBdr>
            <w:top w:val="none" w:sz="0" w:space="0" w:color="auto"/>
            <w:left w:val="none" w:sz="0" w:space="0" w:color="auto"/>
            <w:bottom w:val="none" w:sz="0" w:space="0" w:color="auto"/>
            <w:right w:val="none" w:sz="0" w:space="0" w:color="auto"/>
          </w:divBdr>
        </w:div>
      </w:divsChild>
    </w:div>
    <w:div w:id="967511572">
      <w:bodyDiv w:val="1"/>
      <w:marLeft w:val="0"/>
      <w:marRight w:val="0"/>
      <w:marTop w:val="0"/>
      <w:marBottom w:val="0"/>
      <w:divBdr>
        <w:top w:val="none" w:sz="0" w:space="0" w:color="auto"/>
        <w:left w:val="none" w:sz="0" w:space="0" w:color="auto"/>
        <w:bottom w:val="none" w:sz="0" w:space="0" w:color="auto"/>
        <w:right w:val="none" w:sz="0" w:space="0" w:color="auto"/>
      </w:divBdr>
    </w:div>
    <w:div w:id="1079595351">
      <w:bodyDiv w:val="1"/>
      <w:marLeft w:val="0"/>
      <w:marRight w:val="0"/>
      <w:marTop w:val="0"/>
      <w:marBottom w:val="0"/>
      <w:divBdr>
        <w:top w:val="none" w:sz="0" w:space="0" w:color="auto"/>
        <w:left w:val="none" w:sz="0" w:space="0" w:color="auto"/>
        <w:bottom w:val="none" w:sz="0" w:space="0" w:color="auto"/>
        <w:right w:val="none" w:sz="0" w:space="0" w:color="auto"/>
      </w:divBdr>
    </w:div>
    <w:div w:id="1317300590">
      <w:bodyDiv w:val="1"/>
      <w:marLeft w:val="0"/>
      <w:marRight w:val="0"/>
      <w:marTop w:val="0"/>
      <w:marBottom w:val="0"/>
      <w:divBdr>
        <w:top w:val="none" w:sz="0" w:space="0" w:color="auto"/>
        <w:left w:val="none" w:sz="0" w:space="0" w:color="auto"/>
        <w:bottom w:val="none" w:sz="0" w:space="0" w:color="auto"/>
        <w:right w:val="none" w:sz="0" w:space="0" w:color="auto"/>
      </w:divBdr>
      <w:divsChild>
        <w:div w:id="1354958937">
          <w:marLeft w:val="0"/>
          <w:marRight w:val="0"/>
          <w:marTop w:val="0"/>
          <w:marBottom w:val="0"/>
          <w:divBdr>
            <w:top w:val="none" w:sz="0" w:space="0" w:color="auto"/>
            <w:left w:val="none" w:sz="0" w:space="0" w:color="auto"/>
            <w:bottom w:val="none" w:sz="0" w:space="0" w:color="auto"/>
            <w:right w:val="none" w:sz="0" w:space="0" w:color="auto"/>
          </w:divBdr>
        </w:div>
      </w:divsChild>
    </w:div>
    <w:div w:id="1338652927">
      <w:bodyDiv w:val="1"/>
      <w:marLeft w:val="0"/>
      <w:marRight w:val="0"/>
      <w:marTop w:val="0"/>
      <w:marBottom w:val="0"/>
      <w:divBdr>
        <w:top w:val="none" w:sz="0" w:space="0" w:color="auto"/>
        <w:left w:val="none" w:sz="0" w:space="0" w:color="auto"/>
        <w:bottom w:val="none" w:sz="0" w:space="0" w:color="auto"/>
        <w:right w:val="none" w:sz="0" w:space="0" w:color="auto"/>
      </w:divBdr>
    </w:div>
    <w:div w:id="1797213030">
      <w:bodyDiv w:val="1"/>
      <w:marLeft w:val="0"/>
      <w:marRight w:val="0"/>
      <w:marTop w:val="0"/>
      <w:marBottom w:val="0"/>
      <w:divBdr>
        <w:top w:val="none" w:sz="0" w:space="0" w:color="auto"/>
        <w:left w:val="none" w:sz="0" w:space="0" w:color="auto"/>
        <w:bottom w:val="none" w:sz="0" w:space="0" w:color="auto"/>
        <w:right w:val="none" w:sz="0" w:space="0" w:color="auto"/>
      </w:divBdr>
      <w:divsChild>
        <w:div w:id="33161897">
          <w:marLeft w:val="0"/>
          <w:marRight w:val="0"/>
          <w:marTop w:val="0"/>
          <w:marBottom w:val="0"/>
          <w:divBdr>
            <w:top w:val="none" w:sz="0" w:space="0" w:color="auto"/>
            <w:left w:val="none" w:sz="0" w:space="0" w:color="auto"/>
            <w:bottom w:val="none" w:sz="0" w:space="0" w:color="auto"/>
            <w:right w:val="none" w:sz="0" w:space="0" w:color="auto"/>
          </w:divBdr>
          <w:divsChild>
            <w:div w:id="1045373781">
              <w:marLeft w:val="0"/>
              <w:marRight w:val="0"/>
              <w:marTop w:val="0"/>
              <w:marBottom w:val="0"/>
              <w:divBdr>
                <w:top w:val="none" w:sz="0" w:space="0" w:color="auto"/>
                <w:left w:val="none" w:sz="0" w:space="0" w:color="auto"/>
                <w:bottom w:val="none" w:sz="0" w:space="0" w:color="auto"/>
                <w:right w:val="none" w:sz="0" w:space="0" w:color="auto"/>
              </w:divBdr>
              <w:divsChild>
                <w:div w:id="809904202">
                  <w:marLeft w:val="0"/>
                  <w:marRight w:val="0"/>
                  <w:marTop w:val="0"/>
                  <w:marBottom w:val="0"/>
                  <w:divBdr>
                    <w:top w:val="none" w:sz="0" w:space="0" w:color="auto"/>
                    <w:left w:val="none" w:sz="0" w:space="0" w:color="auto"/>
                    <w:bottom w:val="none" w:sz="0" w:space="0" w:color="auto"/>
                    <w:right w:val="none" w:sz="0" w:space="0" w:color="auto"/>
                  </w:divBdr>
                  <w:divsChild>
                    <w:div w:id="1437822238">
                      <w:marLeft w:val="0"/>
                      <w:marRight w:val="0"/>
                      <w:marTop w:val="0"/>
                      <w:marBottom w:val="0"/>
                      <w:divBdr>
                        <w:top w:val="none" w:sz="0" w:space="0" w:color="auto"/>
                        <w:left w:val="none" w:sz="0" w:space="0" w:color="auto"/>
                        <w:bottom w:val="none" w:sz="0" w:space="0" w:color="auto"/>
                        <w:right w:val="none" w:sz="0" w:space="0" w:color="auto"/>
                      </w:divBdr>
                      <w:divsChild>
                        <w:div w:id="1983147154">
                          <w:marLeft w:val="0"/>
                          <w:marRight w:val="0"/>
                          <w:marTop w:val="0"/>
                          <w:marBottom w:val="0"/>
                          <w:divBdr>
                            <w:top w:val="none" w:sz="0" w:space="0" w:color="auto"/>
                            <w:left w:val="none" w:sz="0" w:space="0" w:color="auto"/>
                            <w:bottom w:val="none" w:sz="0" w:space="0" w:color="auto"/>
                            <w:right w:val="none" w:sz="0" w:space="0" w:color="auto"/>
                          </w:divBdr>
                          <w:divsChild>
                            <w:div w:id="1954508153">
                              <w:marLeft w:val="0"/>
                              <w:marRight w:val="0"/>
                              <w:marTop w:val="0"/>
                              <w:marBottom w:val="0"/>
                              <w:divBdr>
                                <w:top w:val="none" w:sz="0" w:space="0" w:color="auto"/>
                                <w:left w:val="none" w:sz="0" w:space="0" w:color="auto"/>
                                <w:bottom w:val="none" w:sz="0" w:space="0" w:color="auto"/>
                                <w:right w:val="none" w:sz="0" w:space="0" w:color="auto"/>
                              </w:divBdr>
                              <w:divsChild>
                                <w:div w:id="791359050">
                                  <w:marLeft w:val="0"/>
                                  <w:marRight w:val="0"/>
                                  <w:marTop w:val="0"/>
                                  <w:marBottom w:val="0"/>
                                  <w:divBdr>
                                    <w:top w:val="none" w:sz="0" w:space="0" w:color="auto"/>
                                    <w:left w:val="none" w:sz="0" w:space="0" w:color="auto"/>
                                    <w:bottom w:val="none" w:sz="0" w:space="0" w:color="auto"/>
                                    <w:right w:val="none" w:sz="0" w:space="0" w:color="auto"/>
                                  </w:divBdr>
                                  <w:divsChild>
                                    <w:div w:id="20001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656097">
                          <w:marLeft w:val="0"/>
                          <w:marRight w:val="0"/>
                          <w:marTop w:val="0"/>
                          <w:marBottom w:val="0"/>
                          <w:divBdr>
                            <w:top w:val="none" w:sz="0" w:space="0" w:color="auto"/>
                            <w:left w:val="none" w:sz="0" w:space="0" w:color="auto"/>
                            <w:bottom w:val="none" w:sz="0" w:space="0" w:color="auto"/>
                            <w:right w:val="none" w:sz="0" w:space="0" w:color="auto"/>
                          </w:divBdr>
                          <w:divsChild>
                            <w:div w:id="674307922">
                              <w:marLeft w:val="0"/>
                              <w:marRight w:val="0"/>
                              <w:marTop w:val="0"/>
                              <w:marBottom w:val="0"/>
                              <w:divBdr>
                                <w:top w:val="none" w:sz="0" w:space="0" w:color="auto"/>
                                <w:left w:val="none" w:sz="0" w:space="0" w:color="auto"/>
                                <w:bottom w:val="none" w:sz="0" w:space="0" w:color="auto"/>
                                <w:right w:val="none" w:sz="0" w:space="0" w:color="auto"/>
                              </w:divBdr>
                              <w:divsChild>
                                <w:div w:id="1587568234">
                                  <w:marLeft w:val="0"/>
                                  <w:marRight w:val="0"/>
                                  <w:marTop w:val="0"/>
                                  <w:marBottom w:val="0"/>
                                  <w:divBdr>
                                    <w:top w:val="none" w:sz="0" w:space="0" w:color="auto"/>
                                    <w:left w:val="none" w:sz="0" w:space="0" w:color="auto"/>
                                    <w:bottom w:val="none" w:sz="0" w:space="0" w:color="auto"/>
                                    <w:right w:val="none" w:sz="0" w:space="0" w:color="auto"/>
                                  </w:divBdr>
                                  <w:divsChild>
                                    <w:div w:id="134756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17129">
          <w:marLeft w:val="0"/>
          <w:marRight w:val="0"/>
          <w:marTop w:val="0"/>
          <w:marBottom w:val="0"/>
          <w:divBdr>
            <w:top w:val="none" w:sz="0" w:space="0" w:color="auto"/>
            <w:left w:val="none" w:sz="0" w:space="0" w:color="auto"/>
            <w:bottom w:val="none" w:sz="0" w:space="0" w:color="auto"/>
            <w:right w:val="none" w:sz="0" w:space="0" w:color="auto"/>
          </w:divBdr>
          <w:divsChild>
            <w:div w:id="638077634">
              <w:marLeft w:val="0"/>
              <w:marRight w:val="0"/>
              <w:marTop w:val="0"/>
              <w:marBottom w:val="0"/>
              <w:divBdr>
                <w:top w:val="none" w:sz="0" w:space="0" w:color="auto"/>
                <w:left w:val="none" w:sz="0" w:space="0" w:color="auto"/>
                <w:bottom w:val="none" w:sz="0" w:space="0" w:color="auto"/>
                <w:right w:val="none" w:sz="0" w:space="0" w:color="auto"/>
              </w:divBdr>
              <w:divsChild>
                <w:div w:id="215163207">
                  <w:marLeft w:val="0"/>
                  <w:marRight w:val="0"/>
                  <w:marTop w:val="0"/>
                  <w:marBottom w:val="0"/>
                  <w:divBdr>
                    <w:top w:val="none" w:sz="0" w:space="0" w:color="auto"/>
                    <w:left w:val="none" w:sz="0" w:space="0" w:color="auto"/>
                    <w:bottom w:val="none" w:sz="0" w:space="0" w:color="auto"/>
                    <w:right w:val="none" w:sz="0" w:space="0" w:color="auto"/>
                  </w:divBdr>
                  <w:divsChild>
                    <w:div w:id="1542285196">
                      <w:marLeft w:val="0"/>
                      <w:marRight w:val="0"/>
                      <w:marTop w:val="0"/>
                      <w:marBottom w:val="0"/>
                      <w:divBdr>
                        <w:top w:val="none" w:sz="0" w:space="0" w:color="auto"/>
                        <w:left w:val="none" w:sz="0" w:space="0" w:color="auto"/>
                        <w:bottom w:val="none" w:sz="0" w:space="0" w:color="auto"/>
                        <w:right w:val="none" w:sz="0" w:space="0" w:color="auto"/>
                      </w:divBdr>
                      <w:divsChild>
                        <w:div w:id="649604338">
                          <w:marLeft w:val="0"/>
                          <w:marRight w:val="0"/>
                          <w:marTop w:val="0"/>
                          <w:marBottom w:val="0"/>
                          <w:divBdr>
                            <w:top w:val="none" w:sz="0" w:space="0" w:color="auto"/>
                            <w:left w:val="none" w:sz="0" w:space="0" w:color="auto"/>
                            <w:bottom w:val="none" w:sz="0" w:space="0" w:color="auto"/>
                            <w:right w:val="none" w:sz="0" w:space="0" w:color="auto"/>
                          </w:divBdr>
                          <w:divsChild>
                            <w:div w:id="897664920">
                              <w:marLeft w:val="0"/>
                              <w:marRight w:val="0"/>
                              <w:marTop w:val="0"/>
                              <w:marBottom w:val="0"/>
                              <w:divBdr>
                                <w:top w:val="none" w:sz="0" w:space="0" w:color="auto"/>
                                <w:left w:val="none" w:sz="0" w:space="0" w:color="auto"/>
                                <w:bottom w:val="none" w:sz="0" w:space="0" w:color="auto"/>
                                <w:right w:val="none" w:sz="0" w:space="0" w:color="auto"/>
                              </w:divBdr>
                              <w:divsChild>
                                <w:div w:id="973945731">
                                  <w:marLeft w:val="0"/>
                                  <w:marRight w:val="0"/>
                                  <w:marTop w:val="0"/>
                                  <w:marBottom w:val="0"/>
                                  <w:divBdr>
                                    <w:top w:val="none" w:sz="0" w:space="0" w:color="auto"/>
                                    <w:left w:val="none" w:sz="0" w:space="0" w:color="auto"/>
                                    <w:bottom w:val="none" w:sz="0" w:space="0" w:color="auto"/>
                                    <w:right w:val="none" w:sz="0" w:space="0" w:color="auto"/>
                                  </w:divBdr>
                                  <w:divsChild>
                                    <w:div w:id="108135139">
                                      <w:marLeft w:val="0"/>
                                      <w:marRight w:val="0"/>
                                      <w:marTop w:val="0"/>
                                      <w:marBottom w:val="0"/>
                                      <w:divBdr>
                                        <w:top w:val="none" w:sz="0" w:space="0" w:color="auto"/>
                                        <w:left w:val="none" w:sz="0" w:space="0" w:color="auto"/>
                                        <w:bottom w:val="none" w:sz="0" w:space="0" w:color="auto"/>
                                        <w:right w:val="none" w:sz="0" w:space="0" w:color="auto"/>
                                      </w:divBdr>
                                      <w:divsChild>
                                        <w:div w:id="67727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02045">
          <w:marLeft w:val="0"/>
          <w:marRight w:val="0"/>
          <w:marTop w:val="0"/>
          <w:marBottom w:val="0"/>
          <w:divBdr>
            <w:top w:val="none" w:sz="0" w:space="0" w:color="auto"/>
            <w:left w:val="none" w:sz="0" w:space="0" w:color="auto"/>
            <w:bottom w:val="none" w:sz="0" w:space="0" w:color="auto"/>
            <w:right w:val="none" w:sz="0" w:space="0" w:color="auto"/>
          </w:divBdr>
          <w:divsChild>
            <w:div w:id="901867514">
              <w:marLeft w:val="0"/>
              <w:marRight w:val="0"/>
              <w:marTop w:val="0"/>
              <w:marBottom w:val="0"/>
              <w:divBdr>
                <w:top w:val="none" w:sz="0" w:space="0" w:color="auto"/>
                <w:left w:val="none" w:sz="0" w:space="0" w:color="auto"/>
                <w:bottom w:val="none" w:sz="0" w:space="0" w:color="auto"/>
                <w:right w:val="none" w:sz="0" w:space="0" w:color="auto"/>
              </w:divBdr>
              <w:divsChild>
                <w:div w:id="1565141847">
                  <w:marLeft w:val="0"/>
                  <w:marRight w:val="0"/>
                  <w:marTop w:val="0"/>
                  <w:marBottom w:val="0"/>
                  <w:divBdr>
                    <w:top w:val="none" w:sz="0" w:space="0" w:color="auto"/>
                    <w:left w:val="none" w:sz="0" w:space="0" w:color="auto"/>
                    <w:bottom w:val="none" w:sz="0" w:space="0" w:color="auto"/>
                    <w:right w:val="none" w:sz="0" w:space="0" w:color="auto"/>
                  </w:divBdr>
                  <w:divsChild>
                    <w:div w:id="341325460">
                      <w:marLeft w:val="0"/>
                      <w:marRight w:val="0"/>
                      <w:marTop w:val="0"/>
                      <w:marBottom w:val="0"/>
                      <w:divBdr>
                        <w:top w:val="none" w:sz="0" w:space="0" w:color="auto"/>
                        <w:left w:val="none" w:sz="0" w:space="0" w:color="auto"/>
                        <w:bottom w:val="none" w:sz="0" w:space="0" w:color="auto"/>
                        <w:right w:val="none" w:sz="0" w:space="0" w:color="auto"/>
                      </w:divBdr>
                      <w:divsChild>
                        <w:div w:id="1890606050">
                          <w:marLeft w:val="0"/>
                          <w:marRight w:val="0"/>
                          <w:marTop w:val="0"/>
                          <w:marBottom w:val="0"/>
                          <w:divBdr>
                            <w:top w:val="none" w:sz="0" w:space="0" w:color="auto"/>
                            <w:left w:val="none" w:sz="0" w:space="0" w:color="auto"/>
                            <w:bottom w:val="none" w:sz="0" w:space="0" w:color="auto"/>
                            <w:right w:val="none" w:sz="0" w:space="0" w:color="auto"/>
                          </w:divBdr>
                          <w:divsChild>
                            <w:div w:id="923994049">
                              <w:marLeft w:val="0"/>
                              <w:marRight w:val="0"/>
                              <w:marTop w:val="0"/>
                              <w:marBottom w:val="0"/>
                              <w:divBdr>
                                <w:top w:val="none" w:sz="0" w:space="0" w:color="auto"/>
                                <w:left w:val="none" w:sz="0" w:space="0" w:color="auto"/>
                                <w:bottom w:val="none" w:sz="0" w:space="0" w:color="auto"/>
                                <w:right w:val="none" w:sz="0" w:space="0" w:color="auto"/>
                              </w:divBdr>
                              <w:divsChild>
                                <w:div w:id="1097479657">
                                  <w:marLeft w:val="0"/>
                                  <w:marRight w:val="0"/>
                                  <w:marTop w:val="0"/>
                                  <w:marBottom w:val="0"/>
                                  <w:divBdr>
                                    <w:top w:val="none" w:sz="0" w:space="0" w:color="auto"/>
                                    <w:left w:val="none" w:sz="0" w:space="0" w:color="auto"/>
                                    <w:bottom w:val="none" w:sz="0" w:space="0" w:color="auto"/>
                                    <w:right w:val="none" w:sz="0" w:space="0" w:color="auto"/>
                                  </w:divBdr>
                                  <w:divsChild>
                                    <w:div w:id="167152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673206">
      <w:bodyDiv w:val="1"/>
      <w:marLeft w:val="0"/>
      <w:marRight w:val="0"/>
      <w:marTop w:val="0"/>
      <w:marBottom w:val="0"/>
      <w:divBdr>
        <w:top w:val="none" w:sz="0" w:space="0" w:color="auto"/>
        <w:left w:val="none" w:sz="0" w:space="0" w:color="auto"/>
        <w:bottom w:val="none" w:sz="0" w:space="0" w:color="auto"/>
        <w:right w:val="none" w:sz="0" w:space="0" w:color="auto"/>
      </w:divBdr>
      <w:divsChild>
        <w:div w:id="489642127">
          <w:marLeft w:val="0"/>
          <w:marRight w:val="0"/>
          <w:marTop w:val="0"/>
          <w:marBottom w:val="0"/>
          <w:divBdr>
            <w:top w:val="none" w:sz="0" w:space="0" w:color="auto"/>
            <w:left w:val="none" w:sz="0" w:space="0" w:color="auto"/>
            <w:bottom w:val="none" w:sz="0" w:space="0" w:color="auto"/>
            <w:right w:val="none" w:sz="0" w:space="0" w:color="auto"/>
          </w:divBdr>
          <w:divsChild>
            <w:div w:id="1772700871">
              <w:marLeft w:val="0"/>
              <w:marRight w:val="0"/>
              <w:marTop w:val="0"/>
              <w:marBottom w:val="0"/>
              <w:divBdr>
                <w:top w:val="none" w:sz="0" w:space="0" w:color="auto"/>
                <w:left w:val="none" w:sz="0" w:space="0" w:color="auto"/>
                <w:bottom w:val="none" w:sz="0" w:space="0" w:color="auto"/>
                <w:right w:val="none" w:sz="0" w:space="0" w:color="auto"/>
              </w:divBdr>
              <w:divsChild>
                <w:div w:id="1240748424">
                  <w:marLeft w:val="0"/>
                  <w:marRight w:val="0"/>
                  <w:marTop w:val="0"/>
                  <w:marBottom w:val="0"/>
                  <w:divBdr>
                    <w:top w:val="none" w:sz="0" w:space="0" w:color="auto"/>
                    <w:left w:val="none" w:sz="0" w:space="0" w:color="auto"/>
                    <w:bottom w:val="none" w:sz="0" w:space="0" w:color="auto"/>
                    <w:right w:val="none" w:sz="0" w:space="0" w:color="auto"/>
                  </w:divBdr>
                  <w:divsChild>
                    <w:div w:id="18023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4727">
          <w:marLeft w:val="0"/>
          <w:marRight w:val="0"/>
          <w:marTop w:val="0"/>
          <w:marBottom w:val="0"/>
          <w:divBdr>
            <w:top w:val="none" w:sz="0" w:space="0" w:color="auto"/>
            <w:left w:val="none" w:sz="0" w:space="0" w:color="auto"/>
            <w:bottom w:val="none" w:sz="0" w:space="0" w:color="auto"/>
            <w:right w:val="none" w:sz="0" w:space="0" w:color="auto"/>
          </w:divBdr>
          <w:divsChild>
            <w:div w:id="1994598695">
              <w:marLeft w:val="0"/>
              <w:marRight w:val="0"/>
              <w:marTop w:val="0"/>
              <w:marBottom w:val="0"/>
              <w:divBdr>
                <w:top w:val="none" w:sz="0" w:space="0" w:color="auto"/>
                <w:left w:val="none" w:sz="0" w:space="0" w:color="auto"/>
                <w:bottom w:val="none" w:sz="0" w:space="0" w:color="auto"/>
                <w:right w:val="none" w:sz="0" w:space="0" w:color="auto"/>
              </w:divBdr>
              <w:divsChild>
                <w:div w:id="2049914673">
                  <w:marLeft w:val="0"/>
                  <w:marRight w:val="0"/>
                  <w:marTop w:val="0"/>
                  <w:marBottom w:val="0"/>
                  <w:divBdr>
                    <w:top w:val="none" w:sz="0" w:space="0" w:color="auto"/>
                    <w:left w:val="none" w:sz="0" w:space="0" w:color="auto"/>
                    <w:bottom w:val="none" w:sz="0" w:space="0" w:color="auto"/>
                    <w:right w:val="none" w:sz="0" w:space="0" w:color="auto"/>
                  </w:divBdr>
                  <w:divsChild>
                    <w:div w:id="212153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2247">
      <w:bodyDiv w:val="1"/>
      <w:marLeft w:val="0"/>
      <w:marRight w:val="0"/>
      <w:marTop w:val="0"/>
      <w:marBottom w:val="0"/>
      <w:divBdr>
        <w:top w:val="none" w:sz="0" w:space="0" w:color="auto"/>
        <w:left w:val="none" w:sz="0" w:space="0" w:color="auto"/>
        <w:bottom w:val="none" w:sz="0" w:space="0" w:color="auto"/>
        <w:right w:val="none" w:sz="0" w:space="0" w:color="auto"/>
      </w:divBdr>
    </w:div>
    <w:div w:id="2144762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2638</ap:Words>
  <ap:Characters>15043</ap:Characters>
  <ap:DocSecurity>0</ap:DocSecurity>
  <ap:Lines>125</ap:Lines>
  <ap:Paragraphs>35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17646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2025-04-15T15:34:00.0000000Z</dcterms:created>
  <dcterms:modified xsi:type="dcterms:W3CDTF">2025-04-15T15:34:00.0000000Z</dcterms:modified>
  <dc:description>------------------------</dc:description>
  <dc:subject/>
  <dc:title/>
  <keywords/>
  <version/>
  <category/>
</coreProperties>
</file>