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2A19" w:rsidR="00DE2A19" w:rsidP="00DE2A19" w:rsidRDefault="000B7EA5" w14:paraId="04E064DE" w14:textId="23768E78">
      <w:pPr>
        <w:rPr>
          <w:rFonts w:ascii="Times New Roman" w:hAnsi="Times New Roman"/>
          <w:b/>
          <w:sz w:val="24"/>
        </w:rPr>
      </w:pPr>
      <w:r>
        <w:rPr>
          <w:rFonts w:ascii="Times New Roman" w:hAnsi="Times New Roman"/>
          <w:b/>
          <w:sz w:val="24"/>
        </w:rPr>
        <w:t>36 673</w:t>
      </w:r>
      <w:r w:rsidR="00DE2A19">
        <w:rPr>
          <w:rFonts w:ascii="Times New Roman" w:hAnsi="Times New Roman"/>
          <w:b/>
          <w:sz w:val="24"/>
        </w:rPr>
        <w:tab/>
      </w:r>
      <w:r w:rsidRPr="00DE2A19" w:rsidR="00DE2A19">
        <w:rPr>
          <w:rFonts w:ascii="Times New Roman" w:hAnsi="Times New Roman"/>
          <w:b/>
          <w:sz w:val="24"/>
        </w:rPr>
        <w:tab/>
      </w:r>
      <w:r>
        <w:rPr>
          <w:rFonts w:ascii="Times New Roman" w:hAnsi="Times New Roman"/>
          <w:b/>
          <w:sz w:val="24"/>
        </w:rPr>
        <w:t>Voor een Kamer die Werkt</w:t>
      </w:r>
    </w:p>
    <w:p w:rsidRPr="00DE2A19" w:rsidR="00DE2A19" w:rsidP="00DE2A19" w:rsidRDefault="00DE2A19" w14:paraId="2F8A5112" w14:textId="77777777">
      <w:pPr>
        <w:rPr>
          <w:rFonts w:ascii="Times New Roman" w:hAnsi="Times New Roman"/>
          <w:b/>
          <w:sz w:val="24"/>
        </w:rPr>
      </w:pPr>
    </w:p>
    <w:p w:rsidRPr="00DE2A19" w:rsidR="00DE2A19" w:rsidP="00DE2A19" w:rsidRDefault="00DE2A19" w14:paraId="6854F0C2" w14:textId="5C9FAC8B">
      <w:pPr>
        <w:rPr>
          <w:rFonts w:ascii="Times New Roman" w:hAnsi="Times New Roman"/>
          <w:b/>
          <w:sz w:val="24"/>
        </w:rPr>
      </w:pPr>
      <w:r w:rsidRPr="00DE2A19">
        <w:rPr>
          <w:rFonts w:ascii="Times New Roman" w:hAnsi="Times New Roman"/>
          <w:b/>
          <w:sz w:val="24"/>
        </w:rPr>
        <w:t>Nr.</w:t>
      </w:r>
      <w:r w:rsidR="00743830">
        <w:rPr>
          <w:rFonts w:ascii="Times New Roman" w:hAnsi="Times New Roman"/>
          <w:b/>
          <w:sz w:val="24"/>
        </w:rPr>
        <w:t xml:space="preserve"> 4</w:t>
      </w:r>
      <w:r>
        <w:rPr>
          <w:rFonts w:ascii="Times New Roman" w:hAnsi="Times New Roman"/>
          <w:b/>
          <w:sz w:val="24"/>
        </w:rPr>
        <w:tab/>
      </w:r>
      <w:r w:rsidRPr="00DE2A19">
        <w:rPr>
          <w:rFonts w:ascii="Times New Roman" w:hAnsi="Times New Roman"/>
          <w:b/>
          <w:sz w:val="24"/>
        </w:rPr>
        <w:tab/>
      </w:r>
      <w:r w:rsidRPr="00DE2A19" w:rsidR="00743830">
        <w:rPr>
          <w:rFonts w:ascii="Times New Roman" w:hAnsi="Times New Roman"/>
          <w:b/>
          <w:sz w:val="24"/>
        </w:rPr>
        <w:t>BRIEF VAN DE WERKGROEP</w:t>
      </w:r>
      <w:r w:rsidR="00743830">
        <w:rPr>
          <w:rFonts w:ascii="Times New Roman" w:hAnsi="Times New Roman" w:eastAsia="DejaVu Sans"/>
          <w:b/>
          <w:sz w:val="24"/>
        </w:rPr>
        <w:t xml:space="preserve"> ‘VOOR EEN KAMER DIE WERKT’</w:t>
      </w:r>
    </w:p>
    <w:p w:rsidRPr="00DE2A19" w:rsidR="004670FF" w:rsidRDefault="004670FF" w14:paraId="1DA53EC9" w14:textId="77777777">
      <w:pPr>
        <w:rPr>
          <w:rFonts w:ascii="Times New Roman" w:hAnsi="Times New Roman"/>
          <w:sz w:val="24"/>
        </w:rPr>
      </w:pPr>
    </w:p>
    <w:p w:rsidRPr="00DE2A19" w:rsidR="00DE2A19" w:rsidP="00DE2A19" w:rsidRDefault="00DE2A19" w14:paraId="6766659B" w14:textId="77777777">
      <w:pPr>
        <w:spacing w:line="276" w:lineRule="auto"/>
        <w:ind w:left="708" w:firstLine="708"/>
        <w:rPr>
          <w:rFonts w:ascii="Times New Roman" w:hAnsi="Times New Roman"/>
          <w:sz w:val="24"/>
        </w:rPr>
      </w:pPr>
      <w:r w:rsidRPr="00DE2A19">
        <w:rPr>
          <w:rFonts w:ascii="Times New Roman" w:hAnsi="Times New Roman"/>
          <w:sz w:val="24"/>
        </w:rPr>
        <w:t>Aan de Voorzitter van de Tweede Kamer der Staten-Generaal</w:t>
      </w:r>
    </w:p>
    <w:p w:rsidRPr="00DE2A19" w:rsidR="00DE2A19" w:rsidP="00DE2A19" w:rsidRDefault="00DE2A19" w14:paraId="5E54DB2D" w14:textId="77777777">
      <w:pPr>
        <w:spacing w:line="276" w:lineRule="auto"/>
        <w:rPr>
          <w:rFonts w:ascii="Times New Roman" w:hAnsi="Times New Roman"/>
          <w:sz w:val="24"/>
        </w:rPr>
      </w:pPr>
    </w:p>
    <w:p w:rsidRPr="00DE2A19" w:rsidR="00DE2A19" w:rsidP="00DE2A19" w:rsidRDefault="00DE2A19" w14:paraId="78692E74" w14:textId="5B8E9ECF">
      <w:pPr>
        <w:spacing w:line="276" w:lineRule="auto"/>
        <w:ind w:left="708" w:firstLine="708"/>
        <w:rPr>
          <w:rFonts w:ascii="Times New Roman" w:hAnsi="Times New Roman"/>
          <w:sz w:val="24"/>
        </w:rPr>
      </w:pPr>
      <w:r w:rsidRPr="00DE2A19">
        <w:rPr>
          <w:rFonts w:ascii="Times New Roman" w:hAnsi="Times New Roman"/>
          <w:sz w:val="24"/>
        </w:rPr>
        <w:t xml:space="preserve">Den Haag, </w:t>
      </w:r>
      <w:r w:rsidR="00F56F3F">
        <w:rPr>
          <w:rFonts w:ascii="Times New Roman" w:hAnsi="Times New Roman"/>
          <w:sz w:val="24"/>
        </w:rPr>
        <w:t>8</w:t>
      </w:r>
      <w:r w:rsidRPr="00DE2A19">
        <w:rPr>
          <w:rFonts w:ascii="Times New Roman" w:hAnsi="Times New Roman"/>
          <w:sz w:val="24"/>
        </w:rPr>
        <w:t xml:space="preserve"> </w:t>
      </w:r>
      <w:r w:rsidR="00F56F3F">
        <w:rPr>
          <w:rFonts w:ascii="Times New Roman" w:hAnsi="Times New Roman"/>
          <w:sz w:val="24"/>
        </w:rPr>
        <w:t>april 2025</w:t>
      </w:r>
    </w:p>
    <w:p w:rsidRPr="00DE2A19" w:rsidR="00DE2A19" w:rsidP="00DE2A19" w:rsidRDefault="00DE2A19" w14:paraId="76280190" w14:textId="77777777">
      <w:pPr>
        <w:spacing w:line="276" w:lineRule="auto"/>
        <w:rPr>
          <w:rFonts w:ascii="Times New Roman" w:hAnsi="Times New Roman"/>
          <w:sz w:val="24"/>
        </w:rPr>
      </w:pPr>
    </w:p>
    <w:p w:rsidR="00F56F3F" w:rsidP="00DE2A19" w:rsidRDefault="00DE2A19" w14:paraId="39F7DDA8" w14:textId="66295044">
      <w:pPr>
        <w:spacing w:line="276" w:lineRule="auto"/>
        <w:rPr>
          <w:rFonts w:ascii="Times New Roman" w:hAnsi="Times New Roman"/>
          <w:sz w:val="24"/>
        </w:rPr>
      </w:pPr>
      <w:r w:rsidRPr="00DE2A19">
        <w:rPr>
          <w:rFonts w:ascii="Times New Roman" w:hAnsi="Times New Roman"/>
          <w:sz w:val="24"/>
        </w:rPr>
        <w:t xml:space="preserve">Hierbij biedt de werkgroep </w:t>
      </w:r>
      <w:r w:rsidR="00F56F3F">
        <w:rPr>
          <w:rFonts w:ascii="Times New Roman" w:hAnsi="Times New Roman"/>
          <w:sz w:val="24"/>
        </w:rPr>
        <w:t xml:space="preserve">‘Voor een Kamer die Werkt’ </w:t>
      </w:r>
      <w:r w:rsidRPr="00DE2A19">
        <w:rPr>
          <w:rFonts w:ascii="Times New Roman" w:hAnsi="Times New Roman"/>
          <w:sz w:val="24"/>
        </w:rPr>
        <w:t xml:space="preserve">u haar rapport aan. </w:t>
      </w:r>
      <w:r w:rsidRPr="00F56F3F" w:rsidR="00F56F3F">
        <w:rPr>
          <w:rFonts w:ascii="Times New Roman" w:hAnsi="Times New Roman"/>
          <w:sz w:val="24"/>
        </w:rPr>
        <w:t xml:space="preserve">De werkgroep is ingesteld naar aanleiding van de motie-Kamminga c.s. </w:t>
      </w:r>
      <w:r w:rsidR="00F56F3F">
        <w:rPr>
          <w:rFonts w:ascii="Times New Roman" w:hAnsi="Times New Roman"/>
          <w:sz w:val="24"/>
        </w:rPr>
        <w:t xml:space="preserve">(Kamerstuk 35 867, nr. 10, aangenomen op 25 april 2024, </w:t>
      </w:r>
      <w:r w:rsidRPr="00DE2A19" w:rsidR="00F56F3F">
        <w:rPr>
          <w:rFonts w:ascii="Times New Roman" w:hAnsi="Times New Roman" w:eastAsia="DejaVu Sans"/>
          <w:sz w:val="24"/>
        </w:rPr>
        <w:t>Handelingen II 202</w:t>
      </w:r>
      <w:r w:rsidR="00F56F3F">
        <w:rPr>
          <w:rFonts w:ascii="Times New Roman" w:hAnsi="Times New Roman" w:eastAsia="DejaVu Sans"/>
          <w:sz w:val="24"/>
        </w:rPr>
        <w:t>3</w:t>
      </w:r>
      <w:r w:rsidRPr="00DE2A19" w:rsidR="00F56F3F">
        <w:rPr>
          <w:rFonts w:ascii="Times New Roman" w:hAnsi="Times New Roman" w:eastAsia="DejaVu Sans"/>
          <w:sz w:val="24"/>
        </w:rPr>
        <w:t>/2</w:t>
      </w:r>
      <w:r w:rsidR="00F56F3F">
        <w:rPr>
          <w:rFonts w:ascii="Times New Roman" w:hAnsi="Times New Roman" w:eastAsia="DejaVu Sans"/>
          <w:sz w:val="24"/>
        </w:rPr>
        <w:t>4</w:t>
      </w:r>
      <w:r w:rsidRPr="00DE2A19" w:rsidR="00F56F3F">
        <w:rPr>
          <w:rFonts w:ascii="Times New Roman" w:hAnsi="Times New Roman" w:eastAsia="DejaVu Sans"/>
          <w:sz w:val="24"/>
        </w:rPr>
        <w:t xml:space="preserve">, nr. </w:t>
      </w:r>
      <w:r w:rsidR="00F56F3F">
        <w:rPr>
          <w:rFonts w:ascii="Times New Roman" w:hAnsi="Times New Roman" w:eastAsia="DejaVu Sans"/>
          <w:sz w:val="24"/>
        </w:rPr>
        <w:t>70</w:t>
      </w:r>
      <w:r w:rsidRPr="00DE2A19" w:rsidR="00F56F3F">
        <w:rPr>
          <w:rFonts w:ascii="Times New Roman" w:hAnsi="Times New Roman" w:eastAsia="DejaVu Sans"/>
          <w:sz w:val="24"/>
        </w:rPr>
        <w:t xml:space="preserve">, item </w:t>
      </w:r>
      <w:r w:rsidR="00F56F3F">
        <w:rPr>
          <w:rFonts w:ascii="Times New Roman" w:hAnsi="Times New Roman" w:eastAsia="DejaVu Sans"/>
          <w:sz w:val="24"/>
        </w:rPr>
        <w:t>18)</w:t>
      </w:r>
      <w:r w:rsidRPr="00F56F3F" w:rsidR="00F56F3F">
        <w:rPr>
          <w:rFonts w:ascii="Times New Roman" w:hAnsi="Times New Roman"/>
          <w:sz w:val="24"/>
        </w:rPr>
        <w:t xml:space="preserve">, die verzoekt om een werkgroep in te stellen die inzichtelijk maakt </w:t>
      </w:r>
      <w:r w:rsidRPr="00545A72" w:rsidR="00545A72">
        <w:rPr>
          <w:rFonts w:ascii="Times New Roman" w:hAnsi="Times New Roman"/>
          <w:sz w:val="24"/>
        </w:rPr>
        <w:t>wat de stand van zaken is m.b.t. de aanbevelingen van een vijftal rapporten. Naast twee monitoringsrapporten bij ‘Versterking functies Tweede Kamer’ betreft het de rapporten ‘Blind voor Mens en Recht’ (2024), ‘Groningers boven gas’ (2023), ‘Grip op informatie’ (2023) en ‘Klem tussen balie en beleid’ (2021).</w:t>
      </w:r>
      <w:r w:rsidR="004670FF">
        <w:rPr>
          <w:rFonts w:ascii="Times New Roman" w:hAnsi="Times New Roman"/>
          <w:sz w:val="24"/>
        </w:rPr>
        <w:t xml:space="preserve"> </w:t>
      </w:r>
      <w:r w:rsidR="004670FF">
        <w:rPr>
          <w:rFonts w:ascii="Times New Roman" w:hAnsi="Times New Roman" w:eastAsia="DejaVu Sans"/>
          <w:sz w:val="24"/>
        </w:rPr>
        <w:t>De werkgroep bestaat uit de leden Kamminga (voorzitter, VVD), Inge van Dijk (CDA) en Grinwis (CU)</w:t>
      </w:r>
      <w:r w:rsidR="004670FF">
        <w:rPr>
          <w:rStyle w:val="Voetnootmarkering"/>
          <w:rFonts w:ascii="Times New Roman" w:hAnsi="Times New Roman" w:eastAsia="DejaVu Sans"/>
          <w:sz w:val="24"/>
        </w:rPr>
        <w:footnoteReference w:id="1"/>
      </w:r>
      <w:r w:rsidRPr="00FA5E77" w:rsidR="004670FF">
        <w:rPr>
          <w:rFonts w:ascii="Times New Roman" w:hAnsi="Times New Roman" w:eastAsia="DejaVu Sans"/>
          <w:color w:val="000000"/>
          <w:sz w:val="24"/>
        </w:rPr>
        <w:t xml:space="preserve"> </w:t>
      </w:r>
      <w:r w:rsidR="004670FF">
        <w:rPr>
          <w:rFonts w:ascii="Times New Roman" w:hAnsi="Times New Roman" w:eastAsia="DejaVu Sans"/>
          <w:color w:val="000000"/>
          <w:sz w:val="24"/>
        </w:rPr>
        <w:t>en</w:t>
      </w:r>
      <w:r w:rsidRPr="00DE2A19" w:rsidR="004670FF">
        <w:rPr>
          <w:rFonts w:ascii="Times New Roman" w:hAnsi="Times New Roman" w:eastAsia="DejaVu Sans"/>
          <w:color w:val="000000"/>
          <w:sz w:val="24"/>
        </w:rPr>
        <w:t xml:space="preserve"> wordt ondersteund door een ambtelijke staf</w:t>
      </w:r>
      <w:r w:rsidRPr="00DE2A19" w:rsidR="004670FF">
        <w:rPr>
          <w:rFonts w:ascii="Times New Roman" w:hAnsi="Times New Roman"/>
          <w:sz w:val="24"/>
        </w:rPr>
        <w:t xml:space="preserve">. </w:t>
      </w:r>
    </w:p>
    <w:p w:rsidR="00545A72" w:rsidP="00DE2A19" w:rsidRDefault="00545A72" w14:paraId="3D4BCA36" w14:textId="77777777">
      <w:pPr>
        <w:spacing w:line="276" w:lineRule="auto"/>
        <w:rPr>
          <w:rFonts w:ascii="Times New Roman" w:hAnsi="Times New Roman"/>
          <w:sz w:val="24"/>
        </w:rPr>
      </w:pPr>
    </w:p>
    <w:p w:rsidRPr="004670FF" w:rsidR="00DE2A19" w:rsidP="00DE2A19" w:rsidRDefault="00545A72" w14:paraId="2355C327" w14:textId="3EA60F07">
      <w:pPr>
        <w:spacing w:line="276" w:lineRule="auto"/>
        <w:rPr>
          <w:rFonts w:ascii="Times New Roman" w:hAnsi="Times New Roman"/>
          <w:sz w:val="24"/>
        </w:rPr>
      </w:pPr>
      <w:r w:rsidRPr="00545A72">
        <w:rPr>
          <w:rFonts w:ascii="Times New Roman" w:hAnsi="Times New Roman"/>
          <w:sz w:val="24"/>
        </w:rPr>
        <w:t>Het eindverslag beoogt een integraal beeld te schetsen van de opvolging van aanbevelingen in onderlinge samenhang. Daarin zijn recente ontwikkelingen, zoals de behandeling van het voorstel-Bontenbal inzake beperken van de mogelijkheid om moties in te dienen</w:t>
      </w:r>
      <w:r>
        <w:rPr>
          <w:rFonts w:ascii="Times New Roman" w:hAnsi="Times New Roman"/>
          <w:sz w:val="24"/>
        </w:rPr>
        <w:t xml:space="preserve"> </w:t>
      </w:r>
      <w:r w:rsidRPr="00545A72">
        <w:rPr>
          <w:rFonts w:ascii="Times New Roman" w:hAnsi="Times New Roman"/>
          <w:sz w:val="24"/>
        </w:rPr>
        <w:t xml:space="preserve">en de behandeling van het rapport ‘Grip op informatie’ in de commissie Binnenlandse zaken meegenomen. Op basis hiervan doet de werkgroep een aantal aanbevelingen aan de Kamer, aan vaste commissies en aan individuele leden. </w:t>
      </w:r>
    </w:p>
    <w:p w:rsidR="00545A72" w:rsidP="00DE2A19" w:rsidRDefault="00545A72" w14:paraId="6DDF5043" w14:textId="7167B92A">
      <w:pPr>
        <w:spacing w:line="276" w:lineRule="auto"/>
        <w:rPr>
          <w:rFonts w:ascii="Times New Roman" w:hAnsi="Times New Roman" w:eastAsia="DejaVu Sans"/>
          <w:sz w:val="24"/>
        </w:rPr>
      </w:pPr>
    </w:p>
    <w:p w:rsidR="00B34631" w:rsidP="00FA5E77" w:rsidRDefault="00FA5E77" w14:paraId="68F2096B" w14:textId="78E6C866">
      <w:pPr>
        <w:spacing w:line="276" w:lineRule="auto"/>
        <w:rPr>
          <w:rFonts w:ascii="Times New Roman" w:hAnsi="Times New Roman" w:eastAsia="DejaVu Sans"/>
          <w:sz w:val="24"/>
        </w:rPr>
      </w:pPr>
      <w:r>
        <w:rPr>
          <w:rFonts w:ascii="Times New Roman" w:hAnsi="Times New Roman" w:eastAsia="DejaVu Sans"/>
          <w:sz w:val="24"/>
        </w:rPr>
        <w:t>Voor de uitvoering van haar opdracht</w:t>
      </w:r>
      <w:r w:rsidRPr="00FA5E77">
        <w:rPr>
          <w:rFonts w:ascii="Times New Roman" w:hAnsi="Times New Roman" w:eastAsia="DejaVu Sans"/>
          <w:sz w:val="24"/>
        </w:rPr>
        <w:t xml:space="preserve"> is</w:t>
      </w:r>
      <w:r>
        <w:rPr>
          <w:rFonts w:ascii="Times New Roman" w:hAnsi="Times New Roman" w:eastAsia="DejaVu Sans"/>
          <w:sz w:val="24"/>
        </w:rPr>
        <w:t xml:space="preserve"> de werkgroep</w:t>
      </w:r>
      <w:r w:rsidRPr="00FA5E77">
        <w:rPr>
          <w:rFonts w:ascii="Times New Roman" w:hAnsi="Times New Roman" w:eastAsia="DejaVu Sans"/>
          <w:sz w:val="24"/>
        </w:rPr>
        <w:t xml:space="preserve"> gestart met het in kaart brengen en categoriseren van de aanbevelingen uit de genoemde vijf rapporten om in september 2024 de scope van haar verslaglegging vast te stellen. Vervolgens zijn in min of meer maandelijkse bijeenkomsten aan de hand van verschillende notities de opvolging van de aanbevelingen en relevante ontwikkelingen in kaart gebracht en besproken. In aanloop naar haar eindverslag heeft de werkgroep reeds een drietal brieven</w:t>
      </w:r>
      <w:r>
        <w:rPr>
          <w:rFonts w:ascii="Times New Roman" w:hAnsi="Times New Roman" w:eastAsia="DejaVu Sans"/>
          <w:sz w:val="24"/>
        </w:rPr>
        <w:t xml:space="preserve"> gestuurd</w:t>
      </w:r>
      <w:r w:rsidRPr="00FA5E77">
        <w:rPr>
          <w:rFonts w:ascii="Times New Roman" w:hAnsi="Times New Roman" w:eastAsia="DejaVu Sans"/>
          <w:sz w:val="24"/>
        </w:rPr>
        <w:t xml:space="preserve"> </w:t>
      </w:r>
      <w:r w:rsidRPr="00FA5E77">
        <w:rPr>
          <w:rFonts w:ascii="Times New Roman" w:hAnsi="Times New Roman"/>
          <w:sz w:val="24"/>
        </w:rPr>
        <w:t>ten behoeve van respectievelijk de strategische procedurevergaderingen</w:t>
      </w:r>
      <w:r w:rsidRPr="00FA5E77">
        <w:rPr>
          <w:rStyle w:val="Voetnootmarkering"/>
          <w:rFonts w:ascii="Times New Roman" w:hAnsi="Times New Roman"/>
          <w:sz w:val="24"/>
        </w:rPr>
        <w:footnoteReference w:id="2"/>
      </w:r>
      <w:r w:rsidRPr="00FA5E77">
        <w:rPr>
          <w:rFonts w:ascii="Times New Roman" w:hAnsi="Times New Roman"/>
          <w:sz w:val="24"/>
        </w:rPr>
        <w:t>, het commissiedebat Informatie- en werkafspraken tussen Tweede Kamer en kabinet</w:t>
      </w:r>
      <w:r w:rsidRPr="00FA5E77">
        <w:rPr>
          <w:rStyle w:val="Voetnootmarkering"/>
          <w:rFonts w:ascii="Times New Roman" w:hAnsi="Times New Roman"/>
          <w:sz w:val="24"/>
        </w:rPr>
        <w:footnoteReference w:id="3"/>
      </w:r>
      <w:r w:rsidRPr="00FA5E77">
        <w:rPr>
          <w:rFonts w:ascii="Times New Roman" w:hAnsi="Times New Roman"/>
          <w:sz w:val="24"/>
        </w:rPr>
        <w:t xml:space="preserve"> en de plenaire behandeling van het rapport ‘Blind voor mens en recht’.</w:t>
      </w:r>
      <w:r w:rsidRPr="00FA5E77">
        <w:rPr>
          <w:rStyle w:val="Voetnootmarkering"/>
          <w:rFonts w:ascii="Times New Roman" w:hAnsi="Times New Roman"/>
          <w:sz w:val="24"/>
        </w:rPr>
        <w:footnoteReference w:id="4"/>
      </w:r>
      <w:r w:rsidRPr="00FA5E77">
        <w:rPr>
          <w:rFonts w:ascii="Times New Roman" w:hAnsi="Times New Roman" w:eastAsia="DejaVu Sans"/>
          <w:sz w:val="24"/>
        </w:rPr>
        <w:t xml:space="preserve"> In december 2024 is de werkgroep gestart met het uitwerken van haar bevindingen en aanbevelingen ten behoeve van haar eindverslag, dat </w:t>
      </w:r>
      <w:r>
        <w:rPr>
          <w:rFonts w:ascii="Times New Roman" w:hAnsi="Times New Roman" w:eastAsia="DejaVu Sans"/>
          <w:sz w:val="24"/>
        </w:rPr>
        <w:t xml:space="preserve">hierbij wordt </w:t>
      </w:r>
      <w:r w:rsidRPr="00FA5E77">
        <w:rPr>
          <w:rFonts w:ascii="Times New Roman" w:hAnsi="Times New Roman" w:eastAsia="DejaVu Sans"/>
          <w:sz w:val="24"/>
        </w:rPr>
        <w:t xml:space="preserve">aangeboden aan de Kamervoorzitter. </w:t>
      </w:r>
    </w:p>
    <w:p w:rsidR="004670FF" w:rsidP="00FA5E77" w:rsidRDefault="004670FF" w14:paraId="45E36801" w14:textId="77777777">
      <w:pPr>
        <w:spacing w:line="276" w:lineRule="auto"/>
        <w:rPr>
          <w:rFonts w:ascii="Times New Roman" w:hAnsi="Times New Roman" w:eastAsia="DejaVu Sans"/>
          <w:sz w:val="24"/>
        </w:rPr>
      </w:pPr>
    </w:p>
    <w:p w:rsidR="00B34631" w:rsidP="00FA5E77" w:rsidRDefault="00B34631" w14:paraId="114404B7" w14:textId="59F923E8">
      <w:pPr>
        <w:spacing w:line="276" w:lineRule="auto"/>
        <w:rPr>
          <w:rFonts w:ascii="Times New Roman" w:hAnsi="Times New Roman" w:eastAsia="DejaVu Sans"/>
          <w:sz w:val="24"/>
        </w:rPr>
      </w:pPr>
      <w:r>
        <w:rPr>
          <w:rFonts w:ascii="Times New Roman" w:hAnsi="Times New Roman" w:eastAsia="DejaVu Sans"/>
          <w:sz w:val="24"/>
        </w:rPr>
        <w:t xml:space="preserve">Op pagina 2 van het eindverslag vat de werkgroep haar aanbevelingen </w:t>
      </w:r>
      <w:r w:rsidRPr="00B34631">
        <w:rPr>
          <w:rFonts w:ascii="Times New Roman" w:hAnsi="Times New Roman" w:eastAsia="DejaVu Sans"/>
          <w:i/>
          <w:iCs/>
          <w:sz w:val="24"/>
        </w:rPr>
        <w:t>voor een Kamer die werkt</w:t>
      </w:r>
      <w:r>
        <w:rPr>
          <w:rFonts w:ascii="Times New Roman" w:hAnsi="Times New Roman" w:eastAsia="DejaVu Sans"/>
          <w:sz w:val="24"/>
        </w:rPr>
        <w:t xml:space="preserve"> samen in een top 5:</w:t>
      </w:r>
    </w:p>
    <w:p w:rsidR="00B34631" w:rsidP="00B34631" w:rsidRDefault="00B34631" w14:paraId="2F249F00" w14:textId="77777777">
      <w:pPr>
        <w:pStyle w:val="Lijstalinea"/>
        <w:numPr>
          <w:ilvl w:val="0"/>
          <w:numId w:val="1"/>
        </w:numPr>
        <w:spacing w:line="276" w:lineRule="auto"/>
        <w:rPr>
          <w:rFonts w:ascii="Times New Roman" w:hAnsi="Times New Roman" w:eastAsia="DejaVu Sans"/>
          <w:sz w:val="24"/>
        </w:rPr>
      </w:pPr>
      <w:r w:rsidRPr="00B34631">
        <w:rPr>
          <w:rFonts w:ascii="Times New Roman" w:hAnsi="Times New Roman" w:eastAsia="DejaVu Sans"/>
          <w:b/>
          <w:bCs/>
          <w:sz w:val="24"/>
        </w:rPr>
        <w:lastRenderedPageBreak/>
        <w:t>Ken je instrumenten</w:t>
      </w:r>
      <w:r w:rsidRPr="00B34631">
        <w:rPr>
          <w:rFonts w:ascii="Times New Roman" w:hAnsi="Times New Roman" w:eastAsia="DejaVu Sans"/>
          <w:sz w:val="24"/>
        </w:rPr>
        <w:t>, want onbekend maakt onbemind. Zorg voor maximale effectiviteit door ze op het goede moment in te zetten. En bedenk: overdaad kan schaden.</w:t>
      </w:r>
    </w:p>
    <w:p w:rsidR="00B34631" w:rsidP="00B34631" w:rsidRDefault="00B34631" w14:paraId="486D56F4" w14:textId="77777777">
      <w:pPr>
        <w:pStyle w:val="Lijstalinea"/>
        <w:numPr>
          <w:ilvl w:val="0"/>
          <w:numId w:val="1"/>
        </w:numPr>
        <w:spacing w:line="276" w:lineRule="auto"/>
        <w:rPr>
          <w:rFonts w:ascii="Times New Roman" w:hAnsi="Times New Roman" w:eastAsia="DejaVu Sans"/>
          <w:sz w:val="24"/>
        </w:rPr>
      </w:pPr>
      <w:r w:rsidRPr="00B34631">
        <w:rPr>
          <w:rFonts w:ascii="Times New Roman" w:hAnsi="Times New Roman" w:eastAsia="DejaVu Sans"/>
          <w:b/>
          <w:bCs/>
          <w:sz w:val="24"/>
        </w:rPr>
        <w:t>Behandel wetgeving zorgvuldig</w:t>
      </w:r>
      <w:r w:rsidRPr="00B34631">
        <w:rPr>
          <w:rFonts w:ascii="Times New Roman" w:hAnsi="Times New Roman" w:eastAsia="DejaVu Sans"/>
          <w:sz w:val="24"/>
        </w:rPr>
        <w:t>: kies voor een goede inhoudelijke commissiebehandeling (gebruik de menukaart) en heb oog voor vroegtijdige signalen over de uitvoering van nieuwe wetten (let op de invoeringstoets).</w:t>
      </w:r>
    </w:p>
    <w:p w:rsidR="00B34631" w:rsidP="00B34631" w:rsidRDefault="00B34631" w14:paraId="5119883B" w14:textId="59B9C845">
      <w:pPr>
        <w:pStyle w:val="Lijstalinea"/>
        <w:numPr>
          <w:ilvl w:val="0"/>
          <w:numId w:val="1"/>
        </w:numPr>
        <w:spacing w:line="276" w:lineRule="auto"/>
        <w:rPr>
          <w:rFonts w:ascii="Times New Roman" w:hAnsi="Times New Roman" w:eastAsia="DejaVu Sans"/>
          <w:sz w:val="24"/>
        </w:rPr>
      </w:pPr>
      <w:r w:rsidRPr="00B34631">
        <w:rPr>
          <w:rFonts w:ascii="Times New Roman" w:hAnsi="Times New Roman" w:eastAsia="DejaVu Sans"/>
          <w:sz w:val="24"/>
        </w:rPr>
        <w:t xml:space="preserve">De plenaire agenda is een gezamenlijke verantwoordelijkheid: </w:t>
      </w:r>
      <w:r w:rsidRPr="00B34631">
        <w:rPr>
          <w:rFonts w:ascii="Times New Roman" w:hAnsi="Times New Roman" w:eastAsia="DejaVu Sans"/>
          <w:b/>
          <w:bCs/>
          <w:sz w:val="24"/>
        </w:rPr>
        <w:t>durf prioriteiten te stellen</w:t>
      </w:r>
      <w:r w:rsidRPr="00B34631">
        <w:rPr>
          <w:rFonts w:ascii="Times New Roman" w:hAnsi="Times New Roman" w:eastAsia="DejaVu Sans"/>
          <w:sz w:val="24"/>
        </w:rPr>
        <w:t xml:space="preserve"> en keuzes te maken.</w:t>
      </w:r>
    </w:p>
    <w:p w:rsidR="00B34631" w:rsidP="00B34631" w:rsidRDefault="00B34631" w14:paraId="0FD0D64C" w14:textId="77777777">
      <w:pPr>
        <w:pStyle w:val="Lijstalinea"/>
        <w:numPr>
          <w:ilvl w:val="0"/>
          <w:numId w:val="1"/>
        </w:numPr>
        <w:spacing w:line="276" w:lineRule="auto"/>
        <w:rPr>
          <w:rFonts w:ascii="Times New Roman" w:hAnsi="Times New Roman" w:eastAsia="DejaVu Sans"/>
          <w:sz w:val="24"/>
        </w:rPr>
      </w:pPr>
      <w:r w:rsidRPr="00B34631">
        <w:rPr>
          <w:rFonts w:ascii="Times New Roman" w:hAnsi="Times New Roman" w:eastAsia="DejaVu Sans"/>
          <w:sz w:val="24"/>
        </w:rPr>
        <w:t xml:space="preserve">Investeer in het maken van </w:t>
      </w:r>
      <w:r w:rsidRPr="00B34631">
        <w:rPr>
          <w:rFonts w:ascii="Times New Roman" w:hAnsi="Times New Roman" w:eastAsia="DejaVu Sans"/>
          <w:b/>
          <w:bCs/>
          <w:sz w:val="24"/>
        </w:rPr>
        <w:t>goede informatieafspraken</w:t>
      </w:r>
      <w:r w:rsidRPr="00B34631">
        <w:rPr>
          <w:rFonts w:ascii="Times New Roman" w:hAnsi="Times New Roman" w:eastAsia="DejaVu Sans"/>
          <w:sz w:val="24"/>
        </w:rPr>
        <w:t xml:space="preserve"> tussen Kamer en kabinet, ook op commissieniveau.</w:t>
      </w:r>
    </w:p>
    <w:p w:rsidRPr="00B34631" w:rsidR="00B34631" w:rsidP="00B34631" w:rsidRDefault="00B34631" w14:paraId="2383E418" w14:textId="6A4C6523">
      <w:pPr>
        <w:pStyle w:val="Lijstalinea"/>
        <w:numPr>
          <w:ilvl w:val="0"/>
          <w:numId w:val="1"/>
        </w:numPr>
        <w:spacing w:line="276" w:lineRule="auto"/>
        <w:rPr>
          <w:rFonts w:ascii="Times New Roman" w:hAnsi="Times New Roman" w:eastAsia="DejaVu Sans"/>
          <w:sz w:val="24"/>
        </w:rPr>
      </w:pPr>
      <w:r w:rsidRPr="00B34631">
        <w:rPr>
          <w:rFonts w:ascii="Times New Roman" w:hAnsi="Times New Roman" w:eastAsia="DejaVu Sans"/>
          <w:sz w:val="24"/>
        </w:rPr>
        <w:t xml:space="preserve">Werk verder aan </w:t>
      </w:r>
      <w:r w:rsidRPr="00B34631">
        <w:rPr>
          <w:rFonts w:ascii="Times New Roman" w:hAnsi="Times New Roman" w:eastAsia="DejaVu Sans"/>
          <w:b/>
          <w:bCs/>
          <w:sz w:val="24"/>
        </w:rPr>
        <w:t>laagdrempelig contact</w:t>
      </w:r>
      <w:r w:rsidRPr="00B34631">
        <w:rPr>
          <w:rFonts w:ascii="Times New Roman" w:hAnsi="Times New Roman" w:eastAsia="DejaVu Sans"/>
          <w:sz w:val="24"/>
        </w:rPr>
        <w:t xml:space="preserve"> tussen ambtenaren (ministeries én uitvoering) en Kamerleden voor technische toelichting en kennisdeling. Spreek verwachtingen naar elkaar uit.</w:t>
      </w:r>
    </w:p>
    <w:p w:rsidR="00B34631" w:rsidP="00FA5E77" w:rsidRDefault="00B34631" w14:paraId="312C937C" w14:textId="77777777">
      <w:pPr>
        <w:spacing w:line="276" w:lineRule="auto"/>
        <w:rPr>
          <w:rFonts w:ascii="Times New Roman" w:hAnsi="Times New Roman" w:eastAsia="DejaVu Sans"/>
          <w:sz w:val="24"/>
        </w:rPr>
      </w:pPr>
    </w:p>
    <w:p w:rsidRPr="00FA5E77" w:rsidR="00FA5E77" w:rsidP="00FA5E77" w:rsidRDefault="00FA5E77" w14:paraId="3737B633" w14:textId="7975A44A">
      <w:pPr>
        <w:spacing w:line="276" w:lineRule="auto"/>
        <w:rPr>
          <w:rFonts w:ascii="Times New Roman" w:hAnsi="Times New Roman" w:eastAsia="DejaVu Sans"/>
          <w:sz w:val="24"/>
        </w:rPr>
      </w:pPr>
      <w:r w:rsidRPr="00FA5E77">
        <w:rPr>
          <w:rFonts w:ascii="Times New Roman" w:hAnsi="Times New Roman" w:eastAsia="DejaVu Sans"/>
          <w:sz w:val="24"/>
        </w:rPr>
        <w:t>De werkgroep heeft in totaal acht keer vergaderd.</w:t>
      </w:r>
      <w:r w:rsidR="00C563BC">
        <w:rPr>
          <w:rFonts w:ascii="Times New Roman" w:hAnsi="Times New Roman" w:eastAsia="DejaVu Sans"/>
          <w:sz w:val="24"/>
        </w:rPr>
        <w:t xml:space="preserve"> Daarnaast is gesproken met een vertegenwoordiging van besturen van uitvoeringsorganisaties.</w:t>
      </w:r>
    </w:p>
    <w:p w:rsidR="00FA5E77" w:rsidP="00FA5E77" w:rsidRDefault="00FA5E77" w14:paraId="01CEAC96" w14:textId="62358F26">
      <w:pPr>
        <w:spacing w:line="276" w:lineRule="auto"/>
        <w:rPr>
          <w:rFonts w:ascii="Times New Roman" w:hAnsi="Times New Roman" w:eastAsia="DejaVu Sans"/>
          <w:sz w:val="24"/>
        </w:rPr>
      </w:pPr>
      <w:r w:rsidRPr="00FA5E77">
        <w:rPr>
          <w:rFonts w:ascii="Times New Roman" w:hAnsi="Times New Roman" w:eastAsia="DejaVu Sans"/>
          <w:sz w:val="24"/>
        </w:rPr>
        <w:t xml:space="preserve">De werkgroep stelt voor haar eindverslag in handen te stellen van de commissie voor de Werkwijze, die vervolgens besluiten kan nemen over de opvolging van haar aanbevelingen. </w:t>
      </w:r>
    </w:p>
    <w:p w:rsidRPr="00DE2A19" w:rsidR="00545A72" w:rsidP="00DE2A19" w:rsidRDefault="00545A72" w14:paraId="4CDEC388" w14:textId="77777777">
      <w:pPr>
        <w:spacing w:line="276" w:lineRule="auto"/>
        <w:rPr>
          <w:rFonts w:ascii="Times New Roman" w:hAnsi="Times New Roman" w:eastAsia="DejaVu Sans"/>
          <w:sz w:val="24"/>
        </w:rPr>
      </w:pPr>
    </w:p>
    <w:p w:rsidRPr="00DE2A19" w:rsidR="00DE2A19" w:rsidP="004670FF" w:rsidRDefault="00DE2A19" w14:paraId="7679F974" w14:textId="2AF11830">
      <w:pPr>
        <w:spacing w:line="276" w:lineRule="auto"/>
        <w:rPr>
          <w:rFonts w:ascii="Times New Roman" w:hAnsi="Times New Roman"/>
          <w:sz w:val="24"/>
        </w:rPr>
      </w:pPr>
      <w:r w:rsidRPr="00DE2A19">
        <w:rPr>
          <w:rFonts w:ascii="Times New Roman" w:hAnsi="Times New Roman"/>
          <w:sz w:val="24"/>
        </w:rPr>
        <w:t xml:space="preserve">Mocht </w:t>
      </w:r>
      <w:r w:rsidR="00C563BC">
        <w:rPr>
          <w:rFonts w:ascii="Times New Roman" w:hAnsi="Times New Roman"/>
          <w:sz w:val="24"/>
        </w:rPr>
        <w:t xml:space="preserve">de commissie voor de Werkwijze </w:t>
      </w:r>
      <w:r w:rsidRPr="00DE2A19">
        <w:rPr>
          <w:rFonts w:ascii="Times New Roman" w:hAnsi="Times New Roman"/>
          <w:sz w:val="24"/>
        </w:rPr>
        <w:t xml:space="preserve">behoefte hebben aan een nadere toelichting op dit rapport, dan is de werkgroep daartoe vanzelfsprekend graag bereid. De werkgroep vertrouwt erop hiermee te hebben voldaan aan de opdracht van </w:t>
      </w:r>
      <w:r w:rsidR="00C563BC">
        <w:rPr>
          <w:rFonts w:ascii="Times New Roman" w:hAnsi="Times New Roman"/>
          <w:sz w:val="24"/>
        </w:rPr>
        <w:t>de Kamer</w:t>
      </w:r>
      <w:r w:rsidRPr="00DE2A19">
        <w:rPr>
          <w:rFonts w:ascii="Times New Roman" w:hAnsi="Times New Roman"/>
          <w:sz w:val="24"/>
        </w:rPr>
        <w:t>.</w:t>
      </w:r>
    </w:p>
    <w:p w:rsidRPr="00DE2A19" w:rsidR="00DE2A19" w:rsidP="004670FF" w:rsidRDefault="00DE2A19" w14:paraId="4063DE29" w14:textId="77777777">
      <w:pPr>
        <w:spacing w:line="276" w:lineRule="auto"/>
        <w:rPr>
          <w:rFonts w:ascii="Times New Roman" w:hAnsi="Times New Roman"/>
          <w:sz w:val="24"/>
        </w:rPr>
      </w:pPr>
    </w:p>
    <w:p w:rsidRPr="00DE2A19" w:rsidR="00DE2A19" w:rsidP="004670FF" w:rsidRDefault="00DE2A19" w14:paraId="524EB105" w14:textId="009A85B8">
      <w:pPr>
        <w:spacing w:line="276" w:lineRule="auto"/>
        <w:rPr>
          <w:rFonts w:ascii="Times New Roman" w:hAnsi="Times New Roman"/>
          <w:sz w:val="24"/>
        </w:rPr>
      </w:pPr>
      <w:r w:rsidRPr="00DE2A19">
        <w:rPr>
          <w:rFonts w:ascii="Times New Roman" w:hAnsi="Times New Roman"/>
          <w:sz w:val="24"/>
        </w:rPr>
        <w:t xml:space="preserve">De voorzitter van de werkgroep </w:t>
      </w:r>
      <w:r w:rsidR="00C563BC">
        <w:rPr>
          <w:rFonts w:ascii="Times New Roman" w:hAnsi="Times New Roman"/>
          <w:sz w:val="24"/>
        </w:rPr>
        <w:t>‘Voor een Kamer die Werkt’</w:t>
      </w:r>
      <w:r w:rsidRPr="00DE2A19">
        <w:rPr>
          <w:rFonts w:ascii="Times New Roman" w:hAnsi="Times New Roman"/>
          <w:sz w:val="24"/>
        </w:rPr>
        <w:t>,</w:t>
      </w:r>
    </w:p>
    <w:p w:rsidRPr="00DE2A19" w:rsidR="00DE2A19" w:rsidP="004670FF" w:rsidRDefault="00C563BC" w14:paraId="2FE9FCC3" w14:textId="3C2F0CAB">
      <w:pPr>
        <w:spacing w:line="276" w:lineRule="auto"/>
        <w:rPr>
          <w:rFonts w:ascii="Times New Roman" w:hAnsi="Times New Roman"/>
          <w:sz w:val="24"/>
        </w:rPr>
      </w:pPr>
      <w:r>
        <w:rPr>
          <w:rFonts w:ascii="Times New Roman" w:hAnsi="Times New Roman"/>
          <w:sz w:val="24"/>
        </w:rPr>
        <w:t>Kamminga</w:t>
      </w:r>
    </w:p>
    <w:p w:rsidRPr="00DE2A19" w:rsidR="00DE2A19" w:rsidP="004670FF" w:rsidRDefault="00DE2A19" w14:paraId="3E92868D" w14:textId="77777777">
      <w:pPr>
        <w:spacing w:line="276" w:lineRule="auto"/>
        <w:rPr>
          <w:rFonts w:ascii="Times New Roman" w:hAnsi="Times New Roman"/>
          <w:sz w:val="24"/>
        </w:rPr>
      </w:pPr>
    </w:p>
    <w:p w:rsidRPr="00DE2A19" w:rsidR="00DE2A19" w:rsidP="004670FF" w:rsidRDefault="00DE2A19" w14:paraId="1640B487" w14:textId="049BF901">
      <w:pPr>
        <w:spacing w:line="276" w:lineRule="auto"/>
        <w:rPr>
          <w:rFonts w:ascii="Times New Roman" w:hAnsi="Times New Roman"/>
          <w:sz w:val="24"/>
        </w:rPr>
      </w:pPr>
      <w:r w:rsidRPr="00DE2A19">
        <w:rPr>
          <w:rFonts w:ascii="Times New Roman" w:hAnsi="Times New Roman"/>
          <w:sz w:val="24"/>
        </w:rPr>
        <w:t xml:space="preserve">De griffier van de werkgroep </w:t>
      </w:r>
      <w:r w:rsidR="00C563BC">
        <w:rPr>
          <w:rFonts w:ascii="Times New Roman" w:hAnsi="Times New Roman"/>
          <w:sz w:val="24"/>
        </w:rPr>
        <w:t>‘Voor een Kamer die Werkt’</w:t>
      </w:r>
      <w:r w:rsidRPr="00DE2A19" w:rsidR="00C563BC">
        <w:rPr>
          <w:rFonts w:ascii="Times New Roman" w:hAnsi="Times New Roman"/>
          <w:sz w:val="24"/>
        </w:rPr>
        <w:t>,</w:t>
      </w:r>
    </w:p>
    <w:p w:rsidRPr="00DE2A19" w:rsidR="00DE2A19" w:rsidP="004670FF" w:rsidRDefault="00C563BC" w14:paraId="666F63B5" w14:textId="7B241F66">
      <w:pPr>
        <w:spacing w:line="276" w:lineRule="auto"/>
        <w:rPr>
          <w:rFonts w:ascii="Times New Roman" w:hAnsi="Times New Roman"/>
          <w:sz w:val="24"/>
        </w:rPr>
      </w:pPr>
      <w:r>
        <w:rPr>
          <w:rFonts w:ascii="Times New Roman" w:hAnsi="Times New Roman"/>
          <w:sz w:val="24"/>
        </w:rPr>
        <w:t>Schukkink</w:t>
      </w:r>
    </w:p>
    <w:sectPr w:rsidRPr="00DE2A19" w:rsidR="00DE2A1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5872" w14:textId="77777777" w:rsidR="00DE2A19" w:rsidRDefault="00DE2A19" w:rsidP="00DE2A19">
      <w:r>
        <w:separator/>
      </w:r>
    </w:p>
  </w:endnote>
  <w:endnote w:type="continuationSeparator" w:id="0">
    <w:p w14:paraId="2373DBB6" w14:textId="77777777" w:rsidR="00DE2A19" w:rsidRDefault="00DE2A19" w:rsidP="00DE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7C37" w14:textId="77777777" w:rsidR="00DE2A19" w:rsidRDefault="00DE2A19" w:rsidP="00DE2A19">
      <w:r>
        <w:separator/>
      </w:r>
    </w:p>
  </w:footnote>
  <w:footnote w:type="continuationSeparator" w:id="0">
    <w:p w14:paraId="06376285" w14:textId="77777777" w:rsidR="00DE2A19" w:rsidRDefault="00DE2A19" w:rsidP="00DE2A19">
      <w:r>
        <w:continuationSeparator/>
      </w:r>
    </w:p>
  </w:footnote>
  <w:footnote w:id="1">
    <w:p w14:paraId="39536722" w14:textId="77777777" w:rsidR="004670FF" w:rsidRPr="00FA5E77" w:rsidRDefault="004670FF" w:rsidP="004670FF">
      <w:pPr>
        <w:pStyle w:val="Voetnoottekst"/>
        <w:rPr>
          <w:sz w:val="18"/>
          <w:szCs w:val="18"/>
        </w:rPr>
      </w:pPr>
      <w:r w:rsidRPr="00FA5E77">
        <w:rPr>
          <w:rStyle w:val="Voetnootmarkering"/>
        </w:rPr>
        <w:footnoteRef/>
      </w:r>
      <w:r w:rsidRPr="00FA5E77">
        <w:t xml:space="preserve"> </w:t>
      </w:r>
      <w:r w:rsidRPr="00FA5E77">
        <w:rPr>
          <w:sz w:val="18"/>
          <w:szCs w:val="18"/>
        </w:rPr>
        <w:t>De leden Maatoug (GroenLinks-PvdA, tot 18 december 2024), Palmen (Nieuw Sociaal Contract, tot 12 december 2024) en Van Houwelingen (FVD, tot 19 november 2024) maakten eerder eveneens deel uit van de werkgroep.</w:t>
      </w:r>
    </w:p>
  </w:footnote>
  <w:footnote w:id="2">
    <w:p w14:paraId="342DCD11" w14:textId="77777777" w:rsidR="00FA5E77" w:rsidRDefault="00FA5E77" w:rsidP="00FA5E77">
      <w:pPr>
        <w:pStyle w:val="Voetnoottekst"/>
      </w:pPr>
      <w:r>
        <w:rPr>
          <w:rStyle w:val="Voetnootmarkering"/>
        </w:rPr>
        <w:footnoteRef/>
      </w:r>
      <w:r>
        <w:t xml:space="preserve"> </w:t>
      </w:r>
      <w:r w:rsidRPr="00167586">
        <w:rPr>
          <w:sz w:val="18"/>
          <w:szCs w:val="18"/>
        </w:rPr>
        <w:t>Kamerstuk 36 673, nr. 1.</w:t>
      </w:r>
    </w:p>
  </w:footnote>
  <w:footnote w:id="3">
    <w:p w14:paraId="5C20CFBA" w14:textId="77777777" w:rsidR="00FA5E77" w:rsidRDefault="00FA5E77" w:rsidP="00FA5E77">
      <w:pPr>
        <w:pStyle w:val="Voetnoottekst"/>
      </w:pPr>
      <w:r>
        <w:rPr>
          <w:rStyle w:val="Voetnootmarkering"/>
        </w:rPr>
        <w:footnoteRef/>
      </w:r>
      <w:r>
        <w:t xml:space="preserve"> </w:t>
      </w:r>
      <w:r w:rsidRPr="00167586">
        <w:rPr>
          <w:sz w:val="18"/>
          <w:szCs w:val="18"/>
        </w:rPr>
        <w:t>Kamerstuk 36 673, nr. 2.</w:t>
      </w:r>
    </w:p>
  </w:footnote>
  <w:footnote w:id="4">
    <w:p w14:paraId="71CE0881" w14:textId="77777777" w:rsidR="00FA5E77" w:rsidRDefault="00FA5E77" w:rsidP="00FA5E77">
      <w:pPr>
        <w:pStyle w:val="Voetnoottekst"/>
      </w:pPr>
      <w:r>
        <w:rPr>
          <w:rStyle w:val="Voetnootmarkering"/>
        </w:rPr>
        <w:footnoteRef/>
      </w:r>
      <w:r>
        <w:t xml:space="preserve"> </w:t>
      </w:r>
      <w:r w:rsidRPr="00167586">
        <w:rPr>
          <w:sz w:val="18"/>
          <w:szCs w:val="18"/>
        </w:rPr>
        <w:t>Kamerstuk 36 673,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E6E36"/>
    <w:multiLevelType w:val="hybridMultilevel"/>
    <w:tmpl w:val="C9041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901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19"/>
    <w:rsid w:val="000B43BA"/>
    <w:rsid w:val="000B7EA5"/>
    <w:rsid w:val="00167586"/>
    <w:rsid w:val="001C5301"/>
    <w:rsid w:val="001F0398"/>
    <w:rsid w:val="002F6995"/>
    <w:rsid w:val="003A717E"/>
    <w:rsid w:val="004670FF"/>
    <w:rsid w:val="00545A72"/>
    <w:rsid w:val="005F7609"/>
    <w:rsid w:val="00743830"/>
    <w:rsid w:val="007A798C"/>
    <w:rsid w:val="007D2B6C"/>
    <w:rsid w:val="00A719E4"/>
    <w:rsid w:val="00B34631"/>
    <w:rsid w:val="00B44A31"/>
    <w:rsid w:val="00B51F1C"/>
    <w:rsid w:val="00B93C64"/>
    <w:rsid w:val="00C563BC"/>
    <w:rsid w:val="00DB3FB2"/>
    <w:rsid w:val="00DE2A19"/>
    <w:rsid w:val="00F56F3F"/>
    <w:rsid w:val="00FA5E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E9BA"/>
  <w15:chartTrackingRefBased/>
  <w15:docId w15:val="{C9310281-CFE6-4CE7-9B4D-11EB6F51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sz w:val="24"/>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2A19"/>
    <w:pPr>
      <w:spacing w:after="0" w:line="240" w:lineRule="auto"/>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E2A19"/>
    <w:rPr>
      <w:sz w:val="20"/>
      <w:szCs w:val="20"/>
    </w:rPr>
  </w:style>
  <w:style w:type="character" w:customStyle="1" w:styleId="VoetnoottekstChar">
    <w:name w:val="Voetnoottekst Char"/>
    <w:basedOn w:val="Standaardalinea-lettertype"/>
    <w:link w:val="Voetnoottekst"/>
    <w:uiPriority w:val="99"/>
    <w:rsid w:val="00DE2A19"/>
    <w:rPr>
      <w:rFonts w:ascii="Verdana" w:eastAsia="Times New Roman" w:hAnsi="Verdana" w:cs="Times New Roman"/>
      <w:sz w:val="20"/>
      <w:szCs w:val="20"/>
      <w:lang w:eastAsia="nl-NL"/>
    </w:rPr>
  </w:style>
  <w:style w:type="character" w:styleId="Voetnootmarkering">
    <w:name w:val="footnote reference"/>
    <w:basedOn w:val="Standaardalinea-lettertype"/>
    <w:uiPriority w:val="99"/>
    <w:unhideWhenUsed/>
    <w:rsid w:val="00DE2A19"/>
    <w:rPr>
      <w:vertAlign w:val="superscript"/>
    </w:rPr>
  </w:style>
  <w:style w:type="paragraph" w:styleId="Lijstalinea">
    <w:name w:val="List Paragraph"/>
    <w:basedOn w:val="Standaard"/>
    <w:uiPriority w:val="34"/>
    <w:qFormat/>
    <w:rsid w:val="00B3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601</ap:Words>
  <ap:Characters>3309</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2025-04-08T10:27:00.0000000Z</dcterms:created>
  <dcterms:modified xsi:type="dcterms:W3CDTF">2025-04-08T10:27:00.0000000Z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72175eb2-52aa-41e9-953c-41c36b3f720d</vt:lpwstr>
  </property>
</Properties>
</file>