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2025Z06511</w:t>
        <w:br/>
      </w:r>
      <w:proofErr w:type="spellEnd"/>
    </w:p>
    <w:p>
      <w:pPr>
        <w:pStyle w:val="Normal"/>
        <w:rPr>
          <w:b w:val="1"/>
          <w:bCs w:val="1"/>
        </w:rPr>
      </w:pPr>
      <w:r w:rsidR="250AE766">
        <w:rPr>
          <w:b w:val="0"/>
          <w:bCs w:val="0"/>
        </w:rPr>
        <w:t>(ingezonden 4 april 2025)</w:t>
        <w:br/>
      </w:r>
    </w:p>
    <w:p>
      <w:r>
        <w:t xml:space="preserve">Vragen van het lid Vermeer (BBB) aan de minister van Binnenlandse Zaken en Koninkrijksrelaties over het gemeentefonds</w:t>
      </w:r>
      <w:r>
        <w:br/>
      </w:r>
    </w:p>
    <w:p>
      <w:r>
        <w:t xml:space="preserve"> </w:t>
      </w:r>
      <w:r>
        <w:br/>
      </w:r>
    </w:p>
    <w:p>
      <w:pPr>
        <w:pStyle w:val="ListParagraph"/>
        <w:numPr>
          <w:ilvl w:val="0"/>
          <w:numId w:val="100474220"/>
        </w:numPr>
        <w:ind w:left="360"/>
      </w:pPr>
      <w:r>
        <w:t>Erkent u dat er fouten zijn gemaakt in de berekening van het accres over het gemeentefonds bij de overstap naar de andere normeringssystematiek, zoals aangegeven door de Vereniging van Nederlandse Gemeenten (VNG)? Zo nee, kunt u verklaren waarom de VNG zich wel op dit standpunt stelt? Is er bij de afspraken over het afschaffen van de oploop van de Opschalingskorting en het schrappen van de bezuiniging op jeugdzorg afgesproken dat deze bedragen buiten de accresberekening van de daaropvolgende jaren zou vallen? Zo nee, waarom heeft het kabinet hiertoe besloten?</w:t>
      </w:r>
      <w:r>
        <w:br/>
      </w:r>
    </w:p>
    <w:p>
      <w:pPr>
        <w:pStyle w:val="ListParagraph"/>
        <w:numPr>
          <w:ilvl w:val="0"/>
          <w:numId w:val="100474220"/>
        </w:numPr>
        <w:ind w:left="360"/>
      </w:pPr>
      <w:r>
        <w:t>Klopt het dat de voorjaarsramingen van de inflatie in de afgelopen zeven jaar structureel te laag waren in vergelijking met de werkelijke inflatie? Wat betekent de te lage raming over 2024 concreet financieel voor gemeenten en provincies? Is dit een structureel of een incidenteel effect? Met welke middelen moeten gemeenten en provincies dit verschil opvangen? </w:t>
      </w:r>
      <w:r>
        <w:br/>
      </w:r>
    </w:p>
    <w:p>
      <w:pPr>
        <w:pStyle w:val="ListParagraph"/>
        <w:numPr>
          <w:ilvl w:val="0"/>
          <w:numId w:val="100474220"/>
        </w:numPr>
        <w:ind w:left="360"/>
      </w:pPr>
      <w:r>
        <w:t>Wat bedoelde u met uw appreciatie op motie van het lid Chakor c.s. ingediend tijdens het tweeminutendebat over de financiën van decentrale overheden (Kamerstuk 36600-B, nr. 32)? Wat bedoelde u toen u zei dat de motie overbodig zou zijn omdat u daar al alert op bent? Kunt u concreet aangeven hoe u alert bent op hetgeen in de motie wordt gevraagd bij het bepalen van de accrestranches?</w:t>
      </w:r>
      <w:r>
        <w:br/>
      </w:r>
    </w:p>
    <w:p>
      <w:pPr>
        <w:pStyle w:val="ListParagraph"/>
        <w:numPr>
          <w:ilvl w:val="0"/>
          <w:numId w:val="100474220"/>
        </w:numPr>
        <w:ind w:left="360"/>
      </w:pPr>
      <w:r>
        <w:t>Kunt u deze vragen uiterlijk 9 april aanstaande beantwoorden, zodat de antwoorden meegenomen kunnen worden in de besluitvorming rond de Voorjaarsnota?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41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4180">
    <w:abstractNumId w:val="1004741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