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D805EF" w14:paraId="258EB843" w14:textId="3E51A214">
                            <w:pPr>
                              <w:pStyle w:val="Huisstijl-Agendatitel"/>
                              <w:ind w:left="0" w:firstLine="0"/>
                              <w:jc w:val="right"/>
                            </w:pPr>
                            <w:r>
                              <w:t>3</w:t>
                            </w:r>
                            <w:r w:rsidR="00F90BEE">
                              <w:t>1 maart</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D805EF" w14:paraId="258EB843" w14:textId="3E51A214">
                      <w:pPr>
                        <w:pStyle w:val="Huisstijl-Agendatitel"/>
                        <w:ind w:left="0" w:firstLine="0"/>
                        <w:jc w:val="right"/>
                      </w:pPr>
                      <w:r>
                        <w:t>3</w:t>
                      </w:r>
                      <w:r w:rsidR="00F90BEE">
                        <w:t>1 maart</w:t>
                      </w:r>
                      <w:r w:rsidR="007971ED">
                        <w:t xml:space="preserve"> 2025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0D6D50"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1035"/>
        <w:gridCol w:w="6529"/>
      </w:tblGrid>
      <w:tr w:rsidRPr="0056106A" w:rsidR="000D6D50" w:rsidTr="00BB0A53" w14:paraId="39679516" w14:textId="77777777">
        <w:tc>
          <w:tcPr>
            <w:tcW w:w="1035" w:type="dxa"/>
          </w:tcPr>
          <w:p w:rsidRPr="00A9227F" w:rsidR="000D6D50" w:rsidP="00BB0A53" w:rsidRDefault="000D6D50" w14:paraId="48B6ADAB" w14:textId="77777777">
            <w:pPr>
              <w:spacing w:after="240"/>
              <w:rPr>
                <w:color w:val="595959" w:themeColor="text1" w:themeTint="A6"/>
                <w:szCs w:val="18"/>
              </w:rPr>
            </w:pPr>
            <w:r w:rsidRPr="00A9227F">
              <w:rPr>
                <w:color w:val="595959" w:themeColor="text1" w:themeTint="A6"/>
                <w:szCs w:val="18"/>
              </w:rPr>
              <w:t>Titel</w:t>
            </w:r>
          </w:p>
        </w:tc>
        <w:tc>
          <w:tcPr>
            <w:tcW w:w="6529" w:type="dxa"/>
          </w:tcPr>
          <w:p w:rsidR="0014288C" w:rsidP="00BB0A53" w:rsidRDefault="00D805EF" w14:paraId="3823F0E3" w14:textId="77777777">
            <w:r w:rsidRPr="002F27D3">
              <w:t xml:space="preserve">Voorstel voor een VERORDENING VAN HET EUROPEES PARLEMENT EN DE RAAD betreffende niet-financiële statistieken over zakelijk onroerend goed </w:t>
            </w:r>
            <w:hyperlink w:history="1" r:id="rId15">
              <w:r w:rsidRPr="002F27D3">
                <w:rPr>
                  <w:rStyle w:val="Hyperlink"/>
                </w:rPr>
                <w:t>COM(2025)100</w:t>
              </w:r>
            </w:hyperlink>
          </w:p>
          <w:p w:rsidRPr="00D805EF" w:rsidR="00D805EF" w:rsidP="00BB0A53" w:rsidRDefault="00D805EF" w14:paraId="233167CB" w14:textId="6D7057A6">
            <w:pPr>
              <w:rPr>
                <w:szCs w:val="18"/>
              </w:rPr>
            </w:pPr>
          </w:p>
        </w:tc>
      </w:tr>
      <w:tr w:rsidRPr="00A9227F" w:rsidR="000D6D50" w:rsidTr="00BB0A53" w14:paraId="5063E41D" w14:textId="77777777">
        <w:tc>
          <w:tcPr>
            <w:tcW w:w="1035" w:type="dxa"/>
          </w:tcPr>
          <w:p w:rsidRPr="00A9227F" w:rsidR="000D6D50" w:rsidP="00BB0A53" w:rsidRDefault="000D6D50" w14:paraId="55CF4BA0" w14:textId="77777777">
            <w:pPr>
              <w:spacing w:after="240"/>
              <w:rPr>
                <w:szCs w:val="18"/>
              </w:rPr>
            </w:pPr>
            <w:r w:rsidRPr="00A9227F">
              <w:rPr>
                <w:szCs w:val="18"/>
              </w:rPr>
              <w:t>Voorstel</w:t>
            </w:r>
          </w:p>
        </w:tc>
        <w:tc>
          <w:tcPr>
            <w:tcW w:w="6529" w:type="dxa"/>
          </w:tcPr>
          <w:p w:rsidRPr="00A9227F" w:rsidR="000C15DA" w:rsidP="00BB0A53" w:rsidRDefault="000C15DA" w14:paraId="0C9522C7" w14:textId="5B0FFB0E">
            <w:pPr>
              <w:spacing w:after="240"/>
              <w:rPr>
                <w:szCs w:val="18"/>
              </w:rPr>
            </w:pPr>
            <w:r w:rsidRPr="000C15DA">
              <w:rPr>
                <w:szCs w:val="18"/>
              </w:rPr>
              <w:t>Na ommekomst van BNC-fiche agenderen voor een schriftelijk overleg (conform de gebruikelijke werkwijze van de commissie Financiën)</w:t>
            </w:r>
          </w:p>
        </w:tc>
      </w:tr>
      <w:tr w:rsidRPr="00C66E98" w:rsidR="000D6D50" w:rsidTr="00BB0A53" w14:paraId="27FD4F3A" w14:textId="77777777">
        <w:tc>
          <w:tcPr>
            <w:tcW w:w="1035" w:type="dxa"/>
          </w:tcPr>
          <w:p w:rsidRPr="00A9227F" w:rsidR="000D6D50" w:rsidP="00BB0A53" w:rsidRDefault="000D6D50" w14:paraId="233312BD" w14:textId="77777777">
            <w:pPr>
              <w:spacing w:after="240"/>
              <w:rPr>
                <w:color w:val="595959" w:themeColor="text1" w:themeTint="A6"/>
                <w:szCs w:val="18"/>
              </w:rPr>
            </w:pPr>
            <w:r w:rsidRPr="00A9227F">
              <w:rPr>
                <w:color w:val="595959" w:themeColor="text1" w:themeTint="A6"/>
                <w:szCs w:val="18"/>
              </w:rPr>
              <w:t>Noot</w:t>
            </w:r>
          </w:p>
        </w:tc>
        <w:tc>
          <w:tcPr>
            <w:tcW w:w="6529" w:type="dxa"/>
          </w:tcPr>
          <w:p w:rsidRPr="00C66E98" w:rsidR="000D6D50" w:rsidP="0052683D" w:rsidRDefault="008270F8" w14:paraId="263DB2B3" w14:textId="17B55623">
            <w:pPr>
              <w:spacing w:after="240"/>
              <w:rPr>
                <w:color w:val="595959" w:themeColor="text1" w:themeTint="A6"/>
                <w:szCs w:val="18"/>
              </w:rPr>
            </w:pPr>
            <w:r>
              <w:rPr>
                <w:color w:val="595959" w:themeColor="text1" w:themeTint="A6"/>
                <w:szCs w:val="18"/>
              </w:rPr>
              <w:t xml:space="preserve">Om </w:t>
            </w:r>
            <w:r w:rsidR="001B4881">
              <w:rPr>
                <w:color w:val="595959" w:themeColor="text1" w:themeTint="A6"/>
                <w:szCs w:val="18"/>
              </w:rPr>
              <w:t xml:space="preserve">voor macroprudentiële toezichthouders </w:t>
            </w:r>
            <w:r>
              <w:rPr>
                <w:color w:val="595959" w:themeColor="text1" w:themeTint="A6"/>
                <w:szCs w:val="18"/>
              </w:rPr>
              <w:t>de risico</w:t>
            </w:r>
            <w:r w:rsidR="00A055D0">
              <w:rPr>
                <w:color w:val="595959" w:themeColor="text1" w:themeTint="A6"/>
                <w:szCs w:val="18"/>
              </w:rPr>
              <w:t>’</w:t>
            </w:r>
            <w:r>
              <w:rPr>
                <w:color w:val="595959" w:themeColor="text1" w:themeTint="A6"/>
                <w:szCs w:val="18"/>
              </w:rPr>
              <w:t>s v</w:t>
            </w:r>
            <w:r w:rsidR="00A055D0">
              <w:rPr>
                <w:color w:val="595959" w:themeColor="text1" w:themeTint="A6"/>
                <w:szCs w:val="18"/>
              </w:rPr>
              <w:t>oor het financieel stelsel die voortkomen uit blootstelling aan vastgoedmarkten</w:t>
            </w:r>
            <w:r w:rsidR="00C41268">
              <w:rPr>
                <w:color w:val="595959" w:themeColor="text1" w:themeTint="A6"/>
                <w:szCs w:val="18"/>
              </w:rPr>
              <w:t xml:space="preserve"> </w:t>
            </w:r>
            <w:r w:rsidR="00A055D0">
              <w:rPr>
                <w:color w:val="595959" w:themeColor="text1" w:themeTint="A6"/>
                <w:szCs w:val="18"/>
              </w:rPr>
              <w:t xml:space="preserve">beter </w:t>
            </w:r>
            <w:r w:rsidR="00846F0C">
              <w:rPr>
                <w:color w:val="595959" w:themeColor="text1" w:themeTint="A6"/>
                <w:szCs w:val="18"/>
              </w:rPr>
              <w:t xml:space="preserve">in kaart te brengen, </w:t>
            </w:r>
            <w:r w:rsidR="0052683D">
              <w:rPr>
                <w:color w:val="595959" w:themeColor="text1" w:themeTint="A6"/>
                <w:szCs w:val="18"/>
              </w:rPr>
              <w:t>wil</w:t>
            </w:r>
            <w:r w:rsidR="00846F0C">
              <w:rPr>
                <w:color w:val="595959" w:themeColor="text1" w:themeTint="A6"/>
                <w:szCs w:val="18"/>
              </w:rPr>
              <w:t xml:space="preserve"> de Commissie</w:t>
            </w:r>
            <w:r w:rsidR="0052683D">
              <w:rPr>
                <w:color w:val="595959" w:themeColor="text1" w:themeTint="A6"/>
                <w:szCs w:val="18"/>
              </w:rPr>
              <w:t xml:space="preserve"> met onderhavig voorstel de</w:t>
            </w:r>
            <w:r w:rsidR="00846F0C">
              <w:rPr>
                <w:color w:val="595959" w:themeColor="text1" w:themeTint="A6"/>
                <w:szCs w:val="18"/>
              </w:rPr>
              <w:t xml:space="preserve"> </w:t>
            </w:r>
            <w:r w:rsidRPr="00822240" w:rsidR="00822240">
              <w:rPr>
                <w:color w:val="595959" w:themeColor="text1" w:themeTint="A6"/>
                <w:szCs w:val="18"/>
              </w:rPr>
              <w:t xml:space="preserve">lacunes in de gegevens over fysiek zakelijk onroerend goed opvullen. </w:t>
            </w:r>
            <w:r w:rsidRPr="00822240" w:rsidR="0052683D">
              <w:rPr>
                <w:color w:val="595959" w:themeColor="text1" w:themeTint="A6"/>
                <w:szCs w:val="18"/>
              </w:rPr>
              <w:t xml:space="preserve">Het voorstel </w:t>
            </w:r>
            <w:r w:rsidR="0052683D">
              <w:rPr>
                <w:color w:val="595959" w:themeColor="text1" w:themeTint="A6"/>
                <w:szCs w:val="18"/>
              </w:rPr>
              <w:t>moet</w:t>
            </w:r>
            <w:r w:rsidRPr="00822240" w:rsidR="0052683D">
              <w:rPr>
                <w:color w:val="595959" w:themeColor="text1" w:themeTint="A6"/>
                <w:szCs w:val="18"/>
              </w:rPr>
              <w:t xml:space="preserve"> er</w:t>
            </w:r>
            <w:r w:rsidR="0052683D">
              <w:rPr>
                <w:color w:val="595959" w:themeColor="text1" w:themeTint="A6"/>
                <w:szCs w:val="18"/>
              </w:rPr>
              <w:t xml:space="preserve"> ook </w:t>
            </w:r>
            <w:r w:rsidRPr="00822240" w:rsidR="0052683D">
              <w:rPr>
                <w:color w:val="595959" w:themeColor="text1" w:themeTint="A6"/>
                <w:szCs w:val="18"/>
              </w:rPr>
              <w:t>voor zorgen dat deze statistieken in alle EU-lidstaten vergelijkbaar en consistent zijn</w:t>
            </w:r>
          </w:p>
        </w:tc>
      </w:tr>
    </w:tbl>
    <w:p w:rsidRPr="00C66E98" w:rsidR="000D6D50" w:rsidP="000D6D50" w:rsidRDefault="000D6D50" w14:paraId="6120F728" w14:textId="77777777">
      <w:pPr>
        <w:pStyle w:val="Lijstalinea"/>
        <w:rPr>
          <w:b/>
          <w:szCs w:val="18"/>
        </w:rPr>
      </w:pPr>
    </w:p>
    <w:p w:rsidRPr="00C66E98"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p w:rsidRPr="00A9227F" w:rsidR="00465C0D" w:rsidP="006F2511" w:rsidRDefault="00465C0D" w14:paraId="497BDC9C"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805EF"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C39600"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D805EF" w:rsidR="00D805EF" w:rsidP="00D805EF" w:rsidRDefault="00D805EF" w14:paraId="0C5E3C92" w14:textId="5C0EE8BC">
            <w:pPr>
              <w:spacing w:after="160" w:line="278" w:lineRule="auto"/>
            </w:pPr>
            <w:r w:rsidRPr="002F27D3">
              <w:t>MEDEDELING VAN DE COMMISSIE AAN HET EUROPEES PARLEMENT, DE EUROPESE RAAD, DE RAAD, DE EUROPESE CENTRALE BANK, HET EUROPEES ECONOMISCH EN SOCIAAL COMITÉ EN HET COMITÉ VAN DE REGIO'S Spaar- en investeringsunie. Een strategie om in de EU de welvaart van burgers en het economische concurrentievermogen te stimuleren</w:t>
            </w:r>
            <w:r>
              <w:t xml:space="preserve"> </w:t>
            </w:r>
            <w:hyperlink w:history="1" r:id="rId16">
              <w:r w:rsidRPr="002F27D3">
                <w:rPr>
                  <w:rStyle w:val="Hyperlink"/>
                </w:rPr>
                <w:t>COM(2025)124</w:t>
              </w:r>
            </w:hyperlink>
          </w:p>
        </w:tc>
      </w:tr>
      <w:tr w:rsidRPr="00A9227F"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D805EF" w:rsidR="002A4BD8" w:rsidP="003A21AA" w:rsidRDefault="002A4BD8" w14:paraId="230BAF7C" w14:textId="77777777">
            <w:pPr>
              <w:spacing w:after="240"/>
              <w:rPr>
                <w:szCs w:val="18"/>
              </w:rPr>
            </w:pPr>
          </w:p>
        </w:tc>
        <w:tc>
          <w:tcPr>
            <w:tcW w:w="1035" w:type="dxa"/>
          </w:tcPr>
          <w:p w:rsidRPr="00A9227F" w:rsidR="002A4BD8" w:rsidP="003A21AA" w:rsidRDefault="002A4BD8" w14:paraId="1257E0FF" w14:textId="77777777">
            <w:pPr>
              <w:spacing w:after="240"/>
              <w:rPr>
                <w:szCs w:val="18"/>
              </w:rPr>
            </w:pPr>
            <w:r w:rsidRPr="00A9227F">
              <w:rPr>
                <w:szCs w:val="18"/>
              </w:rPr>
              <w:t>Voorstel</w:t>
            </w:r>
          </w:p>
        </w:tc>
        <w:tc>
          <w:tcPr>
            <w:tcW w:w="6529" w:type="dxa"/>
          </w:tcPr>
          <w:p w:rsidRPr="00A9227F" w:rsidR="002A4BD8" w:rsidP="003A21AA" w:rsidRDefault="00D805EF" w14:paraId="505F4BE9" w14:textId="64B98A1F">
            <w:pPr>
              <w:spacing w:after="240"/>
              <w:rPr>
                <w:szCs w:val="18"/>
              </w:rPr>
            </w:pPr>
            <w:r>
              <w:rPr>
                <w:szCs w:val="18"/>
              </w:rPr>
              <w:t xml:space="preserve">Betrekken bij commissiedebat van </w:t>
            </w:r>
            <w:hyperlink w:history="1" r:id="rId17">
              <w:r w:rsidRPr="00411452" w:rsidR="00724429">
                <w:rPr>
                  <w:rStyle w:val="Hyperlink"/>
                  <w:szCs w:val="18"/>
                </w:rPr>
                <w:t>15 mei</w:t>
              </w:r>
            </w:hyperlink>
            <w:r>
              <w:rPr>
                <w:szCs w:val="18"/>
              </w:rPr>
              <w:t xml:space="preserve"> a.s. over de kapitaalmarktunie</w:t>
            </w:r>
            <w:r w:rsidR="00244F5A">
              <w:rPr>
                <w:szCs w:val="18"/>
              </w:rPr>
              <w:t>.</w:t>
            </w:r>
          </w:p>
        </w:tc>
      </w:tr>
      <w:tr w:rsidRPr="00A9227F"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7D9A1404" w14:textId="77777777">
            <w:pPr>
              <w:spacing w:after="240"/>
              <w:rPr>
                <w:color w:val="595959" w:themeColor="text1" w:themeTint="A6"/>
                <w:szCs w:val="18"/>
              </w:rPr>
            </w:pPr>
          </w:p>
        </w:tc>
        <w:tc>
          <w:tcPr>
            <w:tcW w:w="1035" w:type="dxa"/>
          </w:tcPr>
          <w:p w:rsidRPr="00A9227F" w:rsidR="002A4BD8" w:rsidP="003A21AA" w:rsidRDefault="002A4BD8" w14:paraId="1AFEDB1C" w14:textId="77777777">
            <w:pPr>
              <w:spacing w:after="240"/>
              <w:rPr>
                <w:color w:val="595959" w:themeColor="text1" w:themeTint="A6"/>
                <w:szCs w:val="18"/>
              </w:rPr>
            </w:pPr>
            <w:r w:rsidRPr="00A9227F">
              <w:rPr>
                <w:color w:val="595959" w:themeColor="text1" w:themeTint="A6"/>
                <w:szCs w:val="18"/>
              </w:rPr>
              <w:t>Noot</w:t>
            </w:r>
          </w:p>
        </w:tc>
        <w:tc>
          <w:tcPr>
            <w:tcW w:w="6529" w:type="dxa"/>
          </w:tcPr>
          <w:p w:rsidR="00724429" w:rsidP="00411452" w:rsidRDefault="00411452" w14:paraId="6F7DCBA0" w14:textId="77777777">
            <w:pPr>
              <w:rPr>
                <w:color w:val="595959" w:themeColor="text1" w:themeTint="A6"/>
                <w:szCs w:val="18"/>
              </w:rPr>
            </w:pPr>
            <w:r>
              <w:rPr>
                <w:color w:val="595959" w:themeColor="text1" w:themeTint="A6"/>
                <w:szCs w:val="18"/>
              </w:rPr>
              <w:t>De</w:t>
            </w:r>
            <w:r w:rsidRPr="00411452">
              <w:rPr>
                <w:color w:val="595959" w:themeColor="text1" w:themeTint="A6"/>
                <w:szCs w:val="18"/>
              </w:rPr>
              <w:t xml:space="preserve"> Spaar- en Investeringsunie, de nieuwe overkoepelende term voor de kapitaalmarktunie en bankenunie</w:t>
            </w:r>
            <w:r>
              <w:rPr>
                <w:color w:val="595959" w:themeColor="text1" w:themeTint="A6"/>
                <w:szCs w:val="18"/>
              </w:rPr>
              <w:t>, moet</w:t>
            </w:r>
            <w:r w:rsidR="00724429">
              <w:rPr>
                <w:color w:val="595959" w:themeColor="text1" w:themeTint="A6"/>
                <w:szCs w:val="18"/>
              </w:rPr>
              <w:t xml:space="preserve">  </w:t>
            </w:r>
            <w:r w:rsidRPr="00724429" w:rsidR="00724429">
              <w:rPr>
                <w:color w:val="595959" w:themeColor="text1" w:themeTint="A6"/>
                <w:szCs w:val="18"/>
              </w:rPr>
              <w:t>ervoor moet zorgen dat spaargeld beter naar productievere investeringen kan stromen</w:t>
            </w:r>
            <w:r w:rsidR="00724429">
              <w:rPr>
                <w:color w:val="595959" w:themeColor="text1" w:themeTint="A6"/>
                <w:szCs w:val="18"/>
              </w:rPr>
              <w:t>.</w:t>
            </w:r>
          </w:p>
          <w:p w:rsidRPr="00411452" w:rsidR="00411452" w:rsidP="00411452" w:rsidRDefault="00724429" w14:paraId="03B86932" w14:textId="3AB4FD1C">
            <w:pPr>
              <w:rPr>
                <w:color w:val="595959" w:themeColor="text1" w:themeTint="A6"/>
                <w:szCs w:val="18"/>
              </w:rPr>
            </w:pPr>
            <w:r>
              <w:rPr>
                <w:color w:val="595959" w:themeColor="text1" w:themeTint="A6"/>
                <w:szCs w:val="18"/>
              </w:rPr>
              <w:t xml:space="preserve">Uw </w:t>
            </w:r>
            <w:r w:rsidRPr="00411452" w:rsidR="00411452">
              <w:rPr>
                <w:color w:val="595959" w:themeColor="text1" w:themeTint="A6"/>
                <w:szCs w:val="18"/>
              </w:rPr>
              <w:t xml:space="preserve">commissie </w:t>
            </w:r>
            <w:r>
              <w:rPr>
                <w:color w:val="595959" w:themeColor="text1" w:themeTint="A6"/>
                <w:szCs w:val="18"/>
              </w:rPr>
              <w:t xml:space="preserve">heeft </w:t>
            </w:r>
            <w:r w:rsidRPr="00411452" w:rsidR="00411452">
              <w:rPr>
                <w:color w:val="595959" w:themeColor="text1" w:themeTint="A6"/>
                <w:szCs w:val="18"/>
              </w:rPr>
              <w:t xml:space="preserve">de </w:t>
            </w:r>
            <w:hyperlink w:history="1" r:id="rId18">
              <w:r w:rsidRPr="00411452" w:rsidR="00411452">
                <w:rPr>
                  <w:rStyle w:val="Hyperlink"/>
                  <w:szCs w:val="18"/>
                </w:rPr>
                <w:t>wens</w:t>
              </w:r>
            </w:hyperlink>
            <w:r w:rsidRPr="00411452" w:rsidR="00411452">
              <w:rPr>
                <w:color w:val="595959" w:themeColor="text1" w:themeTint="A6"/>
                <w:szCs w:val="18"/>
              </w:rPr>
              <w:t xml:space="preserve"> uitgesproken om een rapporteurschap op dit thema in te stellen.</w:t>
            </w:r>
          </w:p>
          <w:p w:rsidRPr="00A9227F" w:rsidR="002A4BD8" w:rsidP="00D805EF" w:rsidRDefault="002A4BD8" w14:paraId="3E288C2D" w14:textId="406D9BA3">
            <w:pPr>
              <w:rPr>
                <w:color w:val="595959" w:themeColor="text1" w:themeTint="A6"/>
                <w:szCs w:val="18"/>
              </w:rPr>
            </w:pPr>
          </w:p>
        </w:tc>
      </w:tr>
    </w:tbl>
    <w:p w:rsidRPr="00A9227F"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805EF"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50781506"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D805EF" w:rsidR="002A4BD8" w:rsidP="00860128" w:rsidRDefault="00D805EF" w14:paraId="29CB7480" w14:textId="2B1C90A5">
            <w:pPr>
              <w:spacing w:after="240"/>
              <w:rPr>
                <w:b/>
                <w:color w:val="595959" w:themeColor="text1" w:themeTint="A6"/>
                <w:szCs w:val="18"/>
              </w:rPr>
            </w:pPr>
            <w:r w:rsidRPr="002F27D3">
              <w:t xml:space="preserve">Voorstel voor een UITVOERINGSBESLUIT VAN DE RAAD waarbij Italië wordt gemachtigd om in bepaalde geografische gebieden verlaagde belastingtarieven toe te passen op gasolie en lpg voor verwarmingsdoeleinden in overeenstemming met artikel 19 van Richtlijn 2003/96/EG </w:t>
            </w:r>
            <w:hyperlink w:history="1" r:id="rId19">
              <w:r w:rsidRPr="002F27D3">
                <w:rPr>
                  <w:rStyle w:val="Hyperlink"/>
                </w:rPr>
                <w:t>COM(2025)103</w:t>
              </w:r>
            </w:hyperlink>
          </w:p>
        </w:tc>
      </w:tr>
      <w:tr w:rsidRPr="00A9227F" w:rsidR="00083030"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D805EF" w:rsidR="00083030" w:rsidP="00083030" w:rsidRDefault="00083030" w14:paraId="4862F65F" w14:textId="77777777">
            <w:pPr>
              <w:spacing w:after="240"/>
              <w:rPr>
                <w:szCs w:val="18"/>
              </w:rPr>
            </w:pPr>
          </w:p>
        </w:tc>
        <w:tc>
          <w:tcPr>
            <w:tcW w:w="1035" w:type="dxa"/>
          </w:tcPr>
          <w:p w:rsidRPr="00A9227F" w:rsidR="00083030" w:rsidP="00083030" w:rsidRDefault="00083030" w14:paraId="17927D7F" w14:textId="77777777">
            <w:pPr>
              <w:spacing w:after="240"/>
              <w:rPr>
                <w:szCs w:val="18"/>
              </w:rPr>
            </w:pPr>
            <w:r w:rsidRPr="00A9227F">
              <w:rPr>
                <w:szCs w:val="18"/>
              </w:rPr>
              <w:t>Voorstel</w:t>
            </w:r>
          </w:p>
        </w:tc>
        <w:tc>
          <w:tcPr>
            <w:tcW w:w="6529" w:type="dxa"/>
          </w:tcPr>
          <w:p w:rsidRPr="00A9227F" w:rsidR="00083030" w:rsidP="00083030" w:rsidRDefault="00860128" w14:paraId="69E52296" w14:textId="1F49D28A">
            <w:pPr>
              <w:spacing w:after="240"/>
              <w:rPr>
                <w:szCs w:val="18"/>
              </w:rPr>
            </w:pPr>
            <w:r>
              <w:rPr>
                <w:szCs w:val="18"/>
              </w:rPr>
              <w:t>Voor kennisgeving aannemen</w:t>
            </w:r>
          </w:p>
        </w:tc>
      </w:tr>
      <w:tr w:rsidRPr="00A9227F" w:rsidR="00083030"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083030" w:rsidP="00083030" w:rsidRDefault="00083030" w14:paraId="677C0A18" w14:textId="77777777">
            <w:pPr>
              <w:spacing w:after="240"/>
              <w:rPr>
                <w:color w:val="595959" w:themeColor="text1" w:themeTint="A6"/>
                <w:szCs w:val="18"/>
              </w:rPr>
            </w:pPr>
          </w:p>
        </w:tc>
        <w:tc>
          <w:tcPr>
            <w:tcW w:w="1035" w:type="dxa"/>
          </w:tcPr>
          <w:p w:rsidRPr="00A9227F" w:rsidR="00083030" w:rsidP="00083030" w:rsidRDefault="00083030" w14:paraId="1C9C2532"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5866C0" w:rsidP="00120BE4" w:rsidRDefault="005866C0" w14:paraId="2D4BA6EA" w14:textId="1649B638">
            <w:pPr>
              <w:spacing w:after="240"/>
              <w:rPr>
                <w:color w:val="595959" w:themeColor="text1" w:themeTint="A6"/>
                <w:szCs w:val="18"/>
              </w:rPr>
            </w:pPr>
            <w:r>
              <w:rPr>
                <w:color w:val="595959" w:themeColor="text1" w:themeTint="A6"/>
                <w:szCs w:val="18"/>
              </w:rPr>
              <w:t xml:space="preserve">De Commissie stelt voor om voor Italië een derogatie </w:t>
            </w:r>
            <w:r w:rsidR="00120BE4">
              <w:rPr>
                <w:color w:val="595959" w:themeColor="text1" w:themeTint="A6"/>
                <w:szCs w:val="18"/>
              </w:rPr>
              <w:t xml:space="preserve">van de energiebelasting richtlijn te verlengen die het in staat stelt voor </w:t>
            </w:r>
            <w:r w:rsidRPr="005866C0">
              <w:rPr>
                <w:color w:val="595959" w:themeColor="text1" w:themeTint="A6"/>
                <w:szCs w:val="18"/>
              </w:rPr>
              <w:t>bepaalde bijzonder benadeelde geografische gebieden verlaagde belastingtarieven toe te passen op gasolie en lpg voor verwarmingsdoeleinden, teneinde de hoge stookkosten van de bewoners van die gebieden ten dele te compenseren.</w:t>
            </w:r>
          </w:p>
        </w:tc>
      </w:tr>
    </w:tbl>
    <w:p w:rsidRPr="00A9227F"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90BEE"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0AA8D21F"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D805EF" w:rsidR="002A4BD8" w:rsidP="003A21AA" w:rsidRDefault="00D805EF" w14:paraId="099195DA" w14:textId="514A0F9D">
            <w:pPr>
              <w:spacing w:after="240"/>
              <w:rPr>
                <w:b/>
                <w:color w:val="595959" w:themeColor="text1" w:themeTint="A6"/>
                <w:szCs w:val="18"/>
                <w:lang w:val="en-US"/>
              </w:rPr>
            </w:pPr>
            <w:r w:rsidRPr="002F27D3">
              <w:rPr>
                <w:lang w:val="en-US"/>
              </w:rPr>
              <w:t xml:space="preserve">REPORT FROM THE COMMISSION TO THE EUROPEAN PARLIAMENT AND THE COUNCIL Half-yearly report on the implementation of borrowing, debt management and related lending operations pursuant to Article 13 of Commission Implementing Decision C(2023)8010 1 July 2024 to 31 December 2024 </w:t>
            </w:r>
            <w:hyperlink w:history="1" r:id="rId20">
              <w:r w:rsidRPr="002F27D3">
                <w:rPr>
                  <w:rStyle w:val="Hyperlink"/>
                  <w:lang w:val="en-US"/>
                </w:rPr>
                <w:t>COM(2025)70</w:t>
              </w:r>
            </w:hyperlink>
          </w:p>
        </w:tc>
      </w:tr>
      <w:tr w:rsidRPr="00A9227F" w:rsidR="00083030"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D805EF" w:rsidR="00083030" w:rsidP="00083030" w:rsidRDefault="00083030" w14:paraId="6306B713" w14:textId="77777777">
            <w:pPr>
              <w:spacing w:after="240"/>
              <w:rPr>
                <w:szCs w:val="18"/>
                <w:lang w:val="en-US"/>
              </w:rPr>
            </w:pPr>
          </w:p>
        </w:tc>
        <w:tc>
          <w:tcPr>
            <w:tcW w:w="1035" w:type="dxa"/>
          </w:tcPr>
          <w:p w:rsidRPr="00A9227F" w:rsidR="00083030" w:rsidP="00083030" w:rsidRDefault="00083030" w14:paraId="13AA2E6B" w14:textId="77777777">
            <w:pPr>
              <w:spacing w:after="240"/>
              <w:rPr>
                <w:szCs w:val="18"/>
              </w:rPr>
            </w:pPr>
            <w:r w:rsidRPr="00A9227F">
              <w:rPr>
                <w:szCs w:val="18"/>
              </w:rPr>
              <w:t>Voorstel</w:t>
            </w:r>
          </w:p>
        </w:tc>
        <w:tc>
          <w:tcPr>
            <w:tcW w:w="6529" w:type="dxa"/>
          </w:tcPr>
          <w:p w:rsidRPr="00A9227F" w:rsidR="00083030" w:rsidP="00083030" w:rsidRDefault="00860128" w14:paraId="02C38289" w14:textId="0494E2B9">
            <w:pPr>
              <w:spacing w:after="240"/>
              <w:rPr>
                <w:szCs w:val="18"/>
              </w:rPr>
            </w:pPr>
            <w:r>
              <w:rPr>
                <w:szCs w:val="18"/>
              </w:rPr>
              <w:t>Voor kennisgeving aannemen</w:t>
            </w:r>
          </w:p>
        </w:tc>
      </w:tr>
      <w:tr w:rsidRPr="00A9227F" w:rsidR="00083030"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083030" w:rsidP="00083030" w:rsidRDefault="00083030" w14:paraId="65856223" w14:textId="77777777">
            <w:pPr>
              <w:spacing w:after="240"/>
              <w:rPr>
                <w:color w:val="595959" w:themeColor="text1" w:themeTint="A6"/>
                <w:szCs w:val="18"/>
              </w:rPr>
            </w:pPr>
          </w:p>
        </w:tc>
        <w:tc>
          <w:tcPr>
            <w:tcW w:w="1035" w:type="dxa"/>
          </w:tcPr>
          <w:p w:rsidRPr="00A9227F" w:rsidR="00083030" w:rsidP="00083030" w:rsidRDefault="00083030" w14:paraId="4912C224"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001F6D" w:rsidP="00BF4A25" w:rsidRDefault="00001F6D" w14:paraId="6FAEA85B" w14:textId="7921847F">
            <w:pPr>
              <w:spacing w:after="240"/>
              <w:rPr>
                <w:color w:val="595959" w:themeColor="text1" w:themeTint="A6"/>
                <w:szCs w:val="18"/>
              </w:rPr>
            </w:pPr>
            <w:r>
              <w:rPr>
                <w:color w:val="595959" w:themeColor="text1" w:themeTint="A6"/>
                <w:szCs w:val="18"/>
              </w:rPr>
              <w:t>De Commissie brengt verslag uit over haar leenactiviteiten op de kapitaalmarkten gedurende de tweede helft van 2024.</w:t>
            </w:r>
            <w:r w:rsidR="00BF4A25">
              <w:rPr>
                <w:color w:val="595959" w:themeColor="text1" w:themeTint="A6"/>
                <w:szCs w:val="18"/>
              </w:rPr>
              <w:t xml:space="preserve"> In totaal is gedurende dat half jaar m</w:t>
            </w:r>
            <w:r w:rsidRPr="00001F6D">
              <w:rPr>
                <w:color w:val="595959" w:themeColor="text1" w:themeTint="A6"/>
                <w:szCs w:val="18"/>
              </w:rPr>
              <w:t>et vier syndicaties en zes veilingen 64,3 miljard EUR opgehaald, met een gemiddelde looptijd van ongeveer 12 jaar, waarmee het totaal aan langetermijnfinanciering dat in 2024 is aangetrokken, op 138,1 miljard EUR komt.</w:t>
            </w:r>
          </w:p>
        </w:tc>
      </w:tr>
    </w:tbl>
    <w:p w:rsidRPr="00A9227F" w:rsidR="002A4BD8" w:rsidP="002A4BD8" w:rsidRDefault="002A4BD8" w14:paraId="6014D29F" w14:textId="522DF1FD">
      <w:pPr>
        <w:rPr>
          <w:szCs w:val="18"/>
        </w:rPr>
      </w:pPr>
    </w:p>
    <w:p w:rsidR="006E5214" w:rsidP="002A4BD8" w:rsidRDefault="006E5214" w14:paraId="354AC484" w14:textId="77777777">
      <w:pPr>
        <w:rPr>
          <w:szCs w:val="18"/>
        </w:rPr>
      </w:pPr>
    </w:p>
    <w:p w:rsidR="00D805EF" w:rsidP="002A4BD8" w:rsidRDefault="00D805EF" w14:paraId="059B7681"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805EF" w:rsidR="00D805EF" w:rsidTr="008D0698" w14:paraId="29AC278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805EF" w:rsidP="008D0698" w:rsidRDefault="00D805EF" w14:paraId="02630353" w14:textId="77777777">
            <w:pPr>
              <w:pStyle w:val="Lijstalinea"/>
              <w:numPr>
                <w:ilvl w:val="0"/>
                <w:numId w:val="10"/>
              </w:numPr>
              <w:spacing w:after="240"/>
              <w:ind w:left="312"/>
              <w:rPr>
                <w:color w:val="595959" w:themeColor="text1" w:themeTint="A6"/>
                <w:szCs w:val="18"/>
              </w:rPr>
            </w:pPr>
          </w:p>
        </w:tc>
        <w:tc>
          <w:tcPr>
            <w:tcW w:w="1035" w:type="dxa"/>
          </w:tcPr>
          <w:p w:rsidRPr="00A9227F" w:rsidR="00D805EF" w:rsidP="008D0698" w:rsidRDefault="00D805EF" w14:paraId="2B833BD4" w14:textId="77777777">
            <w:pPr>
              <w:spacing w:after="240"/>
              <w:rPr>
                <w:color w:val="595959" w:themeColor="text1" w:themeTint="A6"/>
                <w:szCs w:val="18"/>
              </w:rPr>
            </w:pPr>
            <w:r w:rsidRPr="00A9227F">
              <w:rPr>
                <w:color w:val="595959" w:themeColor="text1" w:themeTint="A6"/>
                <w:szCs w:val="18"/>
              </w:rPr>
              <w:t>Titel</w:t>
            </w:r>
          </w:p>
        </w:tc>
        <w:tc>
          <w:tcPr>
            <w:tcW w:w="6529" w:type="dxa"/>
          </w:tcPr>
          <w:p w:rsidR="00D805EF" w:rsidP="00D805EF" w:rsidRDefault="00D805EF" w14:paraId="649A34AA" w14:textId="77777777">
            <w:r w:rsidRPr="002F27D3">
              <w:t xml:space="preserve">Voorstel voor een UITVOERINGSBESLUIT VAN DE RAAD waarbij Slowakije wordt gemachtigd een bijzondere maatregel toe te passen die afwijkt van artikel 26, lid 1, punt a), en de artikelen 168 en 168 bis van Richtlijn 2006/112/EG betreffende het gemeenschappelijke stelsel van belasting over de toegevoegde waarde </w:t>
            </w:r>
            <w:hyperlink w:history="1" r:id="rId21">
              <w:r w:rsidRPr="002F27D3">
                <w:rPr>
                  <w:rStyle w:val="Hyperlink"/>
                </w:rPr>
                <w:t>COM(2025)104</w:t>
              </w:r>
            </w:hyperlink>
          </w:p>
          <w:p w:rsidRPr="00D805EF" w:rsidR="00D805EF" w:rsidP="00D805EF" w:rsidRDefault="00D805EF" w14:paraId="649B0217" w14:textId="2855D7CD">
            <w:pPr>
              <w:rPr>
                <w:b/>
                <w:color w:val="595959" w:themeColor="text1" w:themeTint="A6"/>
                <w:szCs w:val="18"/>
              </w:rPr>
            </w:pPr>
          </w:p>
        </w:tc>
      </w:tr>
      <w:tr w:rsidRPr="00A9227F" w:rsidR="00D805EF" w:rsidTr="008D0698" w14:paraId="7119DAB8" w14:textId="77777777">
        <w:tc>
          <w:tcPr>
            <w:tcW w:w="421" w:type="dxa"/>
            <w:vMerge/>
            <w:tcBorders>
              <w:top w:val="nil"/>
              <w:bottom w:val="single" w:color="D9D9D9" w:themeColor="background1" w:themeShade="D9" w:sz="4" w:space="0"/>
            </w:tcBorders>
            <w:shd w:val="clear" w:color="auto" w:fill="F2F2F2" w:themeFill="background1" w:themeFillShade="F2"/>
          </w:tcPr>
          <w:p w:rsidRPr="00D805EF" w:rsidR="00D805EF" w:rsidP="008D0698" w:rsidRDefault="00D805EF" w14:paraId="4C75A449" w14:textId="77777777">
            <w:pPr>
              <w:spacing w:after="240"/>
              <w:rPr>
                <w:szCs w:val="18"/>
              </w:rPr>
            </w:pPr>
          </w:p>
        </w:tc>
        <w:tc>
          <w:tcPr>
            <w:tcW w:w="1035" w:type="dxa"/>
          </w:tcPr>
          <w:p w:rsidRPr="00A9227F" w:rsidR="00D805EF" w:rsidP="008D0698" w:rsidRDefault="00D805EF" w14:paraId="582C657A" w14:textId="77777777">
            <w:pPr>
              <w:spacing w:after="240"/>
              <w:rPr>
                <w:szCs w:val="18"/>
              </w:rPr>
            </w:pPr>
            <w:r w:rsidRPr="00A9227F">
              <w:rPr>
                <w:szCs w:val="18"/>
              </w:rPr>
              <w:t>Voorstel</w:t>
            </w:r>
          </w:p>
        </w:tc>
        <w:tc>
          <w:tcPr>
            <w:tcW w:w="6529" w:type="dxa"/>
          </w:tcPr>
          <w:p w:rsidRPr="00A9227F" w:rsidR="00D805EF" w:rsidP="008D0698" w:rsidRDefault="00D805EF" w14:paraId="3A3DD4CF" w14:textId="77777777">
            <w:pPr>
              <w:spacing w:after="240"/>
              <w:rPr>
                <w:szCs w:val="18"/>
              </w:rPr>
            </w:pPr>
            <w:r>
              <w:rPr>
                <w:szCs w:val="18"/>
              </w:rPr>
              <w:t>Voor kennisgeving aannemen</w:t>
            </w:r>
          </w:p>
        </w:tc>
      </w:tr>
      <w:tr w:rsidRPr="00A9227F" w:rsidR="00D805EF" w:rsidTr="008D0698" w14:paraId="4598B7CB"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805EF" w:rsidP="008D0698" w:rsidRDefault="00D805EF" w14:paraId="07E8B6AA" w14:textId="77777777">
            <w:pPr>
              <w:spacing w:after="240"/>
              <w:rPr>
                <w:color w:val="595959" w:themeColor="text1" w:themeTint="A6"/>
                <w:szCs w:val="18"/>
              </w:rPr>
            </w:pPr>
          </w:p>
        </w:tc>
        <w:tc>
          <w:tcPr>
            <w:tcW w:w="1035" w:type="dxa"/>
          </w:tcPr>
          <w:p w:rsidRPr="00A9227F" w:rsidR="00D805EF" w:rsidP="008D0698" w:rsidRDefault="00D805EF" w14:paraId="05B447F1"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B70F59" w:rsidP="008D0698" w:rsidRDefault="00B70F59" w14:paraId="70389428" w14:textId="2B13B710">
            <w:pPr>
              <w:spacing w:after="240"/>
              <w:rPr>
                <w:color w:val="595959" w:themeColor="text1" w:themeTint="A6"/>
                <w:szCs w:val="18"/>
              </w:rPr>
            </w:pPr>
            <w:r>
              <w:rPr>
                <w:color w:val="595959" w:themeColor="text1" w:themeTint="A6"/>
                <w:szCs w:val="18"/>
              </w:rPr>
              <w:t xml:space="preserve">De Commissie stelt voor om Slowakije een derogatie van de </w:t>
            </w:r>
            <w:r w:rsidR="001336DF">
              <w:rPr>
                <w:color w:val="595959" w:themeColor="text1" w:themeTint="A6"/>
                <w:szCs w:val="18"/>
              </w:rPr>
              <w:t xml:space="preserve">btw-richtlijn te verlenen die deze lidstaat in staat stelt om </w:t>
            </w:r>
            <w:r w:rsidRPr="00B70F59">
              <w:rPr>
                <w:color w:val="595959" w:themeColor="text1" w:themeTint="A6"/>
                <w:szCs w:val="18"/>
              </w:rPr>
              <w:t xml:space="preserve">het recht op aftrek van de voorbelasting te mogen beperken ter zake van de aankoop, leasing, intracommunautaire verwerving en invoer van motorvoertuigen van categorie M1, motorfietsen van categorie L1e en motorfietsen van categorie L3e  , alsook ter zake van de levering van daarmee verband houdende diensten, reserveonderdelen, </w:t>
            </w:r>
            <w:r w:rsidRPr="00B70F59">
              <w:rPr>
                <w:color w:val="595959" w:themeColor="text1" w:themeTint="A6"/>
                <w:szCs w:val="18"/>
              </w:rPr>
              <w:lastRenderedPageBreak/>
              <w:t xml:space="preserve">accessoires en brandstof, wanneer deze voertuigen gelijktijdig voor bedrijfsdoeleinden en voor andere doeleinden worden gebruikt. </w:t>
            </w:r>
          </w:p>
        </w:tc>
      </w:tr>
    </w:tbl>
    <w:p w:rsidRPr="00A9227F" w:rsidR="00D805EF" w:rsidP="00D805EF" w:rsidRDefault="00D805EF" w14:paraId="0ECFCAEE" w14:textId="77777777">
      <w:pPr>
        <w:rPr>
          <w:szCs w:val="18"/>
        </w:rPr>
      </w:pPr>
    </w:p>
    <w:p w:rsidR="00D805EF" w:rsidP="00D805EF" w:rsidRDefault="00D805EF" w14:paraId="54A8BA51" w14:textId="77777777">
      <w:pPr>
        <w:rPr>
          <w:szCs w:val="18"/>
        </w:rPr>
      </w:pPr>
    </w:p>
    <w:p w:rsidR="00D805EF" w:rsidP="002A4BD8" w:rsidRDefault="00D805EF" w14:paraId="48DA8667" w14:textId="77777777">
      <w:pPr>
        <w:rPr>
          <w:szCs w:val="18"/>
        </w:rPr>
      </w:pPr>
    </w:p>
    <w:p w:rsidRPr="00A9227F" w:rsidR="00D805EF" w:rsidP="002A4BD8" w:rsidRDefault="00D805EF" w14:paraId="1EA96996" w14:textId="0AE353A0">
      <w:pPr>
        <w:rPr>
          <w:szCs w:val="18"/>
        </w:rPr>
      </w:pPr>
    </w:p>
    <w:sectPr w:rsidRPr="00A9227F" w:rsidR="00D805EF" w:rsidSect="00BF62AD">
      <w:headerReference w:type="default" r:id="rId22"/>
      <w:footerReference w:type="default" r:id="rId23"/>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E7E9A" w14:textId="77777777" w:rsidR="008C5659" w:rsidRDefault="008C5659">
      <w:r>
        <w:separator/>
      </w:r>
    </w:p>
  </w:endnote>
  <w:endnote w:type="continuationSeparator" w:id="0">
    <w:p w14:paraId="28D2245A" w14:textId="77777777" w:rsidR="008C5659" w:rsidRDefault="008C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70781" w14:textId="77777777" w:rsidR="008C5659" w:rsidRDefault="008C5659">
      <w:r>
        <w:separator/>
      </w:r>
    </w:p>
  </w:footnote>
  <w:footnote w:type="continuationSeparator" w:id="0">
    <w:p w14:paraId="2C57BFDD" w14:textId="77777777" w:rsidR="008C5659" w:rsidRDefault="008C5659">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1811"/>
    <w:rsid w:val="00001F6D"/>
    <w:rsid w:val="000037E5"/>
    <w:rsid w:val="00004383"/>
    <w:rsid w:val="000044C7"/>
    <w:rsid w:val="00006780"/>
    <w:rsid w:val="00007BE8"/>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75A2"/>
    <w:rsid w:val="00083030"/>
    <w:rsid w:val="00084262"/>
    <w:rsid w:val="00084302"/>
    <w:rsid w:val="00085FA1"/>
    <w:rsid w:val="00087299"/>
    <w:rsid w:val="00087FDE"/>
    <w:rsid w:val="00092D35"/>
    <w:rsid w:val="00094546"/>
    <w:rsid w:val="00094A9B"/>
    <w:rsid w:val="00094AEA"/>
    <w:rsid w:val="000A1C2B"/>
    <w:rsid w:val="000A23C5"/>
    <w:rsid w:val="000B2192"/>
    <w:rsid w:val="000B7C51"/>
    <w:rsid w:val="000B7F23"/>
    <w:rsid w:val="000C15DA"/>
    <w:rsid w:val="000C43D2"/>
    <w:rsid w:val="000C44F1"/>
    <w:rsid w:val="000C757C"/>
    <w:rsid w:val="000C7A3D"/>
    <w:rsid w:val="000D1563"/>
    <w:rsid w:val="000D3187"/>
    <w:rsid w:val="000D6D50"/>
    <w:rsid w:val="000E56B6"/>
    <w:rsid w:val="000E5890"/>
    <w:rsid w:val="000E59AA"/>
    <w:rsid w:val="000E6653"/>
    <w:rsid w:val="000E69FD"/>
    <w:rsid w:val="000E7C39"/>
    <w:rsid w:val="000F23BF"/>
    <w:rsid w:val="000F359C"/>
    <w:rsid w:val="000F36CD"/>
    <w:rsid w:val="000F5363"/>
    <w:rsid w:val="000F5722"/>
    <w:rsid w:val="00102FE4"/>
    <w:rsid w:val="00105391"/>
    <w:rsid w:val="00120BE4"/>
    <w:rsid w:val="00120FD2"/>
    <w:rsid w:val="001336DF"/>
    <w:rsid w:val="0013509E"/>
    <w:rsid w:val="0013623C"/>
    <w:rsid w:val="001401C7"/>
    <w:rsid w:val="00141D39"/>
    <w:rsid w:val="0014288C"/>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4881"/>
    <w:rsid w:val="001B7CAE"/>
    <w:rsid w:val="001C14DB"/>
    <w:rsid w:val="001C3467"/>
    <w:rsid w:val="001D08B2"/>
    <w:rsid w:val="001D3CD3"/>
    <w:rsid w:val="001D7897"/>
    <w:rsid w:val="001D7B39"/>
    <w:rsid w:val="001E143A"/>
    <w:rsid w:val="001E1C84"/>
    <w:rsid w:val="001E39BA"/>
    <w:rsid w:val="001F1517"/>
    <w:rsid w:val="001F4221"/>
    <w:rsid w:val="001F7012"/>
    <w:rsid w:val="001F73F7"/>
    <w:rsid w:val="002048D9"/>
    <w:rsid w:val="00210705"/>
    <w:rsid w:val="00211391"/>
    <w:rsid w:val="00216C27"/>
    <w:rsid w:val="00221D6B"/>
    <w:rsid w:val="002227E3"/>
    <w:rsid w:val="0022374D"/>
    <w:rsid w:val="00224294"/>
    <w:rsid w:val="00227D85"/>
    <w:rsid w:val="00235B3D"/>
    <w:rsid w:val="00241DE4"/>
    <w:rsid w:val="00244F5A"/>
    <w:rsid w:val="00245D08"/>
    <w:rsid w:val="00251996"/>
    <w:rsid w:val="002538C7"/>
    <w:rsid w:val="00262A1B"/>
    <w:rsid w:val="00266365"/>
    <w:rsid w:val="00271075"/>
    <w:rsid w:val="0028208B"/>
    <w:rsid w:val="002826C8"/>
    <w:rsid w:val="00287206"/>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2F7FEC"/>
    <w:rsid w:val="003023F3"/>
    <w:rsid w:val="0030416C"/>
    <w:rsid w:val="003066D7"/>
    <w:rsid w:val="0031228D"/>
    <w:rsid w:val="00313734"/>
    <w:rsid w:val="003154A8"/>
    <w:rsid w:val="0031630D"/>
    <w:rsid w:val="003214FD"/>
    <w:rsid w:val="00322A38"/>
    <w:rsid w:val="00323B5A"/>
    <w:rsid w:val="00324A4E"/>
    <w:rsid w:val="0032616D"/>
    <w:rsid w:val="00326A27"/>
    <w:rsid w:val="00326C25"/>
    <w:rsid w:val="00331729"/>
    <w:rsid w:val="00331CCE"/>
    <w:rsid w:val="0033344D"/>
    <w:rsid w:val="003354DB"/>
    <w:rsid w:val="003410ED"/>
    <w:rsid w:val="00346125"/>
    <w:rsid w:val="00352A08"/>
    <w:rsid w:val="00355ACA"/>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5BBE"/>
    <w:rsid w:val="003F628A"/>
    <w:rsid w:val="00403FAF"/>
    <w:rsid w:val="00405747"/>
    <w:rsid w:val="0041042A"/>
    <w:rsid w:val="00411452"/>
    <w:rsid w:val="00411808"/>
    <w:rsid w:val="0041634B"/>
    <w:rsid w:val="00416E67"/>
    <w:rsid w:val="00420882"/>
    <w:rsid w:val="00424531"/>
    <w:rsid w:val="00424D04"/>
    <w:rsid w:val="004264EA"/>
    <w:rsid w:val="004265B2"/>
    <w:rsid w:val="00427600"/>
    <w:rsid w:val="0043382C"/>
    <w:rsid w:val="0043446E"/>
    <w:rsid w:val="00434BC6"/>
    <w:rsid w:val="00441745"/>
    <w:rsid w:val="00442D7A"/>
    <w:rsid w:val="0044508B"/>
    <w:rsid w:val="004521E2"/>
    <w:rsid w:val="00455D0F"/>
    <w:rsid w:val="004573F4"/>
    <w:rsid w:val="004577D5"/>
    <w:rsid w:val="004605A4"/>
    <w:rsid w:val="00461756"/>
    <w:rsid w:val="0046311A"/>
    <w:rsid w:val="00464184"/>
    <w:rsid w:val="00465C0D"/>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6DD4"/>
    <w:rsid w:val="004C7B01"/>
    <w:rsid w:val="004D66D8"/>
    <w:rsid w:val="004E3424"/>
    <w:rsid w:val="004E426E"/>
    <w:rsid w:val="004E5595"/>
    <w:rsid w:val="00505F93"/>
    <w:rsid w:val="00507A41"/>
    <w:rsid w:val="00511442"/>
    <w:rsid w:val="005115F8"/>
    <w:rsid w:val="005142E0"/>
    <w:rsid w:val="005158C0"/>
    <w:rsid w:val="0051638F"/>
    <w:rsid w:val="00516A54"/>
    <w:rsid w:val="00520D88"/>
    <w:rsid w:val="00521E24"/>
    <w:rsid w:val="00522540"/>
    <w:rsid w:val="00525BF3"/>
    <w:rsid w:val="00525CAA"/>
    <w:rsid w:val="00526065"/>
    <w:rsid w:val="0052683D"/>
    <w:rsid w:val="00527428"/>
    <w:rsid w:val="005324DF"/>
    <w:rsid w:val="005376B8"/>
    <w:rsid w:val="00540F78"/>
    <w:rsid w:val="00543233"/>
    <w:rsid w:val="00543BB4"/>
    <w:rsid w:val="00554CBF"/>
    <w:rsid w:val="005603E2"/>
    <w:rsid w:val="0056106A"/>
    <w:rsid w:val="00565011"/>
    <w:rsid w:val="00574B96"/>
    <w:rsid w:val="00575841"/>
    <w:rsid w:val="00581C55"/>
    <w:rsid w:val="005825DC"/>
    <w:rsid w:val="005834BB"/>
    <w:rsid w:val="0058398B"/>
    <w:rsid w:val="0058632D"/>
    <w:rsid w:val="005866C0"/>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36A3"/>
    <w:rsid w:val="005E7B45"/>
    <w:rsid w:val="005F1EDF"/>
    <w:rsid w:val="005F3027"/>
    <w:rsid w:val="005F5D06"/>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0E5D"/>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C63DA"/>
    <w:rsid w:val="006D194C"/>
    <w:rsid w:val="006D2B66"/>
    <w:rsid w:val="006D3AA5"/>
    <w:rsid w:val="006D4B9F"/>
    <w:rsid w:val="006D7AEF"/>
    <w:rsid w:val="006E0F91"/>
    <w:rsid w:val="006E2C94"/>
    <w:rsid w:val="006E5214"/>
    <w:rsid w:val="006E7466"/>
    <w:rsid w:val="006F0069"/>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918"/>
    <w:rsid w:val="00723DF8"/>
    <w:rsid w:val="00724429"/>
    <w:rsid w:val="007248BC"/>
    <w:rsid w:val="00726354"/>
    <w:rsid w:val="00730C18"/>
    <w:rsid w:val="00736908"/>
    <w:rsid w:val="007417AC"/>
    <w:rsid w:val="007439D7"/>
    <w:rsid w:val="00745D31"/>
    <w:rsid w:val="00755534"/>
    <w:rsid w:val="00757AA5"/>
    <w:rsid w:val="007642F9"/>
    <w:rsid w:val="00770A61"/>
    <w:rsid w:val="00773074"/>
    <w:rsid w:val="00773C33"/>
    <w:rsid w:val="00781A50"/>
    <w:rsid w:val="007876BC"/>
    <w:rsid w:val="00787C51"/>
    <w:rsid w:val="00792970"/>
    <w:rsid w:val="0079316B"/>
    <w:rsid w:val="00794A22"/>
    <w:rsid w:val="00796433"/>
    <w:rsid w:val="00796B75"/>
    <w:rsid w:val="007971ED"/>
    <w:rsid w:val="007A03BA"/>
    <w:rsid w:val="007A4A53"/>
    <w:rsid w:val="007A6CDA"/>
    <w:rsid w:val="007B02DE"/>
    <w:rsid w:val="007D49C7"/>
    <w:rsid w:val="007D53AA"/>
    <w:rsid w:val="007E249D"/>
    <w:rsid w:val="007E4BFD"/>
    <w:rsid w:val="007F04F9"/>
    <w:rsid w:val="007F714A"/>
    <w:rsid w:val="00802D86"/>
    <w:rsid w:val="00802F06"/>
    <w:rsid w:val="008047D9"/>
    <w:rsid w:val="00804A4D"/>
    <w:rsid w:val="0081023D"/>
    <w:rsid w:val="0081050B"/>
    <w:rsid w:val="00812348"/>
    <w:rsid w:val="00820149"/>
    <w:rsid w:val="00820651"/>
    <w:rsid w:val="00822240"/>
    <w:rsid w:val="00826C29"/>
    <w:rsid w:val="008270F8"/>
    <w:rsid w:val="00834690"/>
    <w:rsid w:val="0083576C"/>
    <w:rsid w:val="00837913"/>
    <w:rsid w:val="00840FA0"/>
    <w:rsid w:val="00843FBB"/>
    <w:rsid w:val="008454D2"/>
    <w:rsid w:val="00845DEC"/>
    <w:rsid w:val="00846F0C"/>
    <w:rsid w:val="0085294F"/>
    <w:rsid w:val="00860128"/>
    <w:rsid w:val="00866593"/>
    <w:rsid w:val="00870719"/>
    <w:rsid w:val="0087721F"/>
    <w:rsid w:val="00892314"/>
    <w:rsid w:val="0089371C"/>
    <w:rsid w:val="008A4075"/>
    <w:rsid w:val="008A5C07"/>
    <w:rsid w:val="008A5F82"/>
    <w:rsid w:val="008B33EB"/>
    <w:rsid w:val="008B3ABC"/>
    <w:rsid w:val="008B4B43"/>
    <w:rsid w:val="008B5E4B"/>
    <w:rsid w:val="008B7783"/>
    <w:rsid w:val="008C43A5"/>
    <w:rsid w:val="008C4443"/>
    <w:rsid w:val="008C5659"/>
    <w:rsid w:val="008C58E0"/>
    <w:rsid w:val="008E1635"/>
    <w:rsid w:val="008E1DAE"/>
    <w:rsid w:val="008E363B"/>
    <w:rsid w:val="008E3821"/>
    <w:rsid w:val="008E7DAC"/>
    <w:rsid w:val="00901055"/>
    <w:rsid w:val="0090730F"/>
    <w:rsid w:val="0091479F"/>
    <w:rsid w:val="00914C45"/>
    <w:rsid w:val="00916678"/>
    <w:rsid w:val="0091744E"/>
    <w:rsid w:val="00922C5B"/>
    <w:rsid w:val="00924D52"/>
    <w:rsid w:val="00927826"/>
    <w:rsid w:val="00930D89"/>
    <w:rsid w:val="00935201"/>
    <w:rsid w:val="00935FD0"/>
    <w:rsid w:val="0093711F"/>
    <w:rsid w:val="009373A1"/>
    <w:rsid w:val="009411C2"/>
    <w:rsid w:val="00942CDE"/>
    <w:rsid w:val="00946E0E"/>
    <w:rsid w:val="009531A4"/>
    <w:rsid w:val="00953B00"/>
    <w:rsid w:val="00956342"/>
    <w:rsid w:val="009575DB"/>
    <w:rsid w:val="00962A95"/>
    <w:rsid w:val="009647CC"/>
    <w:rsid w:val="00967713"/>
    <w:rsid w:val="00970CA0"/>
    <w:rsid w:val="0097614E"/>
    <w:rsid w:val="00981B9B"/>
    <w:rsid w:val="00986DA2"/>
    <w:rsid w:val="009870EA"/>
    <w:rsid w:val="009874C6"/>
    <w:rsid w:val="00990B28"/>
    <w:rsid w:val="0099243E"/>
    <w:rsid w:val="00994BC2"/>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055D0"/>
    <w:rsid w:val="00A146D2"/>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A5F94"/>
    <w:rsid w:val="00AB0987"/>
    <w:rsid w:val="00AB365C"/>
    <w:rsid w:val="00AB601C"/>
    <w:rsid w:val="00AB6D0E"/>
    <w:rsid w:val="00AB711B"/>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0F59"/>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6D48"/>
    <w:rsid w:val="00BC7779"/>
    <w:rsid w:val="00BD13D9"/>
    <w:rsid w:val="00BD28EC"/>
    <w:rsid w:val="00BD3B5C"/>
    <w:rsid w:val="00BE4CAA"/>
    <w:rsid w:val="00BF2DEC"/>
    <w:rsid w:val="00BF464F"/>
    <w:rsid w:val="00BF468F"/>
    <w:rsid w:val="00BF4A25"/>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1268"/>
    <w:rsid w:val="00C4727D"/>
    <w:rsid w:val="00C5067A"/>
    <w:rsid w:val="00C60BB7"/>
    <w:rsid w:val="00C643E9"/>
    <w:rsid w:val="00C660F6"/>
    <w:rsid w:val="00C66E98"/>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A7CBB"/>
    <w:rsid w:val="00CB6655"/>
    <w:rsid w:val="00CB6D12"/>
    <w:rsid w:val="00CC06B3"/>
    <w:rsid w:val="00CC0D76"/>
    <w:rsid w:val="00CC14BA"/>
    <w:rsid w:val="00CC1F4A"/>
    <w:rsid w:val="00CC4922"/>
    <w:rsid w:val="00CC6A8E"/>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15FF"/>
    <w:rsid w:val="00D4444E"/>
    <w:rsid w:val="00D46679"/>
    <w:rsid w:val="00D467E2"/>
    <w:rsid w:val="00D5115C"/>
    <w:rsid w:val="00D523C8"/>
    <w:rsid w:val="00D5774F"/>
    <w:rsid w:val="00D64CF8"/>
    <w:rsid w:val="00D64F93"/>
    <w:rsid w:val="00D6591C"/>
    <w:rsid w:val="00D67F7F"/>
    <w:rsid w:val="00D7255C"/>
    <w:rsid w:val="00D72CC9"/>
    <w:rsid w:val="00D75535"/>
    <w:rsid w:val="00D805EF"/>
    <w:rsid w:val="00D833FB"/>
    <w:rsid w:val="00DA5144"/>
    <w:rsid w:val="00DB2B90"/>
    <w:rsid w:val="00DB3F6B"/>
    <w:rsid w:val="00DB464F"/>
    <w:rsid w:val="00DB6B9D"/>
    <w:rsid w:val="00DC0EBD"/>
    <w:rsid w:val="00DC1442"/>
    <w:rsid w:val="00DC165E"/>
    <w:rsid w:val="00DD4187"/>
    <w:rsid w:val="00DD5412"/>
    <w:rsid w:val="00DD564F"/>
    <w:rsid w:val="00DD6210"/>
    <w:rsid w:val="00DD6D95"/>
    <w:rsid w:val="00DE2897"/>
    <w:rsid w:val="00DE32DE"/>
    <w:rsid w:val="00DE5B8E"/>
    <w:rsid w:val="00DE6323"/>
    <w:rsid w:val="00DE6F9D"/>
    <w:rsid w:val="00DE7800"/>
    <w:rsid w:val="00DE7957"/>
    <w:rsid w:val="00DF142E"/>
    <w:rsid w:val="00DF1626"/>
    <w:rsid w:val="00DF5A2E"/>
    <w:rsid w:val="00DF717F"/>
    <w:rsid w:val="00E006B7"/>
    <w:rsid w:val="00E02D08"/>
    <w:rsid w:val="00E057F3"/>
    <w:rsid w:val="00E10297"/>
    <w:rsid w:val="00E1180B"/>
    <w:rsid w:val="00E11A26"/>
    <w:rsid w:val="00E11B7B"/>
    <w:rsid w:val="00E12439"/>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0FE2"/>
    <w:rsid w:val="00E52673"/>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B6A5D"/>
    <w:rsid w:val="00EC4140"/>
    <w:rsid w:val="00EC7E69"/>
    <w:rsid w:val="00ED19CF"/>
    <w:rsid w:val="00ED6644"/>
    <w:rsid w:val="00EE1C0C"/>
    <w:rsid w:val="00EE306C"/>
    <w:rsid w:val="00EE6B1E"/>
    <w:rsid w:val="00EF265E"/>
    <w:rsid w:val="00EF4583"/>
    <w:rsid w:val="00EF69C7"/>
    <w:rsid w:val="00F00C07"/>
    <w:rsid w:val="00F01F92"/>
    <w:rsid w:val="00F11149"/>
    <w:rsid w:val="00F14A3A"/>
    <w:rsid w:val="00F17D6A"/>
    <w:rsid w:val="00F21A77"/>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0BEE"/>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uiPriority w:val="99"/>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uiPriority w:val="99"/>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4334">
      <w:bodyDiv w:val="1"/>
      <w:marLeft w:val="0"/>
      <w:marRight w:val="0"/>
      <w:marTop w:val="0"/>
      <w:marBottom w:val="0"/>
      <w:divBdr>
        <w:top w:val="none" w:sz="0" w:space="0" w:color="auto"/>
        <w:left w:val="none" w:sz="0" w:space="0" w:color="auto"/>
        <w:bottom w:val="none" w:sz="0" w:space="0" w:color="auto"/>
        <w:right w:val="none" w:sz="0" w:space="0" w:color="auto"/>
      </w:divBdr>
    </w:div>
    <w:div w:id="23747546">
      <w:bodyDiv w:val="1"/>
      <w:marLeft w:val="0"/>
      <w:marRight w:val="0"/>
      <w:marTop w:val="0"/>
      <w:marBottom w:val="0"/>
      <w:divBdr>
        <w:top w:val="none" w:sz="0" w:space="0" w:color="auto"/>
        <w:left w:val="none" w:sz="0" w:space="0" w:color="auto"/>
        <w:bottom w:val="none" w:sz="0" w:space="0" w:color="auto"/>
        <w:right w:val="none" w:sz="0" w:space="0" w:color="auto"/>
      </w:divBdr>
    </w:div>
    <w:div w:id="96483668">
      <w:bodyDiv w:val="1"/>
      <w:marLeft w:val="0"/>
      <w:marRight w:val="0"/>
      <w:marTop w:val="0"/>
      <w:marBottom w:val="0"/>
      <w:divBdr>
        <w:top w:val="none" w:sz="0" w:space="0" w:color="auto"/>
        <w:left w:val="none" w:sz="0" w:space="0" w:color="auto"/>
        <w:bottom w:val="none" w:sz="0" w:space="0" w:color="auto"/>
        <w:right w:val="none" w:sz="0" w:space="0" w:color="auto"/>
      </w:divBdr>
    </w:div>
    <w:div w:id="14505544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5699652">
      <w:bodyDiv w:val="1"/>
      <w:marLeft w:val="0"/>
      <w:marRight w:val="0"/>
      <w:marTop w:val="0"/>
      <w:marBottom w:val="0"/>
      <w:divBdr>
        <w:top w:val="none" w:sz="0" w:space="0" w:color="auto"/>
        <w:left w:val="none" w:sz="0" w:space="0" w:color="auto"/>
        <w:bottom w:val="none" w:sz="0" w:space="0" w:color="auto"/>
        <w:right w:val="none" w:sz="0" w:space="0" w:color="auto"/>
      </w:divBdr>
    </w:div>
    <w:div w:id="291130433">
      <w:bodyDiv w:val="1"/>
      <w:marLeft w:val="0"/>
      <w:marRight w:val="0"/>
      <w:marTop w:val="0"/>
      <w:marBottom w:val="0"/>
      <w:divBdr>
        <w:top w:val="none" w:sz="0" w:space="0" w:color="auto"/>
        <w:left w:val="none" w:sz="0" w:space="0" w:color="auto"/>
        <w:bottom w:val="none" w:sz="0" w:space="0" w:color="auto"/>
        <w:right w:val="none" w:sz="0" w:space="0" w:color="auto"/>
      </w:divBdr>
    </w:div>
    <w:div w:id="317921252">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6493664">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28222909">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670256193">
      <w:bodyDiv w:val="1"/>
      <w:marLeft w:val="0"/>
      <w:marRight w:val="0"/>
      <w:marTop w:val="0"/>
      <w:marBottom w:val="0"/>
      <w:divBdr>
        <w:top w:val="none" w:sz="0" w:space="0" w:color="auto"/>
        <w:left w:val="none" w:sz="0" w:space="0" w:color="auto"/>
        <w:bottom w:val="none" w:sz="0" w:space="0" w:color="auto"/>
        <w:right w:val="none" w:sz="0" w:space="0" w:color="auto"/>
      </w:divBdr>
    </w:div>
    <w:div w:id="681132109">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829">
      <w:bodyDiv w:val="1"/>
      <w:marLeft w:val="0"/>
      <w:marRight w:val="0"/>
      <w:marTop w:val="0"/>
      <w:marBottom w:val="0"/>
      <w:divBdr>
        <w:top w:val="none" w:sz="0" w:space="0" w:color="auto"/>
        <w:left w:val="none" w:sz="0" w:space="0" w:color="auto"/>
        <w:bottom w:val="none" w:sz="0" w:space="0" w:color="auto"/>
        <w:right w:val="none" w:sz="0" w:space="0" w:color="auto"/>
      </w:divBdr>
    </w:div>
    <w:div w:id="786579397">
      <w:bodyDiv w:val="1"/>
      <w:marLeft w:val="0"/>
      <w:marRight w:val="0"/>
      <w:marTop w:val="0"/>
      <w:marBottom w:val="0"/>
      <w:divBdr>
        <w:top w:val="none" w:sz="0" w:space="0" w:color="auto"/>
        <w:left w:val="none" w:sz="0" w:space="0" w:color="auto"/>
        <w:bottom w:val="none" w:sz="0" w:space="0" w:color="auto"/>
        <w:right w:val="none" w:sz="0" w:space="0" w:color="auto"/>
      </w:divBdr>
    </w:div>
    <w:div w:id="789855348">
      <w:bodyDiv w:val="1"/>
      <w:marLeft w:val="0"/>
      <w:marRight w:val="0"/>
      <w:marTop w:val="0"/>
      <w:marBottom w:val="0"/>
      <w:divBdr>
        <w:top w:val="none" w:sz="0" w:space="0" w:color="auto"/>
        <w:left w:val="none" w:sz="0" w:space="0" w:color="auto"/>
        <w:bottom w:val="none" w:sz="0" w:space="0" w:color="auto"/>
        <w:right w:val="none" w:sz="0" w:space="0" w:color="auto"/>
      </w:divBdr>
    </w:div>
    <w:div w:id="806581939">
      <w:bodyDiv w:val="1"/>
      <w:marLeft w:val="0"/>
      <w:marRight w:val="0"/>
      <w:marTop w:val="0"/>
      <w:marBottom w:val="0"/>
      <w:divBdr>
        <w:top w:val="none" w:sz="0" w:space="0" w:color="auto"/>
        <w:left w:val="none" w:sz="0" w:space="0" w:color="auto"/>
        <w:bottom w:val="none" w:sz="0" w:space="0" w:color="auto"/>
        <w:right w:val="none" w:sz="0" w:space="0" w:color="auto"/>
      </w:divBdr>
    </w:div>
    <w:div w:id="880048791">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23239291">
      <w:bodyDiv w:val="1"/>
      <w:marLeft w:val="0"/>
      <w:marRight w:val="0"/>
      <w:marTop w:val="0"/>
      <w:marBottom w:val="0"/>
      <w:divBdr>
        <w:top w:val="none" w:sz="0" w:space="0" w:color="auto"/>
        <w:left w:val="none" w:sz="0" w:space="0" w:color="auto"/>
        <w:bottom w:val="none" w:sz="0" w:space="0" w:color="auto"/>
        <w:right w:val="none" w:sz="0" w:space="0" w:color="auto"/>
      </w:divBdr>
    </w:div>
    <w:div w:id="1060252010">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96430989">
      <w:bodyDiv w:val="1"/>
      <w:marLeft w:val="0"/>
      <w:marRight w:val="0"/>
      <w:marTop w:val="0"/>
      <w:marBottom w:val="0"/>
      <w:divBdr>
        <w:top w:val="none" w:sz="0" w:space="0" w:color="auto"/>
        <w:left w:val="none" w:sz="0" w:space="0" w:color="auto"/>
        <w:bottom w:val="none" w:sz="0" w:space="0" w:color="auto"/>
        <w:right w:val="none" w:sz="0" w:space="0" w:color="auto"/>
      </w:divBdr>
      <w:divsChild>
        <w:div w:id="214581236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215310862">
      <w:bodyDiv w:val="1"/>
      <w:marLeft w:val="0"/>
      <w:marRight w:val="0"/>
      <w:marTop w:val="0"/>
      <w:marBottom w:val="0"/>
      <w:divBdr>
        <w:top w:val="none" w:sz="0" w:space="0" w:color="auto"/>
        <w:left w:val="none" w:sz="0" w:space="0" w:color="auto"/>
        <w:bottom w:val="none" w:sz="0" w:space="0" w:color="auto"/>
        <w:right w:val="none" w:sz="0" w:space="0" w:color="auto"/>
      </w:divBdr>
    </w:div>
    <w:div w:id="1260604897">
      <w:bodyDiv w:val="1"/>
      <w:marLeft w:val="0"/>
      <w:marRight w:val="0"/>
      <w:marTop w:val="0"/>
      <w:marBottom w:val="0"/>
      <w:divBdr>
        <w:top w:val="none" w:sz="0" w:space="0" w:color="auto"/>
        <w:left w:val="none" w:sz="0" w:space="0" w:color="auto"/>
        <w:bottom w:val="none" w:sz="0" w:space="0" w:color="auto"/>
        <w:right w:val="none" w:sz="0" w:space="0" w:color="auto"/>
      </w:divBdr>
      <w:divsChild>
        <w:div w:id="1798572053">
          <w:marLeft w:val="0"/>
          <w:marRight w:val="0"/>
          <w:marTop w:val="0"/>
          <w:marBottom w:val="480"/>
          <w:divBdr>
            <w:top w:val="none" w:sz="0" w:space="0" w:color="auto"/>
            <w:left w:val="none" w:sz="0" w:space="0" w:color="auto"/>
            <w:bottom w:val="none" w:sz="0" w:space="0" w:color="auto"/>
            <w:right w:val="none" w:sz="0" w:space="0" w:color="auto"/>
          </w:divBdr>
        </w:div>
        <w:div w:id="1468819932">
          <w:marLeft w:val="0"/>
          <w:marRight w:val="0"/>
          <w:marTop w:val="0"/>
          <w:marBottom w:val="480"/>
          <w:divBdr>
            <w:top w:val="none" w:sz="0" w:space="0" w:color="auto"/>
            <w:left w:val="none" w:sz="0" w:space="0" w:color="auto"/>
            <w:bottom w:val="none" w:sz="0" w:space="0" w:color="auto"/>
            <w:right w:val="none" w:sz="0" w:space="0" w:color="auto"/>
          </w:divBdr>
          <w:divsChild>
            <w:div w:id="5822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5605">
      <w:bodyDiv w:val="1"/>
      <w:marLeft w:val="0"/>
      <w:marRight w:val="0"/>
      <w:marTop w:val="0"/>
      <w:marBottom w:val="0"/>
      <w:divBdr>
        <w:top w:val="none" w:sz="0" w:space="0" w:color="auto"/>
        <w:left w:val="none" w:sz="0" w:space="0" w:color="auto"/>
        <w:bottom w:val="none" w:sz="0" w:space="0" w:color="auto"/>
        <w:right w:val="none" w:sz="0" w:space="0" w:color="auto"/>
      </w:divBdr>
    </w:div>
    <w:div w:id="1418016725">
      <w:bodyDiv w:val="1"/>
      <w:marLeft w:val="0"/>
      <w:marRight w:val="0"/>
      <w:marTop w:val="0"/>
      <w:marBottom w:val="0"/>
      <w:divBdr>
        <w:top w:val="none" w:sz="0" w:space="0" w:color="auto"/>
        <w:left w:val="none" w:sz="0" w:space="0" w:color="auto"/>
        <w:bottom w:val="none" w:sz="0" w:space="0" w:color="auto"/>
        <w:right w:val="none" w:sz="0" w:space="0" w:color="auto"/>
      </w:divBdr>
    </w:div>
    <w:div w:id="1458521546">
      <w:bodyDiv w:val="1"/>
      <w:marLeft w:val="0"/>
      <w:marRight w:val="0"/>
      <w:marTop w:val="0"/>
      <w:marBottom w:val="0"/>
      <w:divBdr>
        <w:top w:val="none" w:sz="0" w:space="0" w:color="auto"/>
        <w:left w:val="none" w:sz="0" w:space="0" w:color="auto"/>
        <w:bottom w:val="none" w:sz="0" w:space="0" w:color="auto"/>
        <w:right w:val="none" w:sz="0" w:space="0" w:color="auto"/>
      </w:divBdr>
    </w:div>
    <w:div w:id="1468010224">
      <w:bodyDiv w:val="1"/>
      <w:marLeft w:val="0"/>
      <w:marRight w:val="0"/>
      <w:marTop w:val="0"/>
      <w:marBottom w:val="0"/>
      <w:divBdr>
        <w:top w:val="none" w:sz="0" w:space="0" w:color="auto"/>
        <w:left w:val="none" w:sz="0" w:space="0" w:color="auto"/>
        <w:bottom w:val="none" w:sz="0" w:space="0" w:color="auto"/>
        <w:right w:val="none" w:sz="0" w:space="0" w:color="auto"/>
      </w:divBdr>
      <w:divsChild>
        <w:div w:id="1610744364">
          <w:marLeft w:val="0"/>
          <w:marRight w:val="0"/>
          <w:marTop w:val="0"/>
          <w:marBottom w:val="480"/>
          <w:divBdr>
            <w:top w:val="none" w:sz="0" w:space="0" w:color="auto"/>
            <w:left w:val="none" w:sz="0" w:space="0" w:color="auto"/>
            <w:bottom w:val="none" w:sz="0" w:space="0" w:color="auto"/>
            <w:right w:val="none" w:sz="0" w:space="0" w:color="auto"/>
          </w:divBdr>
        </w:div>
        <w:div w:id="1455054837">
          <w:marLeft w:val="0"/>
          <w:marRight w:val="0"/>
          <w:marTop w:val="0"/>
          <w:marBottom w:val="480"/>
          <w:divBdr>
            <w:top w:val="none" w:sz="0" w:space="0" w:color="auto"/>
            <w:left w:val="none" w:sz="0" w:space="0" w:color="auto"/>
            <w:bottom w:val="none" w:sz="0" w:space="0" w:color="auto"/>
            <w:right w:val="none" w:sz="0" w:space="0" w:color="auto"/>
          </w:divBdr>
          <w:divsChild>
            <w:div w:id="179721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4005238">
      <w:bodyDiv w:val="1"/>
      <w:marLeft w:val="0"/>
      <w:marRight w:val="0"/>
      <w:marTop w:val="0"/>
      <w:marBottom w:val="0"/>
      <w:divBdr>
        <w:top w:val="none" w:sz="0" w:space="0" w:color="auto"/>
        <w:left w:val="none" w:sz="0" w:space="0" w:color="auto"/>
        <w:bottom w:val="none" w:sz="0" w:space="0" w:color="auto"/>
        <w:right w:val="none" w:sz="0" w:space="0" w:color="auto"/>
      </w:divBdr>
    </w:div>
    <w:div w:id="1505322729">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7001716">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1653289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3250586">
      <w:bodyDiv w:val="1"/>
      <w:marLeft w:val="0"/>
      <w:marRight w:val="0"/>
      <w:marTop w:val="0"/>
      <w:marBottom w:val="0"/>
      <w:divBdr>
        <w:top w:val="none" w:sz="0" w:space="0" w:color="auto"/>
        <w:left w:val="none" w:sz="0" w:space="0" w:color="auto"/>
        <w:bottom w:val="none" w:sz="0" w:space="0" w:color="auto"/>
        <w:right w:val="none" w:sz="0" w:space="0" w:color="auto"/>
      </w:divBdr>
    </w:div>
    <w:div w:id="1936666757">
      <w:bodyDiv w:val="1"/>
      <w:marLeft w:val="0"/>
      <w:marRight w:val="0"/>
      <w:marTop w:val="0"/>
      <w:marBottom w:val="0"/>
      <w:divBdr>
        <w:top w:val="none" w:sz="0" w:space="0" w:color="auto"/>
        <w:left w:val="none" w:sz="0" w:space="0" w:color="auto"/>
        <w:bottom w:val="none" w:sz="0" w:space="0" w:color="auto"/>
        <w:right w:val="none" w:sz="0" w:space="0" w:color="auto"/>
      </w:divBdr>
    </w:div>
    <w:div w:id="2012681791">
      <w:bodyDiv w:val="1"/>
      <w:marLeft w:val="0"/>
      <w:marRight w:val="0"/>
      <w:marTop w:val="0"/>
      <w:marBottom w:val="0"/>
      <w:divBdr>
        <w:top w:val="none" w:sz="0" w:space="0" w:color="auto"/>
        <w:left w:val="none" w:sz="0" w:space="0" w:color="auto"/>
        <w:bottom w:val="none" w:sz="0" w:space="0" w:color="auto"/>
        <w:right w:val="none" w:sz="0" w:space="0" w:color="auto"/>
      </w:divBdr>
    </w:div>
    <w:div w:id="2045326753">
      <w:bodyDiv w:val="1"/>
      <w:marLeft w:val="0"/>
      <w:marRight w:val="0"/>
      <w:marTop w:val="0"/>
      <w:marBottom w:val="0"/>
      <w:divBdr>
        <w:top w:val="none" w:sz="0" w:space="0" w:color="auto"/>
        <w:left w:val="none" w:sz="0" w:space="0" w:color="auto"/>
        <w:bottom w:val="none" w:sz="0" w:space="0" w:color="auto"/>
        <w:right w:val="none" w:sz="0" w:space="0" w:color="auto"/>
      </w:divBdr>
      <w:divsChild>
        <w:div w:id="44620140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2094813947">
      <w:bodyDiv w:val="1"/>
      <w:marLeft w:val="0"/>
      <w:marRight w:val="0"/>
      <w:marTop w:val="0"/>
      <w:marBottom w:val="0"/>
      <w:divBdr>
        <w:top w:val="none" w:sz="0" w:space="0" w:color="auto"/>
        <w:left w:val="none" w:sz="0" w:space="0" w:color="auto"/>
        <w:bottom w:val="none" w:sz="0" w:space="0" w:color="auto"/>
        <w:right w:val="none" w:sz="0" w:space="0" w:color="auto"/>
      </w:divBdr>
    </w:div>
    <w:div w:id="2100447118">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parlisweb.tweedekamer.nl/parlis/besluit.aspx?id=65d5fcfa-90c3-45f6-af97-1d0c3d47917a" TargetMode="External" Id="rId18" /><Relationship Type="http://schemas.openxmlformats.org/officeDocument/2006/relationships/hyperlink" Target="https://eur06.safelinks.protection.outlook.com/?url=https%3A%2F%2Feur-lex.europa.eu%2Flegal-content%2FNL%2FTXT%2F%3Furi%3DCELEX%253A52025PC0104%26qid%3D1742218725459&amp;data=05%7C02%7Ch.keesom%40tweedekamer.nl%7Cae677b1890f24052f04a08dd678b8716%7C238cb5073f714afeaaab8382731a4345%7C0%7C0%7C638780571138714453%7CUnknown%7CTWFpbGZsb3d8eyJFbXB0eU1hcGkiOnRydWUsIlYiOiIwLjAuMDAwMCIsIlAiOiJXaW4zMiIsIkFOIjoiTWFpbCIsIldUIjoyfQ%3D%3D%7C0%7C%7C%7C&amp;sdata=uUbmtoOmXTF7E9yEbO0ya5ugNA4Yqghov0OBALeIm%2F0%3D&amp;reserved=0"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parlisweb.tweedekamer.nl/parlis/activiteit.aspx?id=88bff0a1-d650-472b-b61f-4d6de7c56fa5" TargetMode="External" Id="rId17" /><Relationship Type="http://schemas.openxmlformats.org/officeDocument/2006/relationships/theme" Target="theme/theme1.xml" Id="rId25" /><Relationship Type="http://schemas.openxmlformats.org/officeDocument/2006/relationships/hyperlink" Target="https://eur06.safelinks.protection.outlook.com/?url=https%3A%2F%2Feur-lex.europa.eu%2Flegal-content%2FNL%2FTXT%2F%3Furi%3DCELEX%253A52025DC0124%26qid%3D1742810173455&amp;data=05%7C02%7Ch.keesom%40tweedekamer.nl%7Cd979785d032c4b9d184d08dd6c9d35c9%7C238cb5073f714afeaaab8382731a4345%7C0%7C0%7C638786144647311637%7CUnknown%7CTWFpbGZsb3d8eyJFbXB0eU1hcGkiOnRydWUsIlYiOiIwLjAuMDAwMCIsIlAiOiJXaW4zMiIsIkFOIjoiTWFpbCIsIldUIjoyfQ%3D%3D%7C0%7C%7C%7C&amp;sdata=4y%2BDbvMRHBM%2BUu6VOp2wioAVQ53%2FIKJMeLGO6UUho2g%3D&amp;reserved=0" TargetMode="External" Id="rId16" /><Relationship Type="http://schemas.openxmlformats.org/officeDocument/2006/relationships/hyperlink" Target="https://eur06.safelinks.protection.outlook.com/?url=https%3A%2F%2Feur-lex.europa.eu%2Flegal-content%2FNL%2FTXT%2F%3Furi%3DCELEX%253A52025DC0070%26qid%3D1742218619427&amp;data=05%7C02%7Ch.keesom%40tweedekamer.nl%7Cae677b1890f24052f04a08dd678b8716%7C238cb5073f714afeaaab8382731a4345%7C0%7C0%7C638780571138693134%7CUnknown%7CTWFpbGZsb3d8eyJFbXB0eU1hcGkiOnRydWUsIlYiOiIwLjAuMDAwMCIsIlAiOiJXaW4zMiIsIkFOIjoiTWFpbCIsIldUIjoyfQ%3D%3D%7C0%7C%7C%7C&amp;sdata=uEJjN23vpZ8WG%2FHU4xzXypfxHsmWUpda9bZsK4bwTVM%3D&amp;reserved=0" TargetMode="External" Id="rId20"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hyperlink" Target="https://eur06.safelinks.protection.outlook.com/?url=https%3A%2F%2Feur-lex.europa.eu%2Flegal-content%2FNL%2FTXT%2F%3Fqid%3D1742218502433%26uri%3DCELEX%253A52025PC0100&amp;data=05%7C02%7Ch.keesom%40tweedekamer.nl%7Cae677b1890f24052f04a08dd678b8716%7C238cb5073f714afeaaab8382731a4345%7C0%7C0%7C638780571138660085%7CUnknown%7CTWFpbGZsb3d8eyJFbXB0eU1hcGkiOnRydWUsIlYiOiIwLjAuMDAwMCIsIlAiOiJXaW4zMiIsIkFOIjoiTWFpbCIsIldUIjoyfQ%3D%3D%7C0%7C%7C%7C&amp;sdata=1yI72sk5AG3nCBkepreHxtFOmhRx%2BghA%2BZIkjhrbsBU%3D&amp;reserved=0"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5PC0103%26qid%3D1742218684178&amp;data=05%7C02%7Ch.keesom%40tweedekamer.nl%7Cae677b1890f24052f04a08dd678b8716%7C238cb5073f714afeaaab8382731a4345%7C0%7C0%7C638780571138703561%7CUnknown%7CTWFpbGZsb3d8eyJFbXB0eU1hcGkiOnRydWUsIlYiOiIwLjAuMDAwMCIsIlAiOiJXaW4zMiIsIkFOIjoiTWFpbCIsIldUIjoyfQ%3D%3D%7C0%7C%7C%7C&amp;sdata=UMKFgwk1NCCr%2Fph7KO26ogQt710qogdvWdO3j%2FklBq4%3D&amp;reserved=0"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eader" Target="header2.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598</ap:Words>
  <ap:Characters>6517</ap:Characters>
  <ap:DocSecurity>0</ap:DocSecurity>
  <ap:Lines>54</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2025-03-31T13:27:00.0000000Z</dcterms:created>
  <dcterms:modified xsi:type="dcterms:W3CDTF">2025-03-31T13:27:00.0000000Z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b7afe868-f868-4b7a-9f29-c6afa5e5cfa9</vt:lpwstr>
  </property>
</Properties>
</file>