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414CEAC4">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258DC">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258DC">
              <w:rPr>
                <w:rFonts w:ascii="Times New Roman" w:hAnsi="Times New Roman"/>
                <w:b w:val="0"/>
              </w:rPr>
              <w:t>5</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2A128C94">
            <w:pPr>
              <w:pStyle w:val="Amendement"/>
              <w:tabs>
                <w:tab w:val="clear" w:pos="3310"/>
                <w:tab w:val="clear" w:pos="3600"/>
              </w:tabs>
              <w:rPr>
                <w:rFonts w:ascii="Times New Roman" w:hAnsi="Times New Roman"/>
              </w:rPr>
            </w:pPr>
            <w:r w:rsidRPr="00C035D4">
              <w:rPr>
                <w:rFonts w:ascii="Times New Roman" w:hAnsi="Times New Roman"/>
              </w:rPr>
              <w:t xml:space="preserve">Nr. </w:t>
            </w:r>
            <w:r w:rsidR="0042738F">
              <w:rPr>
                <w:rFonts w:ascii="Times New Roman" w:hAnsi="Times New Roman"/>
                <w:caps/>
              </w:rPr>
              <w:t>58</w:t>
            </w:r>
          </w:p>
        </w:tc>
        <w:tc>
          <w:tcPr>
            <w:tcW w:w="7371" w:type="dxa"/>
            <w:gridSpan w:val="2"/>
          </w:tcPr>
          <w:p w:rsidRPr="00C035D4" w:rsidR="003C21AC" w:rsidP="006E0971" w:rsidRDefault="001144E0" w14:paraId="26D0B6DE" w14:textId="60FC0E7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AMENDEMENT VAN HET LID</w:t>
            </w:r>
            <w:r w:rsidR="00D351C1">
              <w:rPr>
                <w:rFonts w:ascii="Times New Roman" w:hAnsi="Times New Roman"/>
                <w:caps/>
              </w:rPr>
              <w:t xml:space="preserve"> Ellian</w:t>
            </w:r>
            <w:r>
              <w:rPr>
                <w:rFonts w:ascii="Times New Roman" w:hAnsi="Times New Roman"/>
                <w:caps/>
              </w:rPr>
              <w:t xml:space="preserve"> </w:t>
            </w:r>
            <w:r w:rsidRPr="0042738F">
              <w:rPr>
                <w:rFonts w:ascii="Times New Roman" w:hAnsi="Times New Roman"/>
                <w:bCs/>
                <w:caps/>
                <w:szCs w:val="24"/>
              </w:rPr>
              <w:t>TER VERVANGING VAN DAT GEDRUKT ONDER NR.</w:t>
            </w:r>
            <w:r>
              <w:rPr>
                <w:rFonts w:ascii="Times New Roman" w:hAnsi="Times New Roman"/>
                <w:caps/>
              </w:rPr>
              <w:t xml:space="preserve"> 24</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188D7A0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2738F">
              <w:rPr>
                <w:rFonts w:ascii="Times New Roman" w:hAnsi="Times New Roman"/>
                <w:b w:val="0"/>
              </w:rPr>
              <w:t>19 maart 2025</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223919"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223919" w:rsidR="00B01BA6" w:rsidP="0088452C" w:rsidRDefault="00B01BA6" w14:paraId="7DD62B92" w14:textId="77777777">
            <w:pPr>
              <w:ind w:firstLine="284"/>
              <w:rPr>
                <w:szCs w:val="24"/>
              </w:rPr>
            </w:pPr>
            <w:r w:rsidRPr="00223919">
              <w:rPr>
                <w:szCs w:val="24"/>
              </w:rPr>
              <w:t>De ondergetekende stelt het volgende amendement voor:</w:t>
            </w:r>
          </w:p>
        </w:tc>
      </w:tr>
    </w:tbl>
    <w:p w:rsidR="001144E0" w:rsidP="0042738F" w:rsidRDefault="001144E0" w14:paraId="57E2CD31" w14:textId="77777777">
      <w:pPr>
        <w:rPr>
          <w:szCs w:val="24"/>
        </w:rPr>
      </w:pPr>
    </w:p>
    <w:p w:rsidR="001144E0" w:rsidP="001144E0" w:rsidRDefault="001144E0" w14:paraId="45C27862" w14:textId="6C902E0A">
      <w:pPr>
        <w:rPr>
          <w:szCs w:val="24"/>
        </w:rPr>
      </w:pPr>
      <w:r>
        <w:rPr>
          <w:szCs w:val="24"/>
        </w:rPr>
        <w:t>I</w:t>
      </w:r>
    </w:p>
    <w:p w:rsidR="001144E0" w:rsidP="001144E0" w:rsidRDefault="001144E0" w14:paraId="1217EC31" w14:textId="77777777">
      <w:pPr>
        <w:rPr>
          <w:szCs w:val="24"/>
        </w:rPr>
      </w:pPr>
    </w:p>
    <w:p w:rsidR="001144E0" w:rsidP="0042738F" w:rsidRDefault="001144E0" w14:paraId="68FA6174" w14:textId="43C0B924">
      <w:pPr>
        <w:rPr>
          <w:szCs w:val="24"/>
        </w:rPr>
      </w:pPr>
      <w:r>
        <w:rPr>
          <w:szCs w:val="24"/>
        </w:rPr>
        <w:tab/>
        <w:t>In artikel 6.4.4 vervalt “of over de na de inbeslagneming overgenomen gegevens”.</w:t>
      </w:r>
    </w:p>
    <w:p w:rsidR="001144E0" w:rsidP="0088452C" w:rsidRDefault="001144E0" w14:paraId="793C3BDA" w14:textId="77777777">
      <w:pPr>
        <w:ind w:firstLine="284"/>
        <w:rPr>
          <w:szCs w:val="24"/>
        </w:rPr>
      </w:pPr>
    </w:p>
    <w:p w:rsidR="001144E0" w:rsidP="001144E0" w:rsidRDefault="001144E0" w14:paraId="1A7E3540" w14:textId="7B232B73">
      <w:pPr>
        <w:rPr>
          <w:szCs w:val="24"/>
        </w:rPr>
      </w:pPr>
      <w:r>
        <w:rPr>
          <w:szCs w:val="24"/>
        </w:rPr>
        <w:t>II</w:t>
      </w:r>
    </w:p>
    <w:p w:rsidR="001144E0" w:rsidP="0042738F" w:rsidRDefault="001144E0" w14:paraId="1E6B65C9" w14:textId="77777777">
      <w:pPr>
        <w:rPr>
          <w:szCs w:val="24"/>
        </w:rPr>
      </w:pPr>
    </w:p>
    <w:p w:rsidRPr="00223919" w:rsidR="005B1DCC" w:rsidP="0088452C" w:rsidRDefault="00285D83" w14:paraId="08347B5E" w14:textId="187D504C">
      <w:pPr>
        <w:ind w:firstLine="284"/>
        <w:rPr>
          <w:szCs w:val="24"/>
        </w:rPr>
      </w:pPr>
      <w:r>
        <w:rPr>
          <w:szCs w:val="24"/>
        </w:rPr>
        <w:t xml:space="preserve">In artikel 6.4.5, eerste lid, vervalt onderdeel a. </w:t>
      </w:r>
    </w:p>
    <w:p w:rsidRPr="00223919" w:rsidR="00EA1CE4" w:rsidP="00EA1CE4" w:rsidRDefault="00EA1CE4" w14:paraId="606D88CF" w14:textId="77777777">
      <w:pPr>
        <w:rPr>
          <w:szCs w:val="24"/>
        </w:rPr>
      </w:pPr>
    </w:p>
    <w:p w:rsidRPr="00223919" w:rsidR="003C21AC" w:rsidP="00EA1CE4" w:rsidRDefault="003C21AC" w14:paraId="652647DC" w14:textId="77777777">
      <w:pPr>
        <w:rPr>
          <w:b/>
          <w:szCs w:val="24"/>
        </w:rPr>
      </w:pPr>
      <w:r w:rsidRPr="00223919">
        <w:rPr>
          <w:b/>
          <w:szCs w:val="24"/>
        </w:rPr>
        <w:t>Toelichting</w:t>
      </w:r>
    </w:p>
    <w:p w:rsidRPr="00223919" w:rsidR="003C21AC" w:rsidP="00BF623B" w:rsidRDefault="003C21AC" w14:paraId="089FBAE3" w14:textId="77777777">
      <w:pPr>
        <w:rPr>
          <w:szCs w:val="24"/>
        </w:rPr>
      </w:pPr>
    </w:p>
    <w:p w:rsidR="00E6619B" w:rsidP="00542BFD" w:rsidRDefault="00972FA2" w14:paraId="72D14285" w14:textId="18AA0661">
      <w:pPr>
        <w:jc w:val="both"/>
        <w:rPr>
          <w:szCs w:val="24"/>
        </w:rPr>
      </w:pPr>
      <w:r>
        <w:rPr>
          <w:szCs w:val="24"/>
        </w:rPr>
        <w:t>In de consultatieversie van Boek 6 was oorspronkelijk voorgesteld dat de beklagmogelijkheden met betrekking tot gegevens niet zouden terugkeren in het nieuwe wetboek.</w:t>
      </w:r>
      <w:r w:rsidR="00DB177E">
        <w:rPr>
          <w:szCs w:val="24"/>
        </w:rPr>
        <w:t xml:space="preserve"> Daarna is toch de keuze gemaakt deze specifieke beklagmogelijkheden te behouden, omdat he</w:t>
      </w:r>
      <w:r w:rsidR="005408FF">
        <w:rPr>
          <w:szCs w:val="24"/>
        </w:rPr>
        <w:t>t niet mogelijk bleek ee</w:t>
      </w:r>
      <w:r w:rsidR="00376589">
        <w:rPr>
          <w:szCs w:val="24"/>
        </w:rPr>
        <w:t xml:space="preserve">n </w:t>
      </w:r>
      <w:r w:rsidR="005408FF">
        <w:rPr>
          <w:szCs w:val="24"/>
        </w:rPr>
        <w:t xml:space="preserve">splitsing te maken naar het type beslissing waartegen onder het huidige recht beklag </w:t>
      </w:r>
      <w:r w:rsidR="00261072">
        <w:rPr>
          <w:szCs w:val="24"/>
        </w:rPr>
        <w:t>open staat</w:t>
      </w:r>
      <w:r w:rsidR="005408FF">
        <w:rPr>
          <w:szCs w:val="24"/>
        </w:rPr>
        <w:t>.</w:t>
      </w:r>
      <w:r w:rsidR="00D135D7">
        <w:rPr>
          <w:szCs w:val="24"/>
        </w:rPr>
        <w:t xml:space="preserve"> </w:t>
      </w:r>
      <w:r w:rsidR="00E265D9">
        <w:rPr>
          <w:szCs w:val="24"/>
        </w:rPr>
        <w:t>Daarenboven is door de regering besloten om de beklag</w:t>
      </w:r>
      <w:r w:rsidR="00542BFD">
        <w:rPr>
          <w:szCs w:val="24"/>
        </w:rPr>
        <w:t xml:space="preserve">mogelijkheid uit te breiden, namelijk tot alle situaties waarin door de opsporing gegevens zijn overgenomen. </w:t>
      </w:r>
      <w:r w:rsidR="00257E59">
        <w:rPr>
          <w:szCs w:val="24"/>
        </w:rPr>
        <w:t>Op basis van de ervaringen in de praktijk</w:t>
      </w:r>
      <w:r w:rsidR="00872668">
        <w:rPr>
          <w:szCs w:val="24"/>
        </w:rPr>
        <w:t xml:space="preserve"> levert het laten vervallen van deze specifieke beklagmogelijkheden ee</w:t>
      </w:r>
      <w:r w:rsidR="00D135D7">
        <w:rPr>
          <w:szCs w:val="24"/>
        </w:rPr>
        <w:t>n afname op van de werklast voor</w:t>
      </w:r>
      <w:r w:rsidR="00FD2837">
        <w:rPr>
          <w:szCs w:val="24"/>
        </w:rPr>
        <w:t>, politie,</w:t>
      </w:r>
      <w:r w:rsidR="00D135D7">
        <w:rPr>
          <w:szCs w:val="24"/>
        </w:rPr>
        <w:t xml:space="preserve"> het </w:t>
      </w:r>
      <w:r w:rsidR="00FD2837">
        <w:rPr>
          <w:szCs w:val="24"/>
        </w:rPr>
        <w:t>O</w:t>
      </w:r>
      <w:r w:rsidR="00D135D7">
        <w:rPr>
          <w:szCs w:val="24"/>
        </w:rPr>
        <w:t xml:space="preserve">penbaar </w:t>
      </w:r>
      <w:r w:rsidR="00FD2837">
        <w:rPr>
          <w:szCs w:val="24"/>
        </w:rPr>
        <w:t>M</w:t>
      </w:r>
      <w:r w:rsidR="00D135D7">
        <w:rPr>
          <w:szCs w:val="24"/>
        </w:rPr>
        <w:t xml:space="preserve">inisterie en de rechtspraak. Weliswaar valt deze werklastvermindering niet op voorhand in te schatten, maar elk </w:t>
      </w:r>
      <w:r w:rsidR="008E3634">
        <w:rPr>
          <w:szCs w:val="24"/>
        </w:rPr>
        <w:t>klaag</w:t>
      </w:r>
      <w:r w:rsidR="00D135D7">
        <w:rPr>
          <w:szCs w:val="24"/>
        </w:rPr>
        <w:t xml:space="preserve">schrift dat redelijkerwijs kan worden voorkomen </w:t>
      </w:r>
      <w:r w:rsidR="008E3634">
        <w:rPr>
          <w:szCs w:val="24"/>
        </w:rPr>
        <w:t>is een vermindering van de werklast</w:t>
      </w:r>
      <w:r w:rsidR="00D135D7">
        <w:rPr>
          <w:szCs w:val="24"/>
        </w:rPr>
        <w:t xml:space="preserve">. </w:t>
      </w:r>
      <w:r w:rsidR="00855B80">
        <w:rPr>
          <w:szCs w:val="24"/>
        </w:rPr>
        <w:t xml:space="preserve">Indiener stelt daarom voor </w:t>
      </w:r>
      <w:r w:rsidR="00FC0CB5">
        <w:rPr>
          <w:szCs w:val="24"/>
        </w:rPr>
        <w:t xml:space="preserve">om </w:t>
      </w:r>
      <w:r w:rsidR="00855B80">
        <w:rPr>
          <w:szCs w:val="24"/>
        </w:rPr>
        <w:t>terug te keren naar de keuze die bij de consultatieversie van Boek 6 was gemaakt</w:t>
      </w:r>
      <w:r w:rsidR="00D135D7">
        <w:rPr>
          <w:szCs w:val="24"/>
        </w:rPr>
        <w:t xml:space="preserve"> en </w:t>
      </w:r>
      <w:r w:rsidR="00FC0CB5">
        <w:rPr>
          <w:szCs w:val="24"/>
        </w:rPr>
        <w:t xml:space="preserve">zodoende </w:t>
      </w:r>
      <w:r w:rsidR="00D135D7">
        <w:rPr>
          <w:szCs w:val="24"/>
        </w:rPr>
        <w:t>de mogelijkheden</w:t>
      </w:r>
      <w:r w:rsidR="00261072">
        <w:rPr>
          <w:szCs w:val="24"/>
        </w:rPr>
        <w:t xml:space="preserve"> </w:t>
      </w:r>
      <w:r w:rsidR="00D135D7">
        <w:rPr>
          <w:szCs w:val="24"/>
        </w:rPr>
        <w:t xml:space="preserve">voor </w:t>
      </w:r>
      <w:r w:rsidR="00A42A14">
        <w:rPr>
          <w:szCs w:val="24"/>
        </w:rPr>
        <w:t xml:space="preserve">specifiek beklag met betrekking tot gegevens te laten vervallen. </w:t>
      </w:r>
    </w:p>
    <w:p w:rsidR="002737BD" w:rsidP="00542BFD" w:rsidRDefault="002737BD" w14:paraId="541E37CF" w14:textId="77777777">
      <w:pPr>
        <w:jc w:val="both"/>
        <w:rPr>
          <w:szCs w:val="24"/>
        </w:rPr>
      </w:pPr>
    </w:p>
    <w:p w:rsidRPr="0042738F" w:rsidR="002737BD" w:rsidP="002737BD" w:rsidRDefault="002737BD" w14:paraId="13BB2EE5" w14:textId="77777777">
      <w:pPr>
        <w:widowControl/>
        <w:rPr>
          <w:color w:val="212121"/>
          <w:sz w:val="28"/>
          <w:szCs w:val="28"/>
        </w:rPr>
      </w:pPr>
      <w:r w:rsidRPr="0042738F">
        <w:rPr>
          <w:color w:val="212121"/>
          <w:szCs w:val="24"/>
        </w:rPr>
        <w:t>Tijdens het wetgevingsoverleg van 10 februari 2025 over de boeken 5 en 6 is aan de orde geweest dat er vanuit de Rechtspraak kritiek was geuit op het laten vervallen van de specifieke beklagmogelijkheden met betrekking tot gegevens, als gevolg waarvan de regering ervoor koos de regeling te behouden. De kritiek hield in dat er niet een afdoende alternatief voor de mogelijkheid van beklag met betrekking tot gegevens over zou blijven. De indiener deelt het uitgangspunt dat bij gegevensonderzoek door de opsporing een effectief rechtsmiddel zoals beklag dient open te staan. Een rechtsmiddel hoeft echter niet in het Wetboek van Strafvordering te staan; ook de inzage-, correctie-, en verwijderingsrechten die toekomen aan betrokken op grond van de Wet politiegegevens moeten hierbij in ogenschouw worden genomen. Naar het inzicht van de indiener zijn er hiermee voldoende alternatieven voorhanden, waarbij het belang van het beperken van de werklast van Politie en Openbaar Ministerie naar het oordeel van de indiener zwaarder weegt dan het belang van betrokkenen om specifieke beklagmogelijkheden met betrekking tot gegevens te behouden. </w:t>
      </w:r>
    </w:p>
    <w:p w:rsidRPr="00223919" w:rsidR="005B1DCC" w:rsidP="0042738F" w:rsidRDefault="002737BD" w14:paraId="60F1E106" w14:textId="71DB90B5">
      <w:pPr>
        <w:widowControl/>
        <w:rPr>
          <w:szCs w:val="24"/>
        </w:rPr>
      </w:pPr>
      <w:r w:rsidRPr="0042738F">
        <w:rPr>
          <w:color w:val="212121"/>
          <w:szCs w:val="24"/>
        </w:rPr>
        <w:t> </w:t>
      </w:r>
    </w:p>
    <w:p w:rsidRPr="00223919" w:rsidR="00B4708A" w:rsidP="00EA1CE4" w:rsidRDefault="00D351C1" w14:paraId="3A5294FF" w14:textId="638B1819">
      <w:pPr>
        <w:rPr>
          <w:szCs w:val="24"/>
        </w:rPr>
      </w:pPr>
      <w:r w:rsidRPr="00223919">
        <w:rPr>
          <w:szCs w:val="24"/>
        </w:rPr>
        <w:t>Ellian</w:t>
      </w:r>
    </w:p>
    <w:sectPr w:rsidRPr="00223919"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00B2" w14:textId="77777777" w:rsidR="00D351C1" w:rsidRDefault="00D351C1">
      <w:pPr>
        <w:spacing w:line="20" w:lineRule="exact"/>
      </w:pPr>
    </w:p>
  </w:endnote>
  <w:endnote w:type="continuationSeparator" w:id="0">
    <w:p w14:paraId="3A612136" w14:textId="77777777" w:rsidR="00D351C1" w:rsidRDefault="00D351C1">
      <w:pPr>
        <w:pStyle w:val="Amendement"/>
      </w:pPr>
      <w:r>
        <w:rPr>
          <w:b w:val="0"/>
        </w:rPr>
        <w:t xml:space="preserve"> </w:t>
      </w:r>
    </w:p>
  </w:endnote>
  <w:endnote w:type="continuationNotice" w:id="1">
    <w:p w14:paraId="3556F040" w14:textId="77777777" w:rsidR="00D351C1" w:rsidRDefault="00D351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AD11B" w14:textId="77777777" w:rsidR="00D351C1" w:rsidRDefault="00D351C1">
      <w:pPr>
        <w:pStyle w:val="Amendement"/>
      </w:pPr>
      <w:r>
        <w:rPr>
          <w:b w:val="0"/>
        </w:rPr>
        <w:separator/>
      </w:r>
    </w:p>
  </w:footnote>
  <w:footnote w:type="continuationSeparator" w:id="0">
    <w:p w14:paraId="51F8D595" w14:textId="77777777" w:rsidR="00D351C1" w:rsidRDefault="00D35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7A32"/>
    <w:multiLevelType w:val="multilevel"/>
    <w:tmpl w:val="2C7AA5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C2484D"/>
    <w:multiLevelType w:val="hybridMultilevel"/>
    <w:tmpl w:val="D6F8A42C"/>
    <w:lvl w:ilvl="0" w:tplc="94E8019A">
      <w:start w:val="1"/>
      <w:numFmt w:val="bullet"/>
      <w:lvlText w:val=""/>
      <w:lvlJc w:val="left"/>
      <w:pPr>
        <w:ind w:left="1080" w:hanging="360"/>
      </w:pPr>
      <w:rPr>
        <w:rFonts w:ascii="Symbol" w:hAnsi="Symbol"/>
      </w:rPr>
    </w:lvl>
    <w:lvl w:ilvl="1" w:tplc="CD7ED6A0">
      <w:start w:val="1"/>
      <w:numFmt w:val="bullet"/>
      <w:lvlText w:val=""/>
      <w:lvlJc w:val="left"/>
      <w:pPr>
        <w:ind w:left="1080" w:hanging="360"/>
      </w:pPr>
      <w:rPr>
        <w:rFonts w:ascii="Symbol" w:hAnsi="Symbol"/>
      </w:rPr>
    </w:lvl>
    <w:lvl w:ilvl="2" w:tplc="480C4376">
      <w:start w:val="1"/>
      <w:numFmt w:val="bullet"/>
      <w:lvlText w:val=""/>
      <w:lvlJc w:val="left"/>
      <w:pPr>
        <w:ind w:left="1080" w:hanging="360"/>
      </w:pPr>
      <w:rPr>
        <w:rFonts w:ascii="Symbol" w:hAnsi="Symbol"/>
      </w:rPr>
    </w:lvl>
    <w:lvl w:ilvl="3" w:tplc="6E64654E">
      <w:start w:val="1"/>
      <w:numFmt w:val="bullet"/>
      <w:lvlText w:val=""/>
      <w:lvlJc w:val="left"/>
      <w:pPr>
        <w:ind w:left="1080" w:hanging="360"/>
      </w:pPr>
      <w:rPr>
        <w:rFonts w:ascii="Symbol" w:hAnsi="Symbol"/>
      </w:rPr>
    </w:lvl>
    <w:lvl w:ilvl="4" w:tplc="D464AC44">
      <w:start w:val="1"/>
      <w:numFmt w:val="bullet"/>
      <w:lvlText w:val=""/>
      <w:lvlJc w:val="left"/>
      <w:pPr>
        <w:ind w:left="1080" w:hanging="360"/>
      </w:pPr>
      <w:rPr>
        <w:rFonts w:ascii="Symbol" w:hAnsi="Symbol"/>
      </w:rPr>
    </w:lvl>
    <w:lvl w:ilvl="5" w:tplc="5F34B418">
      <w:start w:val="1"/>
      <w:numFmt w:val="bullet"/>
      <w:lvlText w:val=""/>
      <w:lvlJc w:val="left"/>
      <w:pPr>
        <w:ind w:left="1080" w:hanging="360"/>
      </w:pPr>
      <w:rPr>
        <w:rFonts w:ascii="Symbol" w:hAnsi="Symbol"/>
      </w:rPr>
    </w:lvl>
    <w:lvl w:ilvl="6" w:tplc="89AE7DFC">
      <w:start w:val="1"/>
      <w:numFmt w:val="bullet"/>
      <w:lvlText w:val=""/>
      <w:lvlJc w:val="left"/>
      <w:pPr>
        <w:ind w:left="1080" w:hanging="360"/>
      </w:pPr>
      <w:rPr>
        <w:rFonts w:ascii="Symbol" w:hAnsi="Symbol"/>
      </w:rPr>
    </w:lvl>
    <w:lvl w:ilvl="7" w:tplc="A49A3E1A">
      <w:start w:val="1"/>
      <w:numFmt w:val="bullet"/>
      <w:lvlText w:val=""/>
      <w:lvlJc w:val="left"/>
      <w:pPr>
        <w:ind w:left="1080" w:hanging="360"/>
      </w:pPr>
      <w:rPr>
        <w:rFonts w:ascii="Symbol" w:hAnsi="Symbol"/>
      </w:rPr>
    </w:lvl>
    <w:lvl w:ilvl="8" w:tplc="D92049CE">
      <w:start w:val="1"/>
      <w:numFmt w:val="bullet"/>
      <w:lvlText w:val=""/>
      <w:lvlJc w:val="left"/>
      <w:pPr>
        <w:ind w:left="1080" w:hanging="360"/>
      </w:pPr>
      <w:rPr>
        <w:rFonts w:ascii="Symbol" w:hAnsi="Symbol"/>
      </w:rPr>
    </w:lvl>
  </w:abstractNum>
  <w:abstractNum w:abstractNumId="2" w15:restartNumberingAfterBreak="0">
    <w:nsid w:val="410B778D"/>
    <w:multiLevelType w:val="multilevel"/>
    <w:tmpl w:val="463607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5DE6D1F"/>
    <w:multiLevelType w:val="multilevel"/>
    <w:tmpl w:val="11D44AD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F4E084D"/>
    <w:multiLevelType w:val="multilevel"/>
    <w:tmpl w:val="69A09F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860336"/>
    <w:multiLevelType w:val="hybridMultilevel"/>
    <w:tmpl w:val="9740E22A"/>
    <w:lvl w:ilvl="0" w:tplc="0BA406F0">
      <w:start w:val="1"/>
      <w:numFmt w:val="bullet"/>
      <w:lvlText w:val=""/>
      <w:lvlJc w:val="left"/>
      <w:pPr>
        <w:ind w:left="1080" w:hanging="360"/>
      </w:pPr>
      <w:rPr>
        <w:rFonts w:ascii="Symbol" w:hAnsi="Symbol"/>
      </w:rPr>
    </w:lvl>
    <w:lvl w:ilvl="1" w:tplc="7E6A3438">
      <w:start w:val="1"/>
      <w:numFmt w:val="bullet"/>
      <w:lvlText w:val=""/>
      <w:lvlJc w:val="left"/>
      <w:pPr>
        <w:ind w:left="1080" w:hanging="360"/>
      </w:pPr>
      <w:rPr>
        <w:rFonts w:ascii="Symbol" w:hAnsi="Symbol"/>
      </w:rPr>
    </w:lvl>
    <w:lvl w:ilvl="2" w:tplc="CA2A2C74">
      <w:start w:val="1"/>
      <w:numFmt w:val="bullet"/>
      <w:lvlText w:val=""/>
      <w:lvlJc w:val="left"/>
      <w:pPr>
        <w:ind w:left="1080" w:hanging="360"/>
      </w:pPr>
      <w:rPr>
        <w:rFonts w:ascii="Symbol" w:hAnsi="Symbol"/>
      </w:rPr>
    </w:lvl>
    <w:lvl w:ilvl="3" w:tplc="CD8AB65A">
      <w:start w:val="1"/>
      <w:numFmt w:val="bullet"/>
      <w:lvlText w:val=""/>
      <w:lvlJc w:val="left"/>
      <w:pPr>
        <w:ind w:left="1080" w:hanging="360"/>
      </w:pPr>
      <w:rPr>
        <w:rFonts w:ascii="Symbol" w:hAnsi="Symbol"/>
      </w:rPr>
    </w:lvl>
    <w:lvl w:ilvl="4" w:tplc="2014F41C">
      <w:start w:val="1"/>
      <w:numFmt w:val="bullet"/>
      <w:lvlText w:val=""/>
      <w:lvlJc w:val="left"/>
      <w:pPr>
        <w:ind w:left="1080" w:hanging="360"/>
      </w:pPr>
      <w:rPr>
        <w:rFonts w:ascii="Symbol" w:hAnsi="Symbol"/>
      </w:rPr>
    </w:lvl>
    <w:lvl w:ilvl="5" w:tplc="642C4FA6">
      <w:start w:val="1"/>
      <w:numFmt w:val="bullet"/>
      <w:lvlText w:val=""/>
      <w:lvlJc w:val="left"/>
      <w:pPr>
        <w:ind w:left="1080" w:hanging="360"/>
      </w:pPr>
      <w:rPr>
        <w:rFonts w:ascii="Symbol" w:hAnsi="Symbol"/>
      </w:rPr>
    </w:lvl>
    <w:lvl w:ilvl="6" w:tplc="05FAB71E">
      <w:start w:val="1"/>
      <w:numFmt w:val="bullet"/>
      <w:lvlText w:val=""/>
      <w:lvlJc w:val="left"/>
      <w:pPr>
        <w:ind w:left="1080" w:hanging="360"/>
      </w:pPr>
      <w:rPr>
        <w:rFonts w:ascii="Symbol" w:hAnsi="Symbol"/>
      </w:rPr>
    </w:lvl>
    <w:lvl w:ilvl="7" w:tplc="6E1A3462">
      <w:start w:val="1"/>
      <w:numFmt w:val="bullet"/>
      <w:lvlText w:val=""/>
      <w:lvlJc w:val="left"/>
      <w:pPr>
        <w:ind w:left="1080" w:hanging="360"/>
      </w:pPr>
      <w:rPr>
        <w:rFonts w:ascii="Symbol" w:hAnsi="Symbol"/>
      </w:rPr>
    </w:lvl>
    <w:lvl w:ilvl="8" w:tplc="0B785A86">
      <w:start w:val="1"/>
      <w:numFmt w:val="bullet"/>
      <w:lvlText w:val=""/>
      <w:lvlJc w:val="left"/>
      <w:pPr>
        <w:ind w:left="1080" w:hanging="360"/>
      </w:pPr>
      <w:rPr>
        <w:rFonts w:ascii="Symbol" w:hAnsi="Symbol"/>
      </w:rPr>
    </w:lvl>
  </w:abstractNum>
  <w:abstractNum w:abstractNumId="6" w15:restartNumberingAfterBreak="0">
    <w:nsid w:val="70024432"/>
    <w:multiLevelType w:val="multilevel"/>
    <w:tmpl w:val="F15C205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03059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26301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51269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646954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542039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2244513">
    <w:abstractNumId w:val="5"/>
  </w:num>
  <w:num w:numId="8" w16cid:durableId="204316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148E8"/>
    <w:rsid w:val="00094AA0"/>
    <w:rsid w:val="000954AB"/>
    <w:rsid w:val="000A49D9"/>
    <w:rsid w:val="000D17BF"/>
    <w:rsid w:val="00104D7C"/>
    <w:rsid w:val="001144E0"/>
    <w:rsid w:val="00157CAF"/>
    <w:rsid w:val="001656EE"/>
    <w:rsid w:val="0016653D"/>
    <w:rsid w:val="001D56AF"/>
    <w:rsid w:val="001E0E21"/>
    <w:rsid w:val="00212E0A"/>
    <w:rsid w:val="002153B0"/>
    <w:rsid w:val="0021777F"/>
    <w:rsid w:val="00223919"/>
    <w:rsid w:val="00241DD0"/>
    <w:rsid w:val="00257E59"/>
    <w:rsid w:val="00261072"/>
    <w:rsid w:val="002737BD"/>
    <w:rsid w:val="00285D83"/>
    <w:rsid w:val="002A0713"/>
    <w:rsid w:val="00376589"/>
    <w:rsid w:val="003766B1"/>
    <w:rsid w:val="003C21AC"/>
    <w:rsid w:val="003C5218"/>
    <w:rsid w:val="003C7876"/>
    <w:rsid w:val="003E2F98"/>
    <w:rsid w:val="0042574B"/>
    <w:rsid w:val="0042738F"/>
    <w:rsid w:val="004330ED"/>
    <w:rsid w:val="00481C91"/>
    <w:rsid w:val="004911E3"/>
    <w:rsid w:val="00497D57"/>
    <w:rsid w:val="004A1E29"/>
    <w:rsid w:val="004A7DD4"/>
    <w:rsid w:val="004B50D8"/>
    <w:rsid w:val="004B5B90"/>
    <w:rsid w:val="00501109"/>
    <w:rsid w:val="005215F3"/>
    <w:rsid w:val="005408FF"/>
    <w:rsid w:val="00542BFD"/>
    <w:rsid w:val="005703C9"/>
    <w:rsid w:val="00597703"/>
    <w:rsid w:val="005A6097"/>
    <w:rsid w:val="005B1DCC"/>
    <w:rsid w:val="005B7323"/>
    <w:rsid w:val="005C25B9"/>
    <w:rsid w:val="006267E6"/>
    <w:rsid w:val="00635B3A"/>
    <w:rsid w:val="006558D2"/>
    <w:rsid w:val="00672D25"/>
    <w:rsid w:val="006738BC"/>
    <w:rsid w:val="006D3E69"/>
    <w:rsid w:val="006E0971"/>
    <w:rsid w:val="007709F6"/>
    <w:rsid w:val="007965FC"/>
    <w:rsid w:val="007D2608"/>
    <w:rsid w:val="008164E5"/>
    <w:rsid w:val="00830081"/>
    <w:rsid w:val="00842251"/>
    <w:rsid w:val="008467D7"/>
    <w:rsid w:val="00852541"/>
    <w:rsid w:val="00855B80"/>
    <w:rsid w:val="00865D47"/>
    <w:rsid w:val="00872668"/>
    <w:rsid w:val="0088452C"/>
    <w:rsid w:val="008B4F67"/>
    <w:rsid w:val="008D00ED"/>
    <w:rsid w:val="008D7DCB"/>
    <w:rsid w:val="008E3634"/>
    <w:rsid w:val="008F435C"/>
    <w:rsid w:val="009055DB"/>
    <w:rsid w:val="00905ECB"/>
    <w:rsid w:val="009372D2"/>
    <w:rsid w:val="0096165D"/>
    <w:rsid w:val="00962C24"/>
    <w:rsid w:val="00972FA2"/>
    <w:rsid w:val="00993E91"/>
    <w:rsid w:val="009A409F"/>
    <w:rsid w:val="009B3D27"/>
    <w:rsid w:val="009B5845"/>
    <w:rsid w:val="009C0C1F"/>
    <w:rsid w:val="009D5DE1"/>
    <w:rsid w:val="00A10505"/>
    <w:rsid w:val="00A1288B"/>
    <w:rsid w:val="00A42A14"/>
    <w:rsid w:val="00A53203"/>
    <w:rsid w:val="00A61646"/>
    <w:rsid w:val="00A772EB"/>
    <w:rsid w:val="00AB2F45"/>
    <w:rsid w:val="00B01BA6"/>
    <w:rsid w:val="00B4708A"/>
    <w:rsid w:val="00B47880"/>
    <w:rsid w:val="00BB276A"/>
    <w:rsid w:val="00BF623B"/>
    <w:rsid w:val="00C035D4"/>
    <w:rsid w:val="00C679BF"/>
    <w:rsid w:val="00C81BBD"/>
    <w:rsid w:val="00CD3132"/>
    <w:rsid w:val="00CE27CD"/>
    <w:rsid w:val="00D134F3"/>
    <w:rsid w:val="00D135D7"/>
    <w:rsid w:val="00D351C1"/>
    <w:rsid w:val="00D36AA8"/>
    <w:rsid w:val="00D47D01"/>
    <w:rsid w:val="00D774B3"/>
    <w:rsid w:val="00D850D5"/>
    <w:rsid w:val="00DB177E"/>
    <w:rsid w:val="00DD35A5"/>
    <w:rsid w:val="00DE2948"/>
    <w:rsid w:val="00DF68BE"/>
    <w:rsid w:val="00DF712A"/>
    <w:rsid w:val="00E01F81"/>
    <w:rsid w:val="00E16C36"/>
    <w:rsid w:val="00E258DC"/>
    <w:rsid w:val="00E25DF4"/>
    <w:rsid w:val="00E265D9"/>
    <w:rsid w:val="00E3485D"/>
    <w:rsid w:val="00E6619B"/>
    <w:rsid w:val="00EA1CE4"/>
    <w:rsid w:val="00EA69AC"/>
    <w:rsid w:val="00EB40A1"/>
    <w:rsid w:val="00EC3112"/>
    <w:rsid w:val="00ED5E57"/>
    <w:rsid w:val="00EE1BD8"/>
    <w:rsid w:val="00F57C55"/>
    <w:rsid w:val="00F6388D"/>
    <w:rsid w:val="00FA5BBE"/>
    <w:rsid w:val="00FC0CB5"/>
    <w:rsid w:val="00FD28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paragraph" w:styleId="Revisie">
    <w:name w:val="Revision"/>
    <w:hidden/>
    <w:uiPriority w:val="99"/>
    <w:semiHidden/>
    <w:rsid w:val="00BB276A"/>
    <w:rPr>
      <w:sz w:val="24"/>
    </w:rPr>
  </w:style>
  <w:style w:type="character" w:styleId="Verwijzingopmerking">
    <w:name w:val="annotation reference"/>
    <w:basedOn w:val="Standaardalinea-lettertype"/>
    <w:semiHidden/>
    <w:unhideWhenUsed/>
    <w:rsid w:val="00285D83"/>
    <w:rPr>
      <w:sz w:val="16"/>
      <w:szCs w:val="16"/>
    </w:rPr>
  </w:style>
  <w:style w:type="paragraph" w:styleId="Tekstopmerking">
    <w:name w:val="annotation text"/>
    <w:basedOn w:val="Standaard"/>
    <w:link w:val="TekstopmerkingChar"/>
    <w:unhideWhenUsed/>
    <w:rsid w:val="00285D83"/>
    <w:rPr>
      <w:sz w:val="20"/>
    </w:rPr>
  </w:style>
  <w:style w:type="character" w:customStyle="1" w:styleId="TekstopmerkingChar">
    <w:name w:val="Tekst opmerking Char"/>
    <w:basedOn w:val="Standaardalinea-lettertype"/>
    <w:link w:val="Tekstopmerking"/>
    <w:rsid w:val="00285D83"/>
  </w:style>
  <w:style w:type="paragraph" w:styleId="Onderwerpvanopmerking">
    <w:name w:val="annotation subject"/>
    <w:basedOn w:val="Tekstopmerking"/>
    <w:next w:val="Tekstopmerking"/>
    <w:link w:val="OnderwerpvanopmerkingChar"/>
    <w:semiHidden/>
    <w:unhideWhenUsed/>
    <w:rsid w:val="00285D83"/>
    <w:rPr>
      <w:b/>
      <w:bCs/>
    </w:rPr>
  </w:style>
  <w:style w:type="character" w:customStyle="1" w:styleId="OnderwerpvanopmerkingChar">
    <w:name w:val="Onderwerp van opmerking Char"/>
    <w:basedOn w:val="TekstopmerkingChar"/>
    <w:link w:val="Onderwerpvanopmerking"/>
    <w:semiHidden/>
    <w:rsid w:val="00285D83"/>
    <w:rPr>
      <w:b/>
      <w:bCs/>
    </w:rPr>
  </w:style>
  <w:style w:type="character" w:customStyle="1" w:styleId="apple-converted-space">
    <w:name w:val="apple-converted-space"/>
    <w:basedOn w:val="Standaardalinea-lettertype"/>
    <w:rsid w:val="0027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2425">
      <w:bodyDiv w:val="1"/>
      <w:marLeft w:val="0"/>
      <w:marRight w:val="0"/>
      <w:marTop w:val="0"/>
      <w:marBottom w:val="0"/>
      <w:divBdr>
        <w:top w:val="none" w:sz="0" w:space="0" w:color="auto"/>
        <w:left w:val="none" w:sz="0" w:space="0" w:color="auto"/>
        <w:bottom w:val="none" w:sz="0" w:space="0" w:color="auto"/>
        <w:right w:val="none" w:sz="0" w:space="0" w:color="auto"/>
      </w:divBdr>
    </w:div>
    <w:div w:id="1331905766">
      <w:bodyDiv w:val="1"/>
      <w:marLeft w:val="0"/>
      <w:marRight w:val="0"/>
      <w:marTop w:val="0"/>
      <w:marBottom w:val="0"/>
      <w:divBdr>
        <w:top w:val="none" w:sz="0" w:space="0" w:color="auto"/>
        <w:left w:val="none" w:sz="0" w:space="0" w:color="auto"/>
        <w:bottom w:val="none" w:sz="0" w:space="0" w:color="auto"/>
        <w:right w:val="none" w:sz="0" w:space="0" w:color="auto"/>
      </w:divBdr>
    </w:div>
    <w:div w:id="1664430664">
      <w:bodyDiv w:val="1"/>
      <w:marLeft w:val="0"/>
      <w:marRight w:val="0"/>
      <w:marTop w:val="0"/>
      <w:marBottom w:val="0"/>
      <w:divBdr>
        <w:top w:val="none" w:sz="0" w:space="0" w:color="auto"/>
        <w:left w:val="none" w:sz="0" w:space="0" w:color="auto"/>
        <w:bottom w:val="none" w:sz="0" w:space="0" w:color="auto"/>
        <w:right w:val="none" w:sz="0" w:space="0" w:color="auto"/>
      </w:divBdr>
    </w:div>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695616029">
      <w:bodyDiv w:val="1"/>
      <w:marLeft w:val="0"/>
      <w:marRight w:val="0"/>
      <w:marTop w:val="0"/>
      <w:marBottom w:val="0"/>
      <w:divBdr>
        <w:top w:val="none" w:sz="0" w:space="0" w:color="auto"/>
        <w:left w:val="none" w:sz="0" w:space="0" w:color="auto"/>
        <w:bottom w:val="none" w:sz="0" w:space="0" w:color="auto"/>
        <w:right w:val="none" w:sz="0" w:space="0" w:color="auto"/>
      </w:divBdr>
    </w:div>
    <w:div w:id="1715347854">
      <w:bodyDiv w:val="1"/>
      <w:marLeft w:val="0"/>
      <w:marRight w:val="0"/>
      <w:marTop w:val="0"/>
      <w:marBottom w:val="0"/>
      <w:divBdr>
        <w:top w:val="none" w:sz="0" w:space="0" w:color="auto"/>
        <w:left w:val="none" w:sz="0" w:space="0" w:color="auto"/>
        <w:bottom w:val="none" w:sz="0" w:space="0" w:color="auto"/>
        <w:right w:val="none" w:sz="0" w:space="0" w:color="auto"/>
      </w:divBdr>
    </w:div>
    <w:div w:id="20933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426</ap:Words>
  <ap:Characters>2346</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2025-03-19T08:58:00.0000000Z</dcterms:created>
  <dcterms:modified xsi:type="dcterms:W3CDTF">2025-03-19T08:58:00.0000000Z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0x0101001B56AFEF3630CE4FABC8A84935CF8FD7</vt:lpwstr>
  </property>
</Properties>
</file>