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52E4" w:rsidP="003052E4" w:rsidRDefault="003052E4" w14:paraId="192B4F5C" w14:textId="77777777">
      <w:r>
        <w:t>De vaste commissie voor Binnenlandse Zaken heeft op 12 december 2024 gesproken over de motie van de leden Bamenga en Stultiens over het uitsluitend gebruikmaken van risicoprofilering in specifieke gevallen en de minister van Binnenlandse Zaken en Koninkrijksrelaties verzocht deze motie te voorzien van een appreciatie.</w:t>
      </w:r>
      <w:r>
        <w:rPr>
          <w:rStyle w:val="Voetnootmarkering"/>
        </w:rPr>
        <w:footnoteReference w:id="1"/>
      </w:r>
      <w:r>
        <w:t xml:space="preserve"> </w:t>
      </w:r>
      <w:r w:rsidRPr="00BE6D7E">
        <w:t xml:space="preserve">Met deze brief wil ik deze appreciatie graag mede namens de </w:t>
      </w:r>
      <w:r>
        <w:t>minister van Binnenlandse Zaken</w:t>
      </w:r>
      <w:r w:rsidRPr="00B855B6">
        <w:t xml:space="preserve"> en Koninkrijksrelaties</w:t>
      </w:r>
      <w:r>
        <w:t xml:space="preserve"> </w:t>
      </w:r>
      <w:r w:rsidRPr="00BE6D7E">
        <w:t>geven.</w:t>
      </w:r>
      <w:r>
        <w:t xml:space="preserve"> </w:t>
      </w:r>
    </w:p>
    <w:p w:rsidR="003052E4" w:rsidP="003052E4" w:rsidRDefault="003052E4" w14:paraId="2D904DA5" w14:textId="77777777"/>
    <w:p w:rsidR="003052E4" w:rsidP="003052E4" w:rsidRDefault="003052E4" w14:paraId="13FF88E3" w14:textId="77777777">
      <w:r>
        <w:t>De motie vraagt om uitsluitend gebruik te maken van risicoprofilering als objectief en transparant onderzoek heeft aangetoond dat het gebruik van risicoprofilering in dat specifieke geval effectief, noodzakelijk en proportioneel is, en dat het recht op non-discriminatie gegarandeerd wordt.</w:t>
      </w:r>
    </w:p>
    <w:p w:rsidR="003052E4" w:rsidP="003052E4" w:rsidRDefault="003052E4" w14:paraId="4D332D0D" w14:textId="77777777"/>
    <w:p w:rsidR="003052E4" w:rsidP="003052E4" w:rsidRDefault="003052E4" w14:paraId="3F543B97" w14:textId="77777777">
      <w:r>
        <w:t>Dit kabinet hecht aan verantwoorde inzet van algoritmen. Het is reeds staand beleid dat geautomatiseerde risicoselectie niet kan plaatsvinden</w:t>
      </w:r>
      <w:r w:rsidR="006D0FB6">
        <w:t>,</w:t>
      </w:r>
      <w:r>
        <w:t xml:space="preserve"> nadat belangrijke waarborgen en voorzorgsmaatregelen in acht zijn genomen. Het discriminatieverbod, zoals dat is vastgelegd in artikel 1 van de Grondwet en uitgewerkt in onder meer de Algemene wet gelijke behandeling (Awgb), is leidend. Daarnaast moeten overheidsorganisaties voldoen aan de Algemene verordening gegevensbescherming (AVG) en de Algemene wet bestuursrecht (Awb). </w:t>
      </w:r>
    </w:p>
    <w:p w:rsidR="003052E4" w:rsidP="003052E4" w:rsidRDefault="003052E4" w14:paraId="1D7EF0F7" w14:textId="77777777"/>
    <w:p w:rsidR="003052E4" w:rsidP="003052E4" w:rsidRDefault="003052E4" w14:paraId="29EEF6CB" w14:textId="77777777">
      <w:r>
        <w:t>De Autoriteit Persoonsgegevens</w:t>
      </w:r>
      <w:r w:rsidRPr="00F64A9D">
        <w:t xml:space="preserve"> </w:t>
      </w:r>
      <w:r>
        <w:t xml:space="preserve">(AP) heeft op </w:t>
      </w:r>
      <w:r w:rsidRPr="00305A31">
        <w:t xml:space="preserve">10 oktober 2024 </w:t>
      </w:r>
      <w:r>
        <w:t xml:space="preserve">advies uitgebracht </w:t>
      </w:r>
      <w:r w:rsidRPr="00305A31">
        <w:t xml:space="preserve">over geautomatiseerde </w:t>
      </w:r>
      <w:r>
        <w:t xml:space="preserve">selectie-instrumenten, met inbegrip van </w:t>
      </w:r>
      <w:r w:rsidRPr="00305A31">
        <w:t>risicoselectie</w:t>
      </w:r>
      <w:r>
        <w:t>.</w:t>
      </w:r>
      <w:r>
        <w:rPr>
          <w:rStyle w:val="Voetnootmarkering"/>
        </w:rPr>
        <w:footnoteReference w:id="2"/>
      </w:r>
      <w:r>
        <w:t xml:space="preserve"> De AP heeft in haar advies gesteld dat dergelijke risicoselectie slechts toegepast mag worden onder een vijftal voorwaarden. De eerste twee daarvan luiden: het risico op discriminatoire verwerkingen is onderzocht en ondervangen, en periodiek wordt onderzocht of zich desalniettemin discriminatoire verwerkingen voordoen. De AP benadrukt verder het belang ervoor te zorgen dat selectieregels zijn gebaseerd op relevant statistisch en gevalideerd onderzoek. </w:t>
      </w:r>
    </w:p>
    <w:p w:rsidR="003052E4" w:rsidP="003052E4" w:rsidRDefault="003052E4" w14:paraId="4F7E9306" w14:textId="77777777"/>
    <w:p w:rsidR="003052E4" w:rsidP="003052E4" w:rsidRDefault="003052E4" w14:paraId="45DB3FBF" w14:textId="77777777">
      <w:r>
        <w:t>In de k</w:t>
      </w:r>
      <w:r w:rsidRPr="00305A31">
        <w:t xml:space="preserve">abinetsreactie </w:t>
      </w:r>
      <w:r>
        <w:t xml:space="preserve">op </w:t>
      </w:r>
      <w:r w:rsidRPr="00305A31">
        <w:t xml:space="preserve">3 december </w:t>
      </w:r>
      <w:r>
        <w:t>jl. schrijft het kabinet het van belang te vinden om invulling te geven aan alle door de Autoriteit Persoonsgegevens benoemde waarborgen bij de inzet van geautomatiseerde risicoselectie.</w:t>
      </w:r>
      <w:r>
        <w:rPr>
          <w:rStyle w:val="Voetnootmarkering"/>
        </w:rPr>
        <w:footnoteReference w:id="3"/>
      </w:r>
      <w:r w:rsidRPr="00F64A9D">
        <w:t xml:space="preserve"> </w:t>
      </w:r>
      <w:r>
        <w:t xml:space="preserve">In de reactie is verder benadrukt dat het noodzakelijk is dat inzichtelijk wordt gemaakt welke geautomatiseerde risicoselectie-instrumenten de overheid hanteert en dat </w:t>
      </w:r>
      <w:r>
        <w:lastRenderedPageBreak/>
        <w:t xml:space="preserve">deze voldoende waarborgen bieden voor betrokkenen. Bij de invulling hiervan zal het kabinet gebruik maken van de handvatten die de AP in haar advies heeft geboden. </w:t>
      </w:r>
    </w:p>
    <w:p w:rsidR="003052E4" w:rsidP="003052E4" w:rsidRDefault="003052E4" w14:paraId="072951D1" w14:textId="77777777"/>
    <w:p w:rsidRPr="00454F47" w:rsidR="003052E4" w:rsidP="003052E4" w:rsidRDefault="003052E4" w14:paraId="573460B8" w14:textId="77777777">
      <w:pPr>
        <w:rPr>
          <w:rStyle w:val="eop"/>
          <w:rFonts w:cs="Segoe UI"/>
        </w:rPr>
      </w:pPr>
      <w:r>
        <w:t xml:space="preserve">Het kabinet bevordert naleving van de wettelijke kaders en van transparantie door middel van o.a. het </w:t>
      </w:r>
      <w:r w:rsidR="006D0FB6">
        <w:t xml:space="preserve">bestaand </w:t>
      </w:r>
      <w:r>
        <w:t>Algoritmekader en het Algoritmeregister. Het Algoritme</w:t>
      </w:r>
      <w:r w:rsidRPr="00454F47">
        <w:rPr>
          <w:rStyle w:val="eop"/>
          <w:rFonts w:cs="Segoe UI"/>
        </w:rPr>
        <w:t>kader biedt een overzicht van de belangrijkste eisen</w:t>
      </w:r>
      <w:r>
        <w:rPr>
          <w:rStyle w:val="eop"/>
          <w:rFonts w:cs="Segoe UI"/>
        </w:rPr>
        <w:t xml:space="preserve"> </w:t>
      </w:r>
      <w:r w:rsidRPr="00454F47">
        <w:rPr>
          <w:rStyle w:val="eop"/>
          <w:rFonts w:cs="Segoe UI"/>
        </w:rPr>
        <w:t>en maatregelen</w:t>
      </w:r>
      <w:r>
        <w:rPr>
          <w:rStyle w:val="eop"/>
          <w:rFonts w:cs="Segoe UI"/>
        </w:rPr>
        <w:t xml:space="preserve"> die gelden bij de inzet van algoritme</w:t>
      </w:r>
      <w:r w:rsidR="006D0FB6">
        <w:rPr>
          <w:rStyle w:val="eop"/>
          <w:rFonts w:cs="Segoe UI"/>
        </w:rPr>
        <w:t>n</w:t>
      </w:r>
      <w:r>
        <w:rPr>
          <w:rStyle w:val="eop"/>
          <w:rFonts w:cs="Segoe UI"/>
        </w:rPr>
        <w:t xml:space="preserve"> en AI-systemen</w:t>
      </w:r>
      <w:r w:rsidRPr="00454F47">
        <w:rPr>
          <w:rStyle w:val="eop"/>
          <w:rFonts w:cs="Segoe UI"/>
        </w:rPr>
        <w:t>, waaronder procedures voor de (statistische) validatie van algoritme</w:t>
      </w:r>
      <w:r w:rsidR="006D0FB6">
        <w:rPr>
          <w:rStyle w:val="eop"/>
          <w:rFonts w:cs="Segoe UI"/>
        </w:rPr>
        <w:t>n</w:t>
      </w:r>
      <w:r w:rsidRPr="00454F47">
        <w:rPr>
          <w:rStyle w:val="eop"/>
          <w:rFonts w:cs="Segoe UI"/>
        </w:rPr>
        <w:t xml:space="preserve"> en het vooraf en periodiek toetsen </w:t>
      </w:r>
      <w:r>
        <w:rPr>
          <w:rStyle w:val="eop"/>
          <w:rFonts w:cs="Segoe UI"/>
        </w:rPr>
        <w:t>van algoritme</w:t>
      </w:r>
      <w:r w:rsidR="006D0FB6">
        <w:rPr>
          <w:rStyle w:val="eop"/>
          <w:rFonts w:cs="Segoe UI"/>
        </w:rPr>
        <w:t>n</w:t>
      </w:r>
      <w:r>
        <w:rPr>
          <w:rStyle w:val="eop"/>
          <w:rFonts w:cs="Segoe UI"/>
        </w:rPr>
        <w:t xml:space="preserve"> </w:t>
      </w:r>
      <w:r w:rsidRPr="00454F47">
        <w:rPr>
          <w:rStyle w:val="eop"/>
          <w:rFonts w:cs="Segoe UI"/>
        </w:rPr>
        <w:t xml:space="preserve">om discriminatie te voorkomen. Het </w:t>
      </w:r>
      <w:r>
        <w:rPr>
          <w:rStyle w:val="eop"/>
          <w:rFonts w:cs="Segoe UI"/>
        </w:rPr>
        <w:t>A</w:t>
      </w:r>
      <w:r w:rsidRPr="00454F47">
        <w:rPr>
          <w:rStyle w:val="eop"/>
          <w:rFonts w:cs="Segoe UI"/>
        </w:rPr>
        <w:t>lgoritmekader verwijst ook naar verschillende instrumenten die hierbij ingezet kunnen worden zoals het I</w:t>
      </w:r>
      <w:r>
        <w:rPr>
          <w:rStyle w:val="eop"/>
          <w:rFonts w:cs="Segoe UI"/>
        </w:rPr>
        <w:t xml:space="preserve">mpact Assessment </w:t>
      </w:r>
      <w:r w:rsidRPr="00454F47">
        <w:rPr>
          <w:rStyle w:val="eop"/>
          <w:rFonts w:cs="Segoe UI"/>
        </w:rPr>
        <w:t>A</w:t>
      </w:r>
      <w:r>
        <w:rPr>
          <w:rStyle w:val="eop"/>
          <w:rFonts w:cs="Segoe UI"/>
        </w:rPr>
        <w:t>lgoritme</w:t>
      </w:r>
      <w:r w:rsidR="006D0FB6">
        <w:rPr>
          <w:rStyle w:val="eop"/>
          <w:rFonts w:cs="Segoe UI"/>
        </w:rPr>
        <w:t>n</w:t>
      </w:r>
      <w:r>
        <w:rPr>
          <w:rStyle w:val="eop"/>
          <w:rFonts w:cs="Segoe UI"/>
        </w:rPr>
        <w:t xml:space="preserve"> en </w:t>
      </w:r>
      <w:r w:rsidRPr="00454F47">
        <w:rPr>
          <w:rStyle w:val="eop"/>
          <w:rFonts w:cs="Segoe UI"/>
        </w:rPr>
        <w:t>M</w:t>
      </w:r>
      <w:r>
        <w:rPr>
          <w:rStyle w:val="eop"/>
          <w:rFonts w:cs="Segoe UI"/>
        </w:rPr>
        <w:t>ensenrechten (IAM</w:t>
      </w:r>
      <w:r w:rsidRPr="00454F47">
        <w:rPr>
          <w:rStyle w:val="eop"/>
          <w:rFonts w:cs="Segoe UI"/>
        </w:rPr>
        <w:t>A</w:t>
      </w:r>
      <w:r>
        <w:rPr>
          <w:rStyle w:val="eop"/>
          <w:rFonts w:cs="Segoe UI"/>
        </w:rPr>
        <w:t>)</w:t>
      </w:r>
      <w:r w:rsidRPr="00454F47">
        <w:rPr>
          <w:rStyle w:val="eop"/>
          <w:rFonts w:cs="Segoe UI"/>
        </w:rPr>
        <w:t xml:space="preserve"> en biastoetsing</w:t>
      </w:r>
      <w:r>
        <w:rPr>
          <w:rStyle w:val="eop"/>
          <w:rFonts w:cs="Segoe UI"/>
        </w:rPr>
        <w:t>.</w:t>
      </w:r>
      <w:r>
        <w:rPr>
          <w:rStyle w:val="Voetnootmarkering"/>
          <w:rFonts w:cs="Segoe UI"/>
        </w:rPr>
        <w:footnoteReference w:id="4"/>
      </w:r>
      <w:r>
        <w:rPr>
          <w:rStyle w:val="eop"/>
          <w:rFonts w:cs="Segoe UI"/>
        </w:rPr>
        <w:t xml:space="preserve"> Publicatie van impactvolle algoritme</w:t>
      </w:r>
      <w:r w:rsidR="006D0FB6">
        <w:rPr>
          <w:rStyle w:val="eop"/>
          <w:rFonts w:cs="Segoe UI"/>
        </w:rPr>
        <w:t>n</w:t>
      </w:r>
      <w:r>
        <w:rPr>
          <w:rStyle w:val="eop"/>
          <w:rFonts w:cs="Segoe UI"/>
        </w:rPr>
        <w:t xml:space="preserve"> in het algoritmeregister zorgt voor het vergroten van de transparantie. In het Algoritmeregister kan daarnaast ook onderliggende documentatie worden gepubliceerd, zoals uitgevoerde mensenrechtentoetsen.</w:t>
      </w:r>
      <w:r>
        <w:rPr>
          <w:rStyle w:val="Voetnootmarkering"/>
          <w:rFonts w:cs="Segoe UI"/>
        </w:rPr>
        <w:footnoteReference w:id="5"/>
      </w:r>
      <w:r>
        <w:rPr>
          <w:rStyle w:val="eop"/>
          <w:rFonts w:cs="Segoe UI"/>
        </w:rPr>
        <w:t xml:space="preserve"> Transparantie is dus het uitgangspunt, en in sommige gevallen verplicht, behoudens de wettelijke uitzonderingen voor onder meer rechtshandhaving, zoals vastgelegd in de AVG, de Wet politiegegevens en de AI-verordening. </w:t>
      </w:r>
    </w:p>
    <w:p w:rsidR="003052E4" w:rsidP="003052E4" w:rsidRDefault="003052E4" w14:paraId="0F6F499D" w14:textId="77777777"/>
    <w:p w:rsidRPr="00FD14AF" w:rsidR="003052E4" w:rsidP="003052E4" w:rsidRDefault="003052E4" w14:paraId="3B67CC8D" w14:textId="77777777">
      <w:pPr>
        <w:spacing w:line="276" w:lineRule="auto"/>
      </w:pPr>
      <w:r w:rsidRPr="00FD14AF">
        <w:t>Zoals hierboven geschetst, worden er maatregelen getroffen die toezien op verantwoord gebruik van risicoprofileringsalgoritme</w:t>
      </w:r>
      <w:r w:rsidR="006D0FB6">
        <w:t>n</w:t>
      </w:r>
      <w:r w:rsidRPr="00FD14AF">
        <w:t>. Er zijn geen bezwaren tegen de inhoud en strekking van de motie Bamenga en Stultiens, omdat de motie meerwaarde heeft ten opzichte van het bestaande beleid</w:t>
      </w:r>
      <w:r>
        <w:t xml:space="preserve">. </w:t>
      </w:r>
      <w:r w:rsidRPr="00FD14AF">
        <w:t xml:space="preserve">De motie wordt geapprecieerd als “oordeel kamer”. </w:t>
      </w:r>
    </w:p>
    <w:p w:rsidR="003052E4" w:rsidP="003052E4" w:rsidRDefault="003052E4" w14:paraId="181EFFC3" w14:textId="77777777">
      <w:pPr>
        <w:spacing w:line="276" w:lineRule="auto"/>
      </w:pPr>
    </w:p>
    <w:p w:rsidR="003052E4" w:rsidP="003052E4" w:rsidRDefault="003052E4" w14:paraId="78469AB4" w14:textId="77777777"/>
    <w:p w:rsidR="003052E4" w:rsidP="003052E4" w:rsidRDefault="003052E4" w14:paraId="47A9D471" w14:textId="77777777">
      <w:r>
        <w:t>De staatssecretaris van Binnenlandse Zaken en Koninkrijksrelaties,</w:t>
      </w:r>
      <w:r>
        <w:br/>
      </w:r>
      <w:r w:rsidRPr="00B855B6">
        <w:rPr>
          <w:i/>
          <w:iCs/>
        </w:rPr>
        <w:t>Digitalisering en Koninkrijksrelaties</w:t>
      </w:r>
      <w:r>
        <w:t xml:space="preserve"> </w:t>
      </w:r>
      <w:r>
        <w:br/>
      </w:r>
      <w:r>
        <w:br/>
      </w:r>
      <w:r>
        <w:br/>
      </w:r>
    </w:p>
    <w:p w:rsidR="003052E4" w:rsidP="003052E4" w:rsidRDefault="003052E4" w14:paraId="5947C000" w14:textId="77777777">
      <w:r>
        <w:br/>
      </w:r>
    </w:p>
    <w:p w:rsidR="003052E4" w:rsidP="003052E4" w:rsidRDefault="003052E4" w14:paraId="309DAEBF" w14:textId="77777777">
      <w:r>
        <w:t>Zsolt Szabó</w:t>
      </w:r>
    </w:p>
    <w:p w:rsidR="00FC1004" w:rsidRDefault="00FC1004" w14:paraId="2C459AB2" w14:textId="77777777"/>
    <w:p w:rsidRPr="006D0FB6" w:rsidR="006D0FB6" w:rsidP="006D0FB6" w:rsidRDefault="006D0FB6" w14:paraId="054C792E" w14:textId="77777777"/>
    <w:p w:rsidRPr="006D0FB6" w:rsidR="006D0FB6" w:rsidP="006D0FB6" w:rsidRDefault="006D0FB6" w14:paraId="61D19D5F" w14:textId="77777777"/>
    <w:p w:rsidRPr="006D0FB6" w:rsidR="006D0FB6" w:rsidP="006D0FB6" w:rsidRDefault="006D0FB6" w14:paraId="418F202D" w14:textId="77777777"/>
    <w:p w:rsidRPr="006D0FB6" w:rsidR="006D0FB6" w:rsidP="006D0FB6" w:rsidRDefault="006D0FB6" w14:paraId="2AD22FF2" w14:textId="77777777"/>
    <w:p w:rsidR="006D0FB6" w:rsidP="006D0FB6" w:rsidRDefault="006D0FB6" w14:paraId="5C862955" w14:textId="77777777"/>
    <w:p w:rsidRPr="006D0FB6" w:rsidR="006D0FB6" w:rsidP="006D0FB6" w:rsidRDefault="006D0FB6" w14:paraId="21EC9A97" w14:textId="77777777">
      <w:pPr>
        <w:jc w:val="center"/>
      </w:pPr>
    </w:p>
    <w:sectPr w:rsidRPr="006D0FB6" w:rsidR="006D0FB6">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85978" w14:textId="77777777" w:rsidR="002673BF" w:rsidRDefault="002673BF">
      <w:pPr>
        <w:spacing w:line="240" w:lineRule="auto"/>
      </w:pPr>
      <w:r>
        <w:separator/>
      </w:r>
    </w:p>
  </w:endnote>
  <w:endnote w:type="continuationSeparator" w:id="0">
    <w:p w14:paraId="03510809" w14:textId="77777777" w:rsidR="002673BF" w:rsidRDefault="002673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D0EA1" w14:textId="77777777" w:rsidR="00AF18C7" w:rsidRDefault="00AF18C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87E8" w14:textId="77777777" w:rsidR="00AF18C7" w:rsidRDefault="00AF18C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E926B" w14:textId="77777777" w:rsidR="00AF18C7" w:rsidRDefault="00AF18C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F65FF" w14:textId="77777777" w:rsidR="002673BF" w:rsidRDefault="002673BF">
      <w:pPr>
        <w:spacing w:line="240" w:lineRule="auto"/>
      </w:pPr>
      <w:r>
        <w:separator/>
      </w:r>
    </w:p>
  </w:footnote>
  <w:footnote w:type="continuationSeparator" w:id="0">
    <w:p w14:paraId="265F32DB" w14:textId="77777777" w:rsidR="002673BF" w:rsidRDefault="002673BF">
      <w:pPr>
        <w:spacing w:line="240" w:lineRule="auto"/>
      </w:pPr>
      <w:r>
        <w:continuationSeparator/>
      </w:r>
    </w:p>
  </w:footnote>
  <w:footnote w:id="1">
    <w:p w14:paraId="612C4016" w14:textId="77777777" w:rsidR="003052E4" w:rsidRPr="006370E7" w:rsidRDefault="003052E4" w:rsidP="003052E4">
      <w:pPr>
        <w:pStyle w:val="Voetnoottekst"/>
        <w:rPr>
          <w:sz w:val="16"/>
          <w:szCs w:val="16"/>
        </w:rPr>
      </w:pPr>
      <w:r w:rsidRPr="006C2233">
        <w:rPr>
          <w:rStyle w:val="Voetnootmarkering"/>
          <w:sz w:val="16"/>
          <w:szCs w:val="16"/>
        </w:rPr>
        <w:footnoteRef/>
      </w:r>
      <w:r w:rsidRPr="006C2233">
        <w:rPr>
          <w:sz w:val="16"/>
          <w:szCs w:val="16"/>
        </w:rPr>
        <w:t xml:space="preserve"> Kamerstuk 31288, nr. 1171.</w:t>
      </w:r>
    </w:p>
  </w:footnote>
  <w:footnote w:id="2">
    <w:p w14:paraId="79A36634" w14:textId="77777777" w:rsidR="003052E4" w:rsidRPr="004A129F" w:rsidRDefault="003052E4" w:rsidP="003052E4">
      <w:pPr>
        <w:pStyle w:val="Voetnoottekst"/>
        <w:rPr>
          <w:sz w:val="16"/>
          <w:szCs w:val="16"/>
        </w:rPr>
      </w:pPr>
      <w:r w:rsidRPr="0063414E">
        <w:rPr>
          <w:rStyle w:val="Voetnootmarkering"/>
          <w:sz w:val="16"/>
          <w:szCs w:val="16"/>
        </w:rPr>
        <w:footnoteRef/>
      </w:r>
      <w:r w:rsidRPr="004A129F">
        <w:rPr>
          <w:sz w:val="16"/>
          <w:szCs w:val="16"/>
        </w:rPr>
        <w:t xml:space="preserve"> </w:t>
      </w:r>
      <w:hyperlink r:id="rId1" w:history="1">
        <w:r w:rsidRPr="004A129F">
          <w:rPr>
            <w:rStyle w:val="Hyperlink"/>
            <w:sz w:val="16"/>
            <w:szCs w:val="16"/>
          </w:rPr>
          <w:t>https://www.rijksoverheid.nl/documenten/publicaties/2024/10/10/advies-artikel-22-avg-en-geautomatiseerde-selectie-instrumenten</w:t>
        </w:r>
      </w:hyperlink>
      <w:r w:rsidRPr="004A129F">
        <w:rPr>
          <w:sz w:val="16"/>
          <w:szCs w:val="16"/>
        </w:rPr>
        <w:t xml:space="preserve"> </w:t>
      </w:r>
    </w:p>
  </w:footnote>
  <w:footnote w:id="3">
    <w:p w14:paraId="0C94CD68" w14:textId="77777777" w:rsidR="003052E4" w:rsidRPr="00FD3F10" w:rsidRDefault="003052E4" w:rsidP="003052E4">
      <w:pPr>
        <w:pStyle w:val="Voetnoottekst"/>
      </w:pPr>
      <w:r>
        <w:rPr>
          <w:rStyle w:val="Voetnootmarkering"/>
        </w:rPr>
        <w:footnoteRef/>
      </w:r>
      <w:r>
        <w:t xml:space="preserve"> </w:t>
      </w:r>
      <w:r w:rsidRPr="001B529C">
        <w:rPr>
          <w:sz w:val="16"/>
          <w:szCs w:val="16"/>
        </w:rPr>
        <w:t>Kamer</w:t>
      </w:r>
      <w:r>
        <w:rPr>
          <w:sz w:val="16"/>
          <w:szCs w:val="16"/>
        </w:rPr>
        <w:t xml:space="preserve">stuk </w:t>
      </w:r>
      <w:r w:rsidRPr="001B529C">
        <w:rPr>
          <w:sz w:val="16"/>
          <w:szCs w:val="16"/>
        </w:rPr>
        <w:t>32 761, nr. 310</w:t>
      </w:r>
    </w:p>
  </w:footnote>
  <w:footnote w:id="4">
    <w:p w14:paraId="4398D3A4" w14:textId="77777777" w:rsidR="003052E4" w:rsidRDefault="003052E4" w:rsidP="003052E4">
      <w:pPr>
        <w:pStyle w:val="Voetnoottekst"/>
      </w:pPr>
      <w:r>
        <w:rPr>
          <w:rStyle w:val="Voetnootmarkering"/>
        </w:rPr>
        <w:footnoteRef/>
      </w:r>
      <w:r>
        <w:t xml:space="preserve"> </w:t>
      </w:r>
      <w:r w:rsidRPr="00FD3F10">
        <w:rPr>
          <w:sz w:val="16"/>
          <w:szCs w:val="16"/>
        </w:rPr>
        <w:t>https://minbzk.github.io/algoritmekader/</w:t>
      </w:r>
    </w:p>
  </w:footnote>
  <w:footnote w:id="5">
    <w:p w14:paraId="58FC11A5" w14:textId="77777777" w:rsidR="003052E4" w:rsidRDefault="003052E4" w:rsidP="003052E4">
      <w:pPr>
        <w:pStyle w:val="Voetnoottekst"/>
      </w:pPr>
      <w:r>
        <w:rPr>
          <w:rStyle w:val="Voetnootmarkering"/>
        </w:rPr>
        <w:footnoteRef/>
      </w:r>
      <w:r>
        <w:t xml:space="preserve"> </w:t>
      </w:r>
      <w:r w:rsidRPr="007C769B">
        <w:rPr>
          <w:sz w:val="16"/>
          <w:szCs w:val="16"/>
        </w:rPr>
        <w:t>https://algoritmes.overheid.nl/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4FF62" w14:textId="77777777" w:rsidR="00AF18C7" w:rsidRDefault="00AF18C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4EFD6" w14:textId="77777777" w:rsidR="004F059C" w:rsidRDefault="00707673">
    <w:r>
      <w:rPr>
        <w:noProof/>
      </w:rPr>
      <mc:AlternateContent>
        <mc:Choice Requires="wps">
          <w:drawing>
            <wp:anchor distT="0" distB="0" distL="0" distR="0" simplePos="0" relativeHeight="251652096" behindDoc="0" locked="1" layoutInCell="1" allowOverlap="1" wp14:anchorId="274EE153" wp14:editId="1826E28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17B45EF" w14:textId="77777777" w:rsidR="007E2282" w:rsidRDefault="00000000">
                          <w:pPr>
                            <w:pStyle w:val="Rubricering"/>
                          </w:pPr>
                          <w:fldSimple w:instr=" DOCPROPERTY  &quot;Rubricering&quot;  \* MERGEFORMAT "/>
                          <w:fldSimple w:instr=" DOCPROPERTY  &quot;Markering&quot;  \* MERGEFORMAT "/>
                        </w:p>
                      </w:txbxContent>
                    </wps:txbx>
                    <wps:bodyPr vert="horz" wrap="square" lIns="0" tIns="0" rIns="0" bIns="0" anchor="t" anchorCtr="0"/>
                  </wps:wsp>
                </a:graphicData>
              </a:graphic>
            </wp:anchor>
          </w:drawing>
        </mc:Choice>
        <mc:Fallback>
          <w:pict>
            <v:shapetype w14:anchorId="274EE153"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317B45EF" w14:textId="77777777" w:rsidR="007E2282" w:rsidRDefault="00000000">
                    <w:pPr>
                      <w:pStyle w:val="Rubricering"/>
                    </w:pPr>
                    <w:fldSimple w:instr=" DOCPROPERTY  &quot;Rubricering&quot;  \* MERGEFORMAT "/>
                    <w:fldSimple w:instr=" DOCPROPERTY  &quot;Markering&quot;  \* MERGEFORMAT "/>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26CC2EEE" wp14:editId="02311F8E">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7F8E667" w14:textId="77777777" w:rsidR="004F059C" w:rsidRDefault="004F059C">
                          <w:pPr>
                            <w:pStyle w:val="WitregelW2"/>
                          </w:pPr>
                        </w:p>
                        <w:p w14:paraId="72ABC486" w14:textId="77777777" w:rsidR="004F059C" w:rsidRDefault="004F059C">
                          <w:pPr>
                            <w:pStyle w:val="WitregelW1"/>
                          </w:pPr>
                        </w:p>
                        <w:p w14:paraId="429F30FB" w14:textId="77777777" w:rsidR="004F059C" w:rsidRDefault="00707673">
                          <w:pPr>
                            <w:pStyle w:val="Referentiegegevensbold"/>
                          </w:pPr>
                          <w:r>
                            <w:t>Onze referentie</w:t>
                          </w:r>
                        </w:p>
                        <w:p w14:paraId="7026E107" w14:textId="77777777" w:rsidR="007E2282" w:rsidRDefault="00000000">
                          <w:pPr>
                            <w:pStyle w:val="Referentiegegevens"/>
                          </w:pPr>
                          <w:fldSimple w:instr=" DOCPROPERTY  &quot;Kenmerk&quot;  \* MERGEFORMAT ">
                            <w:r>
                              <w:t>2025-0000047634</w:t>
                            </w:r>
                          </w:fldSimple>
                        </w:p>
                      </w:txbxContent>
                    </wps:txbx>
                    <wps:bodyPr vert="horz" wrap="square" lIns="0" tIns="0" rIns="0" bIns="0" anchor="t" anchorCtr="0"/>
                  </wps:wsp>
                </a:graphicData>
              </a:graphic>
            </wp:anchor>
          </w:drawing>
        </mc:Choice>
        <mc:Fallback>
          <w:pict>
            <v:shape w14:anchorId="26CC2EEE"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07F8E667" w14:textId="77777777" w:rsidR="004F059C" w:rsidRDefault="004F059C">
                    <w:pPr>
                      <w:pStyle w:val="WitregelW2"/>
                    </w:pPr>
                  </w:p>
                  <w:p w14:paraId="72ABC486" w14:textId="77777777" w:rsidR="004F059C" w:rsidRDefault="004F059C">
                    <w:pPr>
                      <w:pStyle w:val="WitregelW1"/>
                    </w:pPr>
                  </w:p>
                  <w:p w14:paraId="429F30FB" w14:textId="77777777" w:rsidR="004F059C" w:rsidRDefault="00707673">
                    <w:pPr>
                      <w:pStyle w:val="Referentiegegevensbold"/>
                    </w:pPr>
                    <w:r>
                      <w:t>Onze referentie</w:t>
                    </w:r>
                  </w:p>
                  <w:p w14:paraId="7026E107" w14:textId="77777777" w:rsidR="007E2282" w:rsidRDefault="00000000">
                    <w:pPr>
                      <w:pStyle w:val="Referentiegegevens"/>
                    </w:pPr>
                    <w:fldSimple w:instr=" DOCPROPERTY  &quot;Kenmerk&quot;  \* MERGEFORMAT ">
                      <w:r>
                        <w:t>2025-0000047634</w:t>
                      </w:r>
                    </w:fldSimple>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31943BD1" wp14:editId="1EC7815E">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268477C" w14:textId="77777777" w:rsidR="007E2282" w:rsidRDefault="00000000">
                          <w:pPr>
                            <w:pStyle w:val="Rubricering"/>
                          </w:pPr>
                          <w:fldSimple w:instr=" DOCPROPERTY  &quot;Rubricering&quot;  \* MERGEFORMAT "/>
                          <w:fldSimple w:instr=" DOCPROPERTY  &quot;Markering&quot;  \* MERGEFORMAT "/>
                        </w:p>
                      </w:txbxContent>
                    </wps:txbx>
                    <wps:bodyPr vert="horz" wrap="square" lIns="0" tIns="0" rIns="0" bIns="0" anchor="t" anchorCtr="0"/>
                  </wps:wsp>
                </a:graphicData>
              </a:graphic>
            </wp:anchor>
          </w:drawing>
        </mc:Choice>
        <mc:Fallback>
          <w:pict>
            <v:shape w14:anchorId="31943BD1"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2268477C" w14:textId="77777777" w:rsidR="007E2282" w:rsidRDefault="00000000">
                    <w:pPr>
                      <w:pStyle w:val="Rubricering"/>
                    </w:pPr>
                    <w:fldSimple w:instr=" DOCPROPERTY  &quot;Rubricering&quot;  \* MERGEFORMAT "/>
                    <w:fldSimple w:instr=" DOCPROPERTY  &quot;Markering&quot;  \* MERGEFORMAT "/>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66BAC5B8" wp14:editId="2640042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513DADC" w14:textId="77777777" w:rsidR="007E2282" w:rsidRDefault="00000000">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66BAC5B8"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1513DADC" w14:textId="77777777" w:rsidR="007E2282" w:rsidRDefault="00000000">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BF0B7" w14:textId="77777777" w:rsidR="004F059C" w:rsidRDefault="00707673" w:rsidP="00E5609E">
    <w:pPr>
      <w:tabs>
        <w:tab w:val="left" w:pos="2170"/>
      </w:tabs>
      <w:spacing w:after="6377" w:line="14" w:lineRule="exact"/>
    </w:pPr>
    <w:r>
      <w:rPr>
        <w:noProof/>
      </w:rPr>
      <mc:AlternateContent>
        <mc:Choice Requires="wps">
          <w:drawing>
            <wp:anchor distT="0" distB="0" distL="0" distR="0" simplePos="0" relativeHeight="251656192" behindDoc="0" locked="1" layoutInCell="1" allowOverlap="1" wp14:anchorId="00EB2921" wp14:editId="589580DF">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20381A37" w14:textId="77777777" w:rsidR="004F059C" w:rsidRDefault="00707673">
                          <w:pPr>
                            <w:spacing w:line="240" w:lineRule="auto"/>
                          </w:pPr>
                          <w:r>
                            <w:rPr>
                              <w:noProof/>
                            </w:rPr>
                            <w:drawing>
                              <wp:inline distT="0" distB="0" distL="0" distR="0" wp14:anchorId="66AB47D0" wp14:editId="53EEF0FF">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0EB2921"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20381A37" w14:textId="77777777" w:rsidR="004F059C" w:rsidRDefault="00707673">
                    <w:pPr>
                      <w:spacing w:line="240" w:lineRule="auto"/>
                    </w:pPr>
                    <w:r>
                      <w:rPr>
                        <w:noProof/>
                      </w:rPr>
                      <w:drawing>
                        <wp:inline distT="0" distB="0" distL="0" distR="0" wp14:anchorId="66AB47D0" wp14:editId="53EEF0FF">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A7DD974" wp14:editId="490C38C4">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DA6CFAF" w14:textId="77777777" w:rsidR="004F059C" w:rsidRDefault="00707673">
                          <w:pPr>
                            <w:spacing w:line="240" w:lineRule="auto"/>
                          </w:pPr>
                          <w:r>
                            <w:rPr>
                              <w:noProof/>
                            </w:rPr>
                            <w:drawing>
                              <wp:inline distT="0" distB="0" distL="0" distR="0" wp14:anchorId="10A038D6" wp14:editId="6DB1272E">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A7DD974"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2DA6CFAF" w14:textId="77777777" w:rsidR="004F059C" w:rsidRDefault="00707673">
                    <w:pPr>
                      <w:spacing w:line="240" w:lineRule="auto"/>
                    </w:pPr>
                    <w:r>
                      <w:rPr>
                        <w:noProof/>
                      </w:rPr>
                      <w:drawing>
                        <wp:inline distT="0" distB="0" distL="0" distR="0" wp14:anchorId="10A038D6" wp14:editId="6DB1272E">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4EA9A55" wp14:editId="672F94A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020B967" w14:textId="77777777" w:rsidR="004F059C" w:rsidRDefault="00707673">
                          <w:pPr>
                            <w:pStyle w:val="Referentiegegevens"/>
                          </w:pPr>
                          <w:r>
                            <w:t xml:space="preserve">&gt; Retouradres Postbus 20001 2500 EA  </w:t>
                          </w:r>
                        </w:p>
                      </w:txbxContent>
                    </wps:txbx>
                    <wps:bodyPr vert="horz" wrap="square" lIns="0" tIns="0" rIns="0" bIns="0" anchor="t" anchorCtr="0"/>
                  </wps:wsp>
                </a:graphicData>
              </a:graphic>
            </wp:anchor>
          </w:drawing>
        </mc:Choice>
        <mc:Fallback>
          <w:pict>
            <v:shape w14:anchorId="74EA9A55"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3020B967" w14:textId="77777777" w:rsidR="004F059C" w:rsidRDefault="00707673">
                    <w:pPr>
                      <w:pStyle w:val="Referentiegegevens"/>
                    </w:pPr>
                    <w:r>
                      <w:t xml:space="preserve">&gt; Retouradres Postbus 20001 2500 EA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765D81B" wp14:editId="092041B4">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FAA84F6" w14:textId="77777777" w:rsidR="007E2282" w:rsidRDefault="00000000">
                          <w:pPr>
                            <w:pStyle w:val="Rubricering"/>
                          </w:pPr>
                          <w:fldSimple w:instr=" DOCPROPERTY  &quot;Rubricering&quot;  \* MERGEFORMAT "/>
                          <w:fldSimple w:instr=" DOCPROPERTY  &quot;Markering&quot;  \* MERGEFORMAT "/>
                        </w:p>
                        <w:p w14:paraId="6BBBA0B7" w14:textId="77777777" w:rsidR="00175EFE" w:rsidRDefault="00175EFE" w:rsidP="00175EFE">
                          <w:r>
                            <w:t xml:space="preserve">Aan de Voorzitter van de Tweede Kamer der </w:t>
                          </w:r>
                        </w:p>
                        <w:p w14:paraId="18117409" w14:textId="77777777" w:rsidR="00175EFE" w:rsidRDefault="00175EFE" w:rsidP="00175EFE">
                          <w:r>
                            <w:t>Staten-Generaal</w:t>
                          </w:r>
                        </w:p>
                        <w:p w14:paraId="709D31F1" w14:textId="77777777" w:rsidR="00175EFE" w:rsidRDefault="00175EFE" w:rsidP="00175EFE">
                          <w:r>
                            <w:t xml:space="preserve">Postbus 20018 </w:t>
                          </w:r>
                        </w:p>
                        <w:p w14:paraId="5991DEFD" w14:textId="77777777" w:rsidR="004F059C" w:rsidRDefault="00175EFE" w:rsidP="00175EFE">
                          <w:r>
                            <w:t>2500 EA DEN HAAG</w:t>
                          </w:r>
                        </w:p>
                      </w:txbxContent>
                    </wps:txbx>
                    <wps:bodyPr vert="horz" wrap="square" lIns="0" tIns="0" rIns="0" bIns="0" anchor="t" anchorCtr="0"/>
                  </wps:wsp>
                </a:graphicData>
              </a:graphic>
            </wp:anchor>
          </w:drawing>
        </mc:Choice>
        <mc:Fallback>
          <w:pict>
            <v:shape w14:anchorId="2765D81B"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1FAA84F6" w14:textId="77777777" w:rsidR="007E2282" w:rsidRDefault="00000000">
                    <w:pPr>
                      <w:pStyle w:val="Rubricering"/>
                    </w:pPr>
                    <w:fldSimple w:instr=" DOCPROPERTY  &quot;Rubricering&quot;  \* MERGEFORMAT "/>
                    <w:fldSimple w:instr=" DOCPROPERTY  &quot;Markering&quot;  \* MERGEFORMAT "/>
                  </w:p>
                  <w:p w14:paraId="6BBBA0B7" w14:textId="77777777" w:rsidR="00175EFE" w:rsidRDefault="00175EFE" w:rsidP="00175EFE">
                    <w:r>
                      <w:t xml:space="preserve">Aan de Voorzitter van de Tweede Kamer der </w:t>
                    </w:r>
                  </w:p>
                  <w:p w14:paraId="18117409" w14:textId="77777777" w:rsidR="00175EFE" w:rsidRDefault="00175EFE" w:rsidP="00175EFE">
                    <w:r>
                      <w:t>Staten-Generaal</w:t>
                    </w:r>
                  </w:p>
                  <w:p w14:paraId="709D31F1" w14:textId="77777777" w:rsidR="00175EFE" w:rsidRDefault="00175EFE" w:rsidP="00175EFE">
                    <w:r>
                      <w:t xml:space="preserve">Postbus 20018 </w:t>
                    </w:r>
                  </w:p>
                  <w:p w14:paraId="5991DEFD" w14:textId="77777777" w:rsidR="004F059C" w:rsidRDefault="00175EFE" w:rsidP="00175EFE">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5854B37" wp14:editId="55A358FE">
              <wp:simplePos x="0" y="0"/>
              <wp:positionH relativeFrom="margin">
                <wp:align>right</wp:align>
              </wp:positionH>
              <wp:positionV relativeFrom="page">
                <wp:posOffset>3336925</wp:posOffset>
              </wp:positionV>
              <wp:extent cx="4772025" cy="52832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52832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4F059C" w14:paraId="3C7D28BD" w14:textId="77777777">
                            <w:trPr>
                              <w:trHeight w:val="240"/>
                            </w:trPr>
                            <w:tc>
                              <w:tcPr>
                                <w:tcW w:w="1140" w:type="dxa"/>
                              </w:tcPr>
                              <w:p w14:paraId="2D8C2A51" w14:textId="77777777" w:rsidR="004F059C" w:rsidRDefault="00707673">
                                <w:r>
                                  <w:t>Datum</w:t>
                                </w:r>
                              </w:p>
                            </w:tc>
                            <w:tc>
                              <w:tcPr>
                                <w:tcW w:w="5918" w:type="dxa"/>
                              </w:tcPr>
                              <w:p w14:paraId="75403D50" w14:textId="392E78D5" w:rsidR="00BB27C0" w:rsidRDefault="00AF18C7">
                                <w:r>
                                  <w:t>14 maart 2025</w:t>
                                </w:r>
                              </w:p>
                            </w:tc>
                          </w:tr>
                          <w:tr w:rsidR="004F059C" w14:paraId="7166719E" w14:textId="77777777">
                            <w:trPr>
                              <w:trHeight w:val="240"/>
                            </w:trPr>
                            <w:tc>
                              <w:tcPr>
                                <w:tcW w:w="1140" w:type="dxa"/>
                              </w:tcPr>
                              <w:p w14:paraId="2890AC1C" w14:textId="77777777" w:rsidR="004F059C" w:rsidRDefault="00707673">
                                <w:r>
                                  <w:t>Betreft</w:t>
                                </w:r>
                              </w:p>
                            </w:tc>
                            <w:tc>
                              <w:tcPr>
                                <w:tcW w:w="5918" w:type="dxa"/>
                              </w:tcPr>
                              <w:p w14:paraId="512772A8" w14:textId="77777777" w:rsidR="007E2282" w:rsidRDefault="00000000">
                                <w:fldSimple w:instr=" DOCPROPERTY  &quot;Onderwerp&quot;  \* MERGEFORMAT ">
                                  <w:r>
                                    <w:t>Appreciatie motie</w:t>
                                  </w:r>
                                </w:fldSimple>
                                <w:r>
                                  <w:t xml:space="preserve"> Bamenga/Stultiens over het uitsluitend gebruikmaken van risicoprofilering in specifieke gevallen</w:t>
                                </w:r>
                              </w:p>
                            </w:tc>
                          </w:tr>
                        </w:tbl>
                        <w:p w14:paraId="0221AB65" w14:textId="77777777" w:rsidR="00707673" w:rsidRDefault="00707673"/>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35854B37" id="1670fa0c-13cb-45ec-92be-ef1f34d237c5" o:spid="_x0000_s1034" type="#_x0000_t202" style="position:absolute;margin-left:324.55pt;margin-top:262.75pt;width:375.75pt;height:41.6pt;z-index:251660288;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" filled="f" stroked="f">
              <v:textbox inset="0,0,0,0">
                <w:txbxContent>
                  <w:tbl>
                    <w:tblPr>
                      <w:tblW w:w="0" w:type="auto"/>
                      <w:tblLayout w:type="fixed"/>
                      <w:tblLook w:val="07E0" w:firstRow="1" w:lastRow="1" w:firstColumn="1" w:lastColumn="1" w:noHBand="1" w:noVBand="1"/>
                    </w:tblPr>
                    <w:tblGrid>
                      <w:gridCol w:w="1140"/>
                      <w:gridCol w:w="5918"/>
                    </w:tblGrid>
                    <w:tr w:rsidR="004F059C" w14:paraId="3C7D28BD" w14:textId="77777777">
                      <w:trPr>
                        <w:trHeight w:val="240"/>
                      </w:trPr>
                      <w:tc>
                        <w:tcPr>
                          <w:tcW w:w="1140" w:type="dxa"/>
                        </w:tcPr>
                        <w:p w14:paraId="2D8C2A51" w14:textId="77777777" w:rsidR="004F059C" w:rsidRDefault="00707673">
                          <w:r>
                            <w:t>Datum</w:t>
                          </w:r>
                        </w:p>
                      </w:tc>
                      <w:tc>
                        <w:tcPr>
                          <w:tcW w:w="5918" w:type="dxa"/>
                        </w:tcPr>
                        <w:p w14:paraId="75403D50" w14:textId="392E78D5" w:rsidR="00BB27C0" w:rsidRDefault="00AF18C7">
                          <w:r>
                            <w:t>14 maart 2025</w:t>
                          </w:r>
                        </w:p>
                      </w:tc>
                    </w:tr>
                    <w:tr w:rsidR="004F059C" w14:paraId="7166719E" w14:textId="77777777">
                      <w:trPr>
                        <w:trHeight w:val="240"/>
                      </w:trPr>
                      <w:tc>
                        <w:tcPr>
                          <w:tcW w:w="1140" w:type="dxa"/>
                        </w:tcPr>
                        <w:p w14:paraId="2890AC1C" w14:textId="77777777" w:rsidR="004F059C" w:rsidRDefault="00707673">
                          <w:r>
                            <w:t>Betreft</w:t>
                          </w:r>
                        </w:p>
                      </w:tc>
                      <w:tc>
                        <w:tcPr>
                          <w:tcW w:w="5918" w:type="dxa"/>
                        </w:tcPr>
                        <w:p w14:paraId="512772A8" w14:textId="77777777" w:rsidR="007E2282" w:rsidRDefault="00000000">
                          <w:fldSimple w:instr=" DOCPROPERTY  &quot;Onderwerp&quot;  \* MERGEFORMAT ">
                            <w:r>
                              <w:t>Appreciatie motie</w:t>
                            </w:r>
                          </w:fldSimple>
                          <w:r>
                            <w:t xml:space="preserve"> Bamenga/Stultiens over het uitsluitend gebruikmaken van risicoprofilering in specifieke gevallen</w:t>
                          </w:r>
                        </w:p>
                      </w:tc>
                    </w:tr>
                  </w:tbl>
                  <w:p w14:paraId="0221AB65" w14:textId="77777777" w:rsidR="00707673" w:rsidRDefault="00707673"/>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7699E435" wp14:editId="08D4C097">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223C9FD" w14:textId="77777777" w:rsidR="004F059C" w:rsidRDefault="004F059C">
                          <w:pPr>
                            <w:pStyle w:val="WitregelW1"/>
                          </w:pPr>
                        </w:p>
                        <w:p w14:paraId="2208AE74" w14:textId="77777777" w:rsidR="004F059C" w:rsidRPr="00175EFE" w:rsidRDefault="00707673">
                          <w:pPr>
                            <w:pStyle w:val="Referentiegegevens"/>
                            <w:rPr>
                              <w:lang w:val="de-DE"/>
                            </w:rPr>
                          </w:pPr>
                          <w:r w:rsidRPr="00175EFE">
                            <w:rPr>
                              <w:lang w:val="de-DE"/>
                            </w:rPr>
                            <w:t>Turfmarkt 147</w:t>
                          </w:r>
                        </w:p>
                        <w:p w14:paraId="42194CD1" w14:textId="77777777" w:rsidR="004F059C" w:rsidRPr="00175EFE" w:rsidRDefault="00707673">
                          <w:pPr>
                            <w:pStyle w:val="Referentiegegevens"/>
                            <w:rPr>
                              <w:lang w:val="de-DE"/>
                            </w:rPr>
                          </w:pPr>
                          <w:r w:rsidRPr="00175EFE">
                            <w:rPr>
                              <w:lang w:val="de-DE"/>
                            </w:rPr>
                            <w:t>2511 DP  Den Haag</w:t>
                          </w:r>
                        </w:p>
                        <w:p w14:paraId="5FA4BC00" w14:textId="77777777" w:rsidR="004F059C" w:rsidRPr="00175EFE" w:rsidRDefault="00707673">
                          <w:pPr>
                            <w:pStyle w:val="Referentiegegevens"/>
                            <w:rPr>
                              <w:lang w:val="de-DE"/>
                            </w:rPr>
                          </w:pPr>
                          <w:r w:rsidRPr="00175EFE">
                            <w:rPr>
                              <w:lang w:val="de-DE"/>
                            </w:rPr>
                            <w:t>Postbus 20001</w:t>
                          </w:r>
                        </w:p>
                        <w:p w14:paraId="4DCD302E" w14:textId="77777777" w:rsidR="004F059C" w:rsidRDefault="00707673">
                          <w:pPr>
                            <w:pStyle w:val="Referentiegegevens"/>
                          </w:pPr>
                          <w:r>
                            <w:t xml:space="preserve">2500 EA  </w:t>
                          </w:r>
                        </w:p>
                        <w:p w14:paraId="53BE28EE" w14:textId="77777777" w:rsidR="004F059C" w:rsidRDefault="004F059C">
                          <w:pPr>
                            <w:pStyle w:val="WitregelW1"/>
                          </w:pPr>
                        </w:p>
                        <w:p w14:paraId="41351298" w14:textId="77777777" w:rsidR="004F059C" w:rsidRPr="00175EFE" w:rsidRDefault="004F059C">
                          <w:pPr>
                            <w:pStyle w:val="WitregelW2"/>
                            <w:rPr>
                              <w:lang w:val="de-DE"/>
                            </w:rPr>
                          </w:pPr>
                        </w:p>
                        <w:p w14:paraId="2C172CC8" w14:textId="77777777" w:rsidR="004F059C" w:rsidRPr="00175EFE" w:rsidRDefault="00707673">
                          <w:pPr>
                            <w:pStyle w:val="Referentiegegevensbold"/>
                            <w:rPr>
                              <w:lang w:val="de-DE"/>
                            </w:rPr>
                          </w:pPr>
                          <w:r w:rsidRPr="00175EFE">
                            <w:rPr>
                              <w:lang w:val="de-DE"/>
                            </w:rPr>
                            <w:t>Onze referentie</w:t>
                          </w:r>
                        </w:p>
                        <w:p w14:paraId="101DCD26" w14:textId="77777777" w:rsidR="007E2282" w:rsidRDefault="00000000">
                          <w:pPr>
                            <w:pStyle w:val="Referentiegegevens"/>
                          </w:pPr>
                          <w:fldSimple w:instr=" DOCPROPERTY  &quot;Kenmerk&quot;  \* MERGEFORMAT ">
                            <w:r>
                              <w:t>2025-0000047634</w:t>
                            </w:r>
                          </w:fldSimple>
                        </w:p>
                        <w:p w14:paraId="6253F222" w14:textId="77777777" w:rsidR="004F059C" w:rsidRDefault="004F059C">
                          <w:pPr>
                            <w:pStyle w:val="WitregelW1"/>
                          </w:pPr>
                        </w:p>
                        <w:p w14:paraId="497CFF8E" w14:textId="77777777" w:rsidR="004F059C" w:rsidRDefault="00707673">
                          <w:pPr>
                            <w:pStyle w:val="Referentiegegevensbold"/>
                          </w:pPr>
                          <w:r>
                            <w:t>Uw referentie</w:t>
                          </w:r>
                        </w:p>
                        <w:p w14:paraId="5B64D86E" w14:textId="77777777" w:rsidR="007E2282" w:rsidRDefault="00000000">
                          <w:pPr>
                            <w:pStyle w:val="Referentiegegevens"/>
                          </w:pPr>
                          <w:fldSimple w:instr=" DOCPROPERTY  &quot;UwKenmerk&quot;  \* MERGEFORMAT "/>
                        </w:p>
                      </w:txbxContent>
                    </wps:txbx>
                    <wps:bodyPr vert="horz" wrap="square" lIns="0" tIns="0" rIns="0" bIns="0" anchor="t" anchorCtr="0"/>
                  </wps:wsp>
                </a:graphicData>
              </a:graphic>
            </wp:anchor>
          </w:drawing>
        </mc:Choice>
        <mc:Fallback>
          <w:pict>
            <v:shape w14:anchorId="7699E435"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3223C9FD" w14:textId="77777777" w:rsidR="004F059C" w:rsidRDefault="004F059C">
                    <w:pPr>
                      <w:pStyle w:val="WitregelW1"/>
                    </w:pPr>
                  </w:p>
                  <w:p w14:paraId="2208AE74" w14:textId="77777777" w:rsidR="004F059C" w:rsidRPr="00175EFE" w:rsidRDefault="00707673">
                    <w:pPr>
                      <w:pStyle w:val="Referentiegegevens"/>
                      <w:rPr>
                        <w:lang w:val="de-DE"/>
                      </w:rPr>
                    </w:pPr>
                    <w:r w:rsidRPr="00175EFE">
                      <w:rPr>
                        <w:lang w:val="de-DE"/>
                      </w:rPr>
                      <w:t>Turfmarkt 147</w:t>
                    </w:r>
                  </w:p>
                  <w:p w14:paraId="42194CD1" w14:textId="77777777" w:rsidR="004F059C" w:rsidRPr="00175EFE" w:rsidRDefault="00707673">
                    <w:pPr>
                      <w:pStyle w:val="Referentiegegevens"/>
                      <w:rPr>
                        <w:lang w:val="de-DE"/>
                      </w:rPr>
                    </w:pPr>
                    <w:r w:rsidRPr="00175EFE">
                      <w:rPr>
                        <w:lang w:val="de-DE"/>
                      </w:rPr>
                      <w:t>2511 DP  Den Haag</w:t>
                    </w:r>
                  </w:p>
                  <w:p w14:paraId="5FA4BC00" w14:textId="77777777" w:rsidR="004F059C" w:rsidRPr="00175EFE" w:rsidRDefault="00707673">
                    <w:pPr>
                      <w:pStyle w:val="Referentiegegevens"/>
                      <w:rPr>
                        <w:lang w:val="de-DE"/>
                      </w:rPr>
                    </w:pPr>
                    <w:r w:rsidRPr="00175EFE">
                      <w:rPr>
                        <w:lang w:val="de-DE"/>
                      </w:rPr>
                      <w:t>Postbus 20001</w:t>
                    </w:r>
                  </w:p>
                  <w:p w14:paraId="4DCD302E" w14:textId="77777777" w:rsidR="004F059C" w:rsidRDefault="00707673">
                    <w:pPr>
                      <w:pStyle w:val="Referentiegegevens"/>
                    </w:pPr>
                    <w:r>
                      <w:t xml:space="preserve">2500 EA  </w:t>
                    </w:r>
                  </w:p>
                  <w:p w14:paraId="53BE28EE" w14:textId="77777777" w:rsidR="004F059C" w:rsidRDefault="004F059C">
                    <w:pPr>
                      <w:pStyle w:val="WitregelW1"/>
                    </w:pPr>
                  </w:p>
                  <w:p w14:paraId="41351298" w14:textId="77777777" w:rsidR="004F059C" w:rsidRPr="00175EFE" w:rsidRDefault="004F059C">
                    <w:pPr>
                      <w:pStyle w:val="WitregelW2"/>
                      <w:rPr>
                        <w:lang w:val="de-DE"/>
                      </w:rPr>
                    </w:pPr>
                  </w:p>
                  <w:p w14:paraId="2C172CC8" w14:textId="77777777" w:rsidR="004F059C" w:rsidRPr="00175EFE" w:rsidRDefault="00707673">
                    <w:pPr>
                      <w:pStyle w:val="Referentiegegevensbold"/>
                      <w:rPr>
                        <w:lang w:val="de-DE"/>
                      </w:rPr>
                    </w:pPr>
                    <w:r w:rsidRPr="00175EFE">
                      <w:rPr>
                        <w:lang w:val="de-DE"/>
                      </w:rPr>
                      <w:t>Onze referentie</w:t>
                    </w:r>
                  </w:p>
                  <w:p w14:paraId="101DCD26" w14:textId="77777777" w:rsidR="007E2282" w:rsidRDefault="00000000">
                    <w:pPr>
                      <w:pStyle w:val="Referentiegegevens"/>
                    </w:pPr>
                    <w:fldSimple w:instr=" DOCPROPERTY  &quot;Kenmerk&quot;  \* MERGEFORMAT ">
                      <w:r>
                        <w:t>2025-0000047634</w:t>
                      </w:r>
                    </w:fldSimple>
                  </w:p>
                  <w:p w14:paraId="6253F222" w14:textId="77777777" w:rsidR="004F059C" w:rsidRDefault="004F059C">
                    <w:pPr>
                      <w:pStyle w:val="WitregelW1"/>
                    </w:pPr>
                  </w:p>
                  <w:p w14:paraId="497CFF8E" w14:textId="77777777" w:rsidR="004F059C" w:rsidRDefault="00707673">
                    <w:pPr>
                      <w:pStyle w:val="Referentiegegevensbold"/>
                    </w:pPr>
                    <w:r>
                      <w:t>Uw referentie</w:t>
                    </w:r>
                  </w:p>
                  <w:p w14:paraId="5B64D86E" w14:textId="77777777" w:rsidR="007E2282" w:rsidRDefault="00000000">
                    <w:pPr>
                      <w:pStyle w:val="Referentiegegevens"/>
                    </w:pPr>
                    <w:fldSimple w:instr=" DOCPROPERTY  &quot;UwKenmerk&quot;  \* MERGEFORMAT "/>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64ED13BB" wp14:editId="761AD395">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EBAB044" w14:textId="77777777" w:rsidR="007E2282"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4ED13BB"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2EBAB044" w14:textId="77777777" w:rsidR="007E2282"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7E33F57C" wp14:editId="2A5D87B7">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E812636" w14:textId="77777777" w:rsidR="00707673" w:rsidRDefault="00707673"/>
                      </w:txbxContent>
                    </wps:txbx>
                    <wps:bodyPr vert="horz" wrap="square" lIns="0" tIns="0" rIns="0" bIns="0" anchor="t" anchorCtr="0"/>
                  </wps:wsp>
                </a:graphicData>
              </a:graphic>
            </wp:anchor>
          </w:drawing>
        </mc:Choice>
        <mc:Fallback>
          <w:pict>
            <v:shape w14:anchorId="7E33F57C"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2E812636" w14:textId="77777777" w:rsidR="00707673" w:rsidRDefault="00707673"/>
                </w:txbxContent>
              </v:textbox>
              <w10:wrap anchorx="page" anchory="page"/>
              <w10:anchorlock/>
            </v:shape>
          </w:pict>
        </mc:Fallback>
      </mc:AlternateContent>
    </w:r>
    <w:r w:rsidR="00E560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2F6077"/>
    <w:multiLevelType w:val="multilevel"/>
    <w:tmpl w:val="B3215578"/>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EB660ADD"/>
    <w:multiLevelType w:val="multilevel"/>
    <w:tmpl w:val="43F8735B"/>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F72C0E4C"/>
    <w:multiLevelType w:val="multilevel"/>
    <w:tmpl w:val="6B4464A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1F9A02A1"/>
    <w:multiLevelType w:val="hybridMultilevel"/>
    <w:tmpl w:val="F24296D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D2B189B"/>
    <w:multiLevelType w:val="multilevel"/>
    <w:tmpl w:val="1C14AF4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42E19556"/>
    <w:multiLevelType w:val="multilevel"/>
    <w:tmpl w:val="C1A8870D"/>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576281429">
    <w:abstractNumId w:val="5"/>
  </w:num>
  <w:num w:numId="2" w16cid:durableId="895092445">
    <w:abstractNumId w:val="1"/>
  </w:num>
  <w:num w:numId="3" w16cid:durableId="573441711">
    <w:abstractNumId w:val="2"/>
  </w:num>
  <w:num w:numId="4" w16cid:durableId="1791243848">
    <w:abstractNumId w:val="0"/>
  </w:num>
  <w:num w:numId="5" w16cid:durableId="1470710228">
    <w:abstractNumId w:val="4"/>
  </w:num>
  <w:num w:numId="6" w16cid:durableId="19481924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59C"/>
    <w:rsid w:val="00001726"/>
    <w:rsid w:val="00030484"/>
    <w:rsid w:val="000B0EE9"/>
    <w:rsid w:val="000D3A94"/>
    <w:rsid w:val="000F5922"/>
    <w:rsid w:val="00146944"/>
    <w:rsid w:val="00155C7D"/>
    <w:rsid w:val="00156635"/>
    <w:rsid w:val="00175EFE"/>
    <w:rsid w:val="00177078"/>
    <w:rsid w:val="0018249C"/>
    <w:rsid w:val="001A049C"/>
    <w:rsid w:val="001B529C"/>
    <w:rsid w:val="001C2999"/>
    <w:rsid w:val="001C794C"/>
    <w:rsid w:val="001D1355"/>
    <w:rsid w:val="001F6A78"/>
    <w:rsid w:val="002347F8"/>
    <w:rsid w:val="002673BF"/>
    <w:rsid w:val="00293E0A"/>
    <w:rsid w:val="0029569F"/>
    <w:rsid w:val="003052E4"/>
    <w:rsid w:val="00305A31"/>
    <w:rsid w:val="003347D6"/>
    <w:rsid w:val="003804B2"/>
    <w:rsid w:val="003937B2"/>
    <w:rsid w:val="003B39D0"/>
    <w:rsid w:val="003B4BEB"/>
    <w:rsid w:val="003C118B"/>
    <w:rsid w:val="004702FB"/>
    <w:rsid w:val="00470D20"/>
    <w:rsid w:val="004C2727"/>
    <w:rsid w:val="004C7257"/>
    <w:rsid w:val="004D4FF0"/>
    <w:rsid w:val="004E5006"/>
    <w:rsid w:val="004F059C"/>
    <w:rsid w:val="004F0B69"/>
    <w:rsid w:val="004F6499"/>
    <w:rsid w:val="0055071C"/>
    <w:rsid w:val="00566730"/>
    <w:rsid w:val="005A092C"/>
    <w:rsid w:val="005D6EFD"/>
    <w:rsid w:val="005E247B"/>
    <w:rsid w:val="006154C5"/>
    <w:rsid w:val="0063414E"/>
    <w:rsid w:val="006370E7"/>
    <w:rsid w:val="00640D1B"/>
    <w:rsid w:val="006C2233"/>
    <w:rsid w:val="006D0FB6"/>
    <w:rsid w:val="006F4271"/>
    <w:rsid w:val="00707673"/>
    <w:rsid w:val="00724460"/>
    <w:rsid w:val="00744158"/>
    <w:rsid w:val="007827A9"/>
    <w:rsid w:val="007C769B"/>
    <w:rsid w:val="007D7741"/>
    <w:rsid w:val="007E2282"/>
    <w:rsid w:val="007F1A64"/>
    <w:rsid w:val="00832D34"/>
    <w:rsid w:val="00842164"/>
    <w:rsid w:val="008538BC"/>
    <w:rsid w:val="00866511"/>
    <w:rsid w:val="008B64E4"/>
    <w:rsid w:val="008F41E0"/>
    <w:rsid w:val="00912251"/>
    <w:rsid w:val="009316FB"/>
    <w:rsid w:val="0094645B"/>
    <w:rsid w:val="00972A49"/>
    <w:rsid w:val="009E49D1"/>
    <w:rsid w:val="009E6C39"/>
    <w:rsid w:val="009F3318"/>
    <w:rsid w:val="00A0662F"/>
    <w:rsid w:val="00A23156"/>
    <w:rsid w:val="00A3294D"/>
    <w:rsid w:val="00A376A5"/>
    <w:rsid w:val="00A4700B"/>
    <w:rsid w:val="00A65817"/>
    <w:rsid w:val="00A92597"/>
    <w:rsid w:val="00AA4399"/>
    <w:rsid w:val="00AA7309"/>
    <w:rsid w:val="00AB5BF5"/>
    <w:rsid w:val="00AC7C06"/>
    <w:rsid w:val="00AD14A9"/>
    <w:rsid w:val="00AE23C1"/>
    <w:rsid w:val="00AF18C7"/>
    <w:rsid w:val="00B51188"/>
    <w:rsid w:val="00B64E5F"/>
    <w:rsid w:val="00B855B6"/>
    <w:rsid w:val="00BB27C0"/>
    <w:rsid w:val="00BE6D7E"/>
    <w:rsid w:val="00C20FAF"/>
    <w:rsid w:val="00C9092E"/>
    <w:rsid w:val="00CA6EE5"/>
    <w:rsid w:val="00CB3557"/>
    <w:rsid w:val="00CB78DC"/>
    <w:rsid w:val="00CC1655"/>
    <w:rsid w:val="00D109C7"/>
    <w:rsid w:val="00D1164B"/>
    <w:rsid w:val="00D52248"/>
    <w:rsid w:val="00D54C3F"/>
    <w:rsid w:val="00D944EF"/>
    <w:rsid w:val="00E12442"/>
    <w:rsid w:val="00E2118F"/>
    <w:rsid w:val="00E5609E"/>
    <w:rsid w:val="00E86C4A"/>
    <w:rsid w:val="00E9295B"/>
    <w:rsid w:val="00E92FAB"/>
    <w:rsid w:val="00EA553E"/>
    <w:rsid w:val="00EC05BB"/>
    <w:rsid w:val="00EC1AE8"/>
    <w:rsid w:val="00EC345F"/>
    <w:rsid w:val="00ED5842"/>
    <w:rsid w:val="00F06B72"/>
    <w:rsid w:val="00F17EAB"/>
    <w:rsid w:val="00F36F24"/>
    <w:rsid w:val="00F64A9D"/>
    <w:rsid w:val="00FB68BD"/>
    <w:rsid w:val="00FC1004"/>
    <w:rsid w:val="00FD14AF"/>
    <w:rsid w:val="00FD3F10"/>
    <w:rsid w:val="00FD7F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3D960"/>
  <w15:docId w15:val="{E415F8B4-D331-4894-8A86-69F0E09F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175EF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75EFE"/>
    <w:rPr>
      <w:rFonts w:ascii="Verdana" w:hAnsi="Verdana"/>
      <w:color w:val="000000"/>
      <w:sz w:val="18"/>
      <w:szCs w:val="18"/>
    </w:rPr>
  </w:style>
  <w:style w:type="paragraph" w:styleId="Voettekst">
    <w:name w:val="footer"/>
    <w:basedOn w:val="Standaard"/>
    <w:link w:val="VoettekstChar"/>
    <w:uiPriority w:val="99"/>
    <w:unhideWhenUsed/>
    <w:rsid w:val="00175EF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75EFE"/>
    <w:rPr>
      <w:rFonts w:ascii="Verdana" w:hAnsi="Verdana"/>
      <w:color w:val="000000"/>
      <w:sz w:val="18"/>
      <w:szCs w:val="18"/>
    </w:rPr>
  </w:style>
  <w:style w:type="paragraph" w:styleId="Voetnoottekst">
    <w:name w:val="footnote text"/>
    <w:basedOn w:val="Standaard"/>
    <w:link w:val="VoetnoottekstChar"/>
    <w:uiPriority w:val="99"/>
    <w:semiHidden/>
    <w:unhideWhenUsed/>
    <w:rsid w:val="006C2233"/>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6C2233"/>
    <w:rPr>
      <w:rFonts w:ascii="Verdana" w:hAnsi="Verdana"/>
      <w:color w:val="000000"/>
    </w:rPr>
  </w:style>
  <w:style w:type="character" w:styleId="Voetnootmarkering">
    <w:name w:val="footnote reference"/>
    <w:basedOn w:val="Standaardalinea-lettertype"/>
    <w:uiPriority w:val="99"/>
    <w:semiHidden/>
    <w:unhideWhenUsed/>
    <w:rsid w:val="006C2233"/>
    <w:rPr>
      <w:vertAlign w:val="superscript"/>
    </w:rPr>
  </w:style>
  <w:style w:type="character" w:styleId="Onopgelostemelding">
    <w:name w:val="Unresolved Mention"/>
    <w:basedOn w:val="Standaardalinea-lettertype"/>
    <w:uiPriority w:val="99"/>
    <w:semiHidden/>
    <w:unhideWhenUsed/>
    <w:rsid w:val="007D7741"/>
    <w:rPr>
      <w:color w:val="605E5C"/>
      <w:shd w:val="clear" w:color="auto" w:fill="E1DFDD"/>
    </w:rPr>
  </w:style>
  <w:style w:type="paragraph" w:styleId="Revisie">
    <w:name w:val="Revision"/>
    <w:hidden/>
    <w:uiPriority w:val="99"/>
    <w:semiHidden/>
    <w:rsid w:val="00F64A9D"/>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146944"/>
    <w:rPr>
      <w:sz w:val="16"/>
      <w:szCs w:val="16"/>
    </w:rPr>
  </w:style>
  <w:style w:type="paragraph" w:styleId="Tekstopmerking">
    <w:name w:val="annotation text"/>
    <w:basedOn w:val="Standaard"/>
    <w:link w:val="TekstopmerkingChar"/>
    <w:uiPriority w:val="99"/>
    <w:unhideWhenUsed/>
    <w:rsid w:val="00146944"/>
    <w:pPr>
      <w:spacing w:line="240" w:lineRule="auto"/>
    </w:pPr>
    <w:rPr>
      <w:sz w:val="20"/>
      <w:szCs w:val="20"/>
    </w:rPr>
  </w:style>
  <w:style w:type="character" w:customStyle="1" w:styleId="TekstopmerkingChar">
    <w:name w:val="Tekst opmerking Char"/>
    <w:basedOn w:val="Standaardalinea-lettertype"/>
    <w:link w:val="Tekstopmerking"/>
    <w:uiPriority w:val="99"/>
    <w:rsid w:val="00146944"/>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146944"/>
    <w:rPr>
      <w:b/>
      <w:bCs/>
    </w:rPr>
  </w:style>
  <w:style w:type="character" w:customStyle="1" w:styleId="OnderwerpvanopmerkingChar">
    <w:name w:val="Onderwerp van opmerking Char"/>
    <w:basedOn w:val="TekstopmerkingChar"/>
    <w:link w:val="Onderwerpvanopmerking"/>
    <w:uiPriority w:val="99"/>
    <w:semiHidden/>
    <w:rsid w:val="00146944"/>
    <w:rPr>
      <w:rFonts w:ascii="Verdana" w:hAnsi="Verdana"/>
      <w:b/>
      <w:bCs/>
      <w:color w:val="000000"/>
    </w:rPr>
  </w:style>
  <w:style w:type="character" w:customStyle="1" w:styleId="eop">
    <w:name w:val="eop"/>
    <w:basedOn w:val="Standaardalinea-lettertype"/>
    <w:rsid w:val="001F6A78"/>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1F6A78"/>
    <w:rPr>
      <w:rFonts w:eastAsiaTheme="minorEastAsia" w:cs="Times New Roman"/>
      <w:sz w:val="24"/>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1F6A78"/>
    <w:pPr>
      <w:autoSpaceDN/>
      <w:spacing w:before="120" w:after="200" w:line="360" w:lineRule="auto"/>
      <w:ind w:left="720"/>
      <w:contextualSpacing/>
      <w:textAlignment w:val="auto"/>
    </w:pPr>
    <w:rPr>
      <w:rFonts w:ascii="Times New Roman" w:eastAsiaTheme="minorEastAsia" w:hAnsi="Times New Roman" w:cs="Times New Roman"/>
      <w:color w:val="auto"/>
      <w:sz w:val="24"/>
      <w:szCs w:val="20"/>
    </w:rPr>
  </w:style>
  <w:style w:type="character" w:styleId="GevolgdeHyperlink">
    <w:name w:val="FollowedHyperlink"/>
    <w:basedOn w:val="Standaardalinea-lettertype"/>
    <w:uiPriority w:val="99"/>
    <w:semiHidden/>
    <w:unhideWhenUsed/>
    <w:rsid w:val="00CB3557"/>
    <w:rPr>
      <w:color w:val="954F72" w:themeColor="followedHyperlink"/>
      <w:u w:val="single"/>
    </w:rPr>
  </w:style>
  <w:style w:type="paragraph" w:customStyle="1" w:styleId="Default">
    <w:name w:val="Default"/>
    <w:rsid w:val="00FD14AF"/>
    <w:pPr>
      <w:autoSpaceDE w:val="0"/>
      <w:adjustRightInd w:val="0"/>
      <w:textAlignment w:val="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3912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publicaties/2024/10/10/advies-artikel-22-avg-en-geautomatiseerde-selectie-instrumenten"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612</ap:Words>
  <ap:Characters>3371</ap:Characters>
  <ap:DocSecurity>0</ap:DocSecurity>
  <ap:Lines>28</ap:Lines>
  <ap:Paragraphs>7</ap:Paragraphs>
  <ap:ScaleCrop>false</ap:ScaleCrop>
  <ap:HeadingPairs>
    <vt:vector baseType="variant" size="2">
      <vt:variant>
        <vt:lpstr>Titel</vt:lpstr>
      </vt:variant>
      <vt:variant>
        <vt:i4>1</vt:i4>
      </vt:variant>
    </vt:vector>
  </ap:HeadingPairs>
  <ap:TitlesOfParts>
    <vt:vector baseType="lpstr" size="1">
      <vt:lpstr>Brief - appreciatie motie</vt:lpstr>
    </vt:vector>
  </ap:TitlesOfParts>
  <ap:LinksUpToDate>false</ap:LinksUpToDate>
  <ap:CharactersWithSpaces>3976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2025-01-24T14:33:00.0000000Z</dcterms:created>
  <dcterms:modified xsi:type="dcterms:W3CDTF">2025-03-14T13:22:00.0000000Z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appreciatie motie</vt:lpwstr>
  </property>
  <property fmtid="{D5CDD505-2E9C-101B-9397-08002B2CF9AE}" pid="5" name="Publicatiedatum">
    <vt:lpwstr/>
  </property>
  <property fmtid="{D5CDD505-2E9C-101B-9397-08002B2CF9AE}" pid="6" name="Verantwoordelijke organisatie">
    <vt:lpwstr>DGDOO-DS-Afdeling 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17 februari 2025</vt:lpwstr>
  </property>
  <property fmtid="{D5CDD505-2E9C-101B-9397-08002B2CF9AE}" pid="13" name="Opgesteld door, Naam">
    <vt:lpwstr>Gwen van Eijk</vt:lpwstr>
  </property>
  <property fmtid="{D5CDD505-2E9C-101B-9397-08002B2CF9AE}" pid="14" name="Opgesteld door, Telefoonnummer">
    <vt:lpwstr>0621682116</vt:lpwstr>
  </property>
  <property fmtid="{D5CDD505-2E9C-101B-9397-08002B2CF9AE}" pid="15" name="Kenmerk">
    <vt:lpwstr>2025-0000047634</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Appreciatie motie</vt:lpwstr>
  </property>
  <property fmtid="{D5CDD505-2E9C-101B-9397-08002B2CF9AE}" pid="30" name="UwKenmerk">
    <vt:lpwstr/>
  </property>
</Properties>
</file>