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38E8" w:rsidRDefault="00D41F8A" w14:paraId="6862424E" w14:textId="77777777">
      <w:pPr>
        <w:pStyle w:val="StandaardAanhef"/>
      </w:pPr>
      <w:bookmarkStart w:name="_Hlk190765316" w:id="0"/>
      <w:bookmarkEnd w:id="0"/>
      <w:r>
        <w:t>Geachte voorzitter,</w:t>
      </w:r>
    </w:p>
    <w:p w:rsidRPr="00E66A9C" w:rsidR="00E66A9C" w:rsidP="00E66A9C" w:rsidRDefault="00E66A9C" w14:paraId="1C96945D" w14:textId="77777777">
      <w:pPr>
        <w:autoSpaceDN/>
        <w:spacing w:after="160" w:line="259" w:lineRule="auto"/>
        <w:textAlignment w:val="auto"/>
        <w:rPr>
          <w:rFonts w:eastAsia="Calibri" w:cs="Times New Roman"/>
          <w:color w:val="auto"/>
          <w:lang w:eastAsia="en-US"/>
        </w:rPr>
      </w:pPr>
      <w:bookmarkStart w:name="_Hlk191561565" w:id="1"/>
      <w:bookmarkStart w:name="_Hlk188971658" w:id="2"/>
      <w:r w:rsidRPr="00E66A9C">
        <w:rPr>
          <w:rFonts w:eastAsia="Calibri" w:cs="Times New Roman"/>
          <w:color w:val="auto"/>
          <w:lang w:eastAsia="en-US"/>
        </w:rPr>
        <w:t>Bij het debat over de Najaarsnota heeft uw Kamer de motie De Vries-</w:t>
      </w:r>
      <w:proofErr w:type="spellStart"/>
      <w:r w:rsidRPr="00E66A9C">
        <w:rPr>
          <w:rFonts w:eastAsia="Calibri" w:cs="Times New Roman"/>
          <w:color w:val="auto"/>
          <w:lang w:eastAsia="en-US"/>
        </w:rPr>
        <w:t>Grinwis</w:t>
      </w:r>
      <w:proofErr w:type="spellEnd"/>
      <w:r w:rsidRPr="00E66A9C">
        <w:rPr>
          <w:rFonts w:eastAsia="Calibri" w:cs="Times New Roman"/>
          <w:color w:val="auto"/>
          <w:lang w:eastAsia="en-US"/>
        </w:rPr>
        <w:t xml:space="preserve"> aangenomen die de regering verzoekt te komen met een nadere analyse van de relatief hoge Nederlandse inflatie en mogelijke acties om die aan te pakken. Met deze brief reageert het kabinet op dit verzoek. Bij de Algemene Financiële Beschouwingen is tevens de motie </w:t>
      </w:r>
      <w:proofErr w:type="spellStart"/>
      <w:r w:rsidRPr="00E66A9C">
        <w:rPr>
          <w:rFonts w:eastAsia="Calibri" w:cs="Times New Roman"/>
          <w:color w:val="auto"/>
          <w:lang w:eastAsia="en-US"/>
        </w:rPr>
        <w:t>Grinwis</w:t>
      </w:r>
      <w:proofErr w:type="spellEnd"/>
      <w:r w:rsidRPr="00E66A9C">
        <w:rPr>
          <w:rFonts w:eastAsia="Calibri" w:cs="Times New Roman"/>
          <w:color w:val="auto"/>
          <w:lang w:eastAsia="en-US"/>
        </w:rPr>
        <w:t xml:space="preserve"> aangenomen die de regering verzoekt de gevolgen voor de inflatie mee te wegen in haar financieel-economische beleid en vervolgens in de Miljoenennota aandacht te besteden aan het effect van de begroting en het Belastingplan op de inflatie. </w:t>
      </w:r>
      <w:bookmarkEnd w:id="1"/>
      <w:r w:rsidRPr="00E66A9C">
        <w:rPr>
          <w:rFonts w:eastAsia="Calibri" w:cs="Times New Roman"/>
          <w:color w:val="auto"/>
          <w:lang w:eastAsia="en-US"/>
        </w:rPr>
        <w:t xml:space="preserve">De voorliggende brief vormt hiervoor een basis. </w:t>
      </w:r>
      <w:r w:rsidR="00D01FBD">
        <w:rPr>
          <w:rFonts w:eastAsia="Calibri" w:cs="Times New Roman"/>
          <w:color w:val="auto"/>
          <w:lang w:eastAsia="en-US"/>
        </w:rPr>
        <w:t>Wij</w:t>
      </w:r>
      <w:r w:rsidRPr="00E66A9C">
        <w:rPr>
          <w:rFonts w:eastAsia="Calibri" w:cs="Times New Roman"/>
          <w:color w:val="auto"/>
          <w:lang w:eastAsia="en-US"/>
        </w:rPr>
        <w:t xml:space="preserve"> stu</w:t>
      </w:r>
      <w:r w:rsidR="00423A7A">
        <w:rPr>
          <w:rFonts w:eastAsia="Calibri" w:cs="Times New Roman"/>
          <w:color w:val="auto"/>
          <w:lang w:eastAsia="en-US"/>
        </w:rPr>
        <w:t xml:space="preserve">ren </w:t>
      </w:r>
      <w:r w:rsidRPr="00E66A9C">
        <w:rPr>
          <w:rFonts w:eastAsia="Calibri" w:cs="Times New Roman"/>
          <w:color w:val="auto"/>
          <w:lang w:eastAsia="en-US"/>
        </w:rPr>
        <w:t xml:space="preserve">deze brief mede </w:t>
      </w:r>
      <w:r w:rsidR="00D01FBD">
        <w:rPr>
          <w:rFonts w:eastAsia="Calibri" w:cs="Times New Roman"/>
          <w:color w:val="auto"/>
          <w:lang w:eastAsia="en-US"/>
        </w:rPr>
        <w:t xml:space="preserve">namens </w:t>
      </w:r>
      <w:r w:rsidRPr="00E66A9C">
        <w:rPr>
          <w:rFonts w:eastAsia="Calibri" w:cs="Times New Roman"/>
          <w:color w:val="auto"/>
          <w:lang w:eastAsia="en-US"/>
        </w:rPr>
        <w:t>de minister van Volkshuisvesting en Ruimtelijke Ordening.</w:t>
      </w:r>
    </w:p>
    <w:p w:rsidR="003E7BBE" w:rsidP="002A3B61" w:rsidRDefault="006652EE" w14:paraId="57C66815" w14:textId="77777777">
      <w:pPr>
        <w:autoSpaceDN/>
        <w:spacing w:after="160" w:line="259" w:lineRule="auto"/>
        <w:textAlignment w:val="auto"/>
        <w:rPr>
          <w:rFonts w:eastAsia="Calibri" w:cs="Times New Roman"/>
          <w:color w:val="auto"/>
          <w:lang w:eastAsia="en-US"/>
        </w:rPr>
      </w:pPr>
      <w:r>
        <w:rPr>
          <w:rFonts w:eastAsia="Calibri" w:cs="Times New Roman"/>
          <w:color w:val="auto"/>
          <w:lang w:eastAsia="en-US"/>
        </w:rPr>
        <w:t>Op basis van de analyse in deze brief trekt het kabinet de volgende conclusies.</w:t>
      </w:r>
      <w:r w:rsidR="009B59A9">
        <w:rPr>
          <w:rFonts w:eastAsia="Calibri" w:cs="Times New Roman"/>
          <w:color w:val="auto"/>
          <w:lang w:eastAsia="en-US"/>
        </w:rPr>
        <w:t xml:space="preserve"> </w:t>
      </w:r>
      <w:bookmarkStart w:name="_Hlk192495882" w:id="3"/>
      <w:r w:rsidR="0073313A">
        <w:rPr>
          <w:rFonts w:eastAsia="Calibri" w:cs="Times New Roman"/>
          <w:color w:val="auto"/>
          <w:lang w:eastAsia="en-US"/>
        </w:rPr>
        <w:t xml:space="preserve">Inflatie wordt in de kern gedreven </w:t>
      </w:r>
      <w:r w:rsidR="00F96C53">
        <w:rPr>
          <w:rFonts w:eastAsia="Calibri" w:cs="Times New Roman"/>
          <w:color w:val="auto"/>
          <w:lang w:eastAsia="en-US"/>
        </w:rPr>
        <w:t>door de balans tussen vraag en aanbod</w:t>
      </w:r>
      <w:r w:rsidR="0073313A">
        <w:rPr>
          <w:rFonts w:eastAsia="Calibri" w:cs="Times New Roman"/>
          <w:color w:val="auto"/>
          <w:lang w:eastAsia="en-US"/>
        </w:rPr>
        <w:t xml:space="preserve"> </w:t>
      </w:r>
      <w:r w:rsidR="00F96C53">
        <w:rPr>
          <w:rFonts w:eastAsia="Calibri" w:cs="Times New Roman"/>
          <w:color w:val="auto"/>
          <w:lang w:eastAsia="en-US"/>
        </w:rPr>
        <w:t xml:space="preserve">in </w:t>
      </w:r>
      <w:r w:rsidR="0073313A">
        <w:rPr>
          <w:rFonts w:eastAsia="Calibri" w:cs="Times New Roman"/>
          <w:color w:val="auto"/>
          <w:lang w:eastAsia="en-US"/>
        </w:rPr>
        <w:t xml:space="preserve">de economie, waarbij monetair beleid van de centrale bank, begrotingsbeleid van de overheid en </w:t>
      </w:r>
      <w:r w:rsidR="00AB56A6">
        <w:rPr>
          <w:rFonts w:eastAsia="Calibri" w:cs="Times New Roman"/>
          <w:color w:val="auto"/>
          <w:lang w:eastAsia="en-US"/>
        </w:rPr>
        <w:t>de economische structuur</w:t>
      </w:r>
      <w:r w:rsidR="0073313A">
        <w:rPr>
          <w:rFonts w:eastAsia="Calibri" w:cs="Times New Roman"/>
          <w:color w:val="auto"/>
          <w:lang w:eastAsia="en-US"/>
        </w:rPr>
        <w:t xml:space="preserve"> de belangrijke bepalende elementen zijn. </w:t>
      </w:r>
      <w:bookmarkEnd w:id="3"/>
      <w:r w:rsidR="009B59A9">
        <w:rPr>
          <w:rFonts w:eastAsia="Calibri" w:cs="Times New Roman"/>
          <w:color w:val="auto"/>
          <w:lang w:eastAsia="en-US"/>
        </w:rPr>
        <w:t xml:space="preserve">Vóór corona was er sprake van </w:t>
      </w:r>
      <w:r w:rsidR="00D8200D">
        <w:rPr>
          <w:rFonts w:eastAsia="Calibri" w:cs="Times New Roman"/>
          <w:color w:val="auto"/>
          <w:lang w:eastAsia="en-US"/>
        </w:rPr>
        <w:t xml:space="preserve">zeer </w:t>
      </w:r>
      <w:r w:rsidR="009B59A9">
        <w:rPr>
          <w:rFonts w:eastAsia="Calibri" w:cs="Times New Roman"/>
          <w:color w:val="auto"/>
          <w:lang w:eastAsia="en-US"/>
        </w:rPr>
        <w:t xml:space="preserve">ruim monetair beleid in de eurozone en een </w:t>
      </w:r>
      <w:proofErr w:type="gramStart"/>
      <w:r w:rsidR="009B59A9">
        <w:rPr>
          <w:rFonts w:eastAsia="Calibri" w:cs="Times New Roman"/>
          <w:color w:val="auto"/>
          <w:lang w:eastAsia="en-US"/>
        </w:rPr>
        <w:t>steeds</w:t>
      </w:r>
      <w:proofErr w:type="gramEnd"/>
      <w:r w:rsidR="009B59A9">
        <w:rPr>
          <w:rFonts w:eastAsia="Calibri" w:cs="Times New Roman"/>
          <w:color w:val="auto"/>
          <w:lang w:eastAsia="en-US"/>
        </w:rPr>
        <w:t xml:space="preserve"> krapper wordende arbeidsmarkt in Nederland. Daarbovenop kwam, door de pandemie en de energiecrisis, een forse inflatieschok </w:t>
      </w:r>
      <w:r w:rsidR="009001E5">
        <w:rPr>
          <w:rFonts w:eastAsia="Calibri" w:cs="Times New Roman"/>
          <w:color w:val="auto"/>
          <w:lang w:eastAsia="en-US"/>
        </w:rPr>
        <w:t xml:space="preserve">die </w:t>
      </w:r>
      <w:r w:rsidR="002C5410">
        <w:rPr>
          <w:rFonts w:eastAsia="Calibri" w:cs="Times New Roman"/>
          <w:color w:val="auto"/>
          <w:lang w:eastAsia="en-US"/>
        </w:rPr>
        <w:t xml:space="preserve">nog </w:t>
      </w:r>
      <w:r w:rsidR="0073189C">
        <w:rPr>
          <w:rFonts w:eastAsia="Calibri" w:cs="Times New Roman"/>
          <w:color w:val="auto"/>
          <w:lang w:eastAsia="en-US"/>
        </w:rPr>
        <w:t xml:space="preserve">altijd </w:t>
      </w:r>
      <w:r w:rsidR="002C5410">
        <w:rPr>
          <w:rFonts w:eastAsia="Calibri" w:cs="Times New Roman"/>
          <w:color w:val="auto"/>
          <w:lang w:eastAsia="en-US"/>
        </w:rPr>
        <w:t>door</w:t>
      </w:r>
      <w:r w:rsidR="009B59A9">
        <w:rPr>
          <w:rFonts w:eastAsia="Calibri" w:cs="Times New Roman"/>
          <w:color w:val="auto"/>
          <w:lang w:eastAsia="en-US"/>
        </w:rPr>
        <w:t>werkt</w:t>
      </w:r>
      <w:r w:rsidR="002C5410">
        <w:rPr>
          <w:rFonts w:eastAsia="Calibri" w:cs="Times New Roman"/>
          <w:color w:val="auto"/>
          <w:lang w:eastAsia="en-US"/>
        </w:rPr>
        <w:t xml:space="preserve"> in de Nederlandse economie, waardoor de inflatie nog steeds ongewenst hoog is. Hoewel zo’n lange doorwerking van </w:t>
      </w:r>
      <w:r w:rsidR="00787D09">
        <w:rPr>
          <w:rFonts w:eastAsia="Calibri" w:cs="Times New Roman"/>
          <w:color w:val="auto"/>
          <w:lang w:eastAsia="en-US"/>
        </w:rPr>
        <w:t xml:space="preserve">een </w:t>
      </w:r>
      <w:r w:rsidR="002C5410">
        <w:rPr>
          <w:rFonts w:eastAsia="Calibri" w:cs="Times New Roman"/>
          <w:color w:val="auto"/>
          <w:lang w:eastAsia="en-US"/>
        </w:rPr>
        <w:t>inflatie</w:t>
      </w:r>
      <w:r w:rsidR="00787D09">
        <w:rPr>
          <w:rFonts w:eastAsia="Calibri" w:cs="Times New Roman"/>
          <w:color w:val="auto"/>
          <w:lang w:eastAsia="en-US"/>
        </w:rPr>
        <w:t>schok</w:t>
      </w:r>
      <w:r w:rsidR="002C5410">
        <w:rPr>
          <w:rFonts w:eastAsia="Calibri" w:cs="Times New Roman"/>
          <w:color w:val="auto"/>
          <w:lang w:eastAsia="en-US"/>
        </w:rPr>
        <w:t xml:space="preserve"> niet ongebruikelijk is</w:t>
      </w:r>
      <w:r w:rsidR="006B68FF">
        <w:rPr>
          <w:rFonts w:eastAsia="Calibri" w:cs="Times New Roman"/>
          <w:color w:val="auto"/>
          <w:lang w:eastAsia="en-US"/>
        </w:rPr>
        <w:t xml:space="preserve"> en reële lonen </w:t>
      </w:r>
      <w:r w:rsidR="00134403">
        <w:rPr>
          <w:rFonts w:eastAsia="Calibri" w:cs="Times New Roman"/>
          <w:color w:val="auto"/>
          <w:lang w:eastAsia="en-US"/>
        </w:rPr>
        <w:t xml:space="preserve">en de koopkracht </w:t>
      </w:r>
      <w:r w:rsidR="006B68FF">
        <w:rPr>
          <w:rFonts w:eastAsia="Calibri" w:cs="Times New Roman"/>
          <w:color w:val="auto"/>
          <w:lang w:eastAsia="en-US"/>
        </w:rPr>
        <w:t>inmiddels stijgen doordat de lonen sterker stijgen dan de prijzen</w:t>
      </w:r>
      <w:r w:rsidR="002C5410">
        <w:rPr>
          <w:rFonts w:eastAsia="Calibri" w:cs="Times New Roman"/>
          <w:color w:val="auto"/>
          <w:lang w:eastAsia="en-US"/>
        </w:rPr>
        <w:t xml:space="preserve">, heeft het </w:t>
      </w:r>
      <w:r w:rsidR="006B68FF">
        <w:rPr>
          <w:rFonts w:eastAsia="Calibri" w:cs="Times New Roman"/>
          <w:color w:val="auto"/>
          <w:lang w:eastAsia="en-US"/>
        </w:rPr>
        <w:t xml:space="preserve">inflatieniveau </w:t>
      </w:r>
      <w:r w:rsidR="002C5410">
        <w:rPr>
          <w:rFonts w:eastAsia="Calibri" w:cs="Times New Roman"/>
          <w:color w:val="auto"/>
          <w:lang w:eastAsia="en-US"/>
        </w:rPr>
        <w:t xml:space="preserve">nadrukkelijk de aandacht van het kabinet. </w:t>
      </w:r>
    </w:p>
    <w:p w:rsidR="00C76796" w:rsidP="002A3B61" w:rsidRDefault="009001E5" w14:paraId="7193E596" w14:textId="77777777">
      <w:pPr>
        <w:autoSpaceDN/>
        <w:spacing w:after="160" w:line="259" w:lineRule="auto"/>
        <w:textAlignment w:val="auto"/>
        <w:rPr>
          <w:rFonts w:eastAsia="Calibri" w:cs="Times New Roman"/>
          <w:color w:val="auto"/>
          <w:lang w:eastAsia="en-US"/>
        </w:rPr>
      </w:pPr>
      <w:r>
        <w:rPr>
          <w:rFonts w:eastAsia="Calibri" w:cs="Times New Roman"/>
          <w:color w:val="auto"/>
          <w:lang w:eastAsia="en-US"/>
        </w:rPr>
        <w:t>Prijsstabiliteit, dat wil zeggen, h</w:t>
      </w:r>
      <w:r w:rsidR="00E3437D">
        <w:rPr>
          <w:rFonts w:eastAsia="Calibri" w:cs="Times New Roman"/>
          <w:color w:val="auto"/>
          <w:lang w:eastAsia="en-US"/>
        </w:rPr>
        <w:t>et beheersen van de inflatieontwikkeling</w:t>
      </w:r>
      <w:r>
        <w:rPr>
          <w:rFonts w:eastAsia="Calibri" w:cs="Times New Roman"/>
          <w:color w:val="auto"/>
          <w:lang w:eastAsia="en-US"/>
        </w:rPr>
        <w:t>,</w:t>
      </w:r>
      <w:r w:rsidR="00E3437D">
        <w:rPr>
          <w:rFonts w:eastAsia="Calibri" w:cs="Times New Roman"/>
          <w:color w:val="auto"/>
          <w:lang w:eastAsia="en-US"/>
        </w:rPr>
        <w:t xml:space="preserve"> is </w:t>
      </w:r>
      <w:r w:rsidR="006652EE">
        <w:rPr>
          <w:rFonts w:eastAsia="Calibri" w:cs="Times New Roman"/>
          <w:color w:val="auto"/>
          <w:lang w:eastAsia="en-US"/>
        </w:rPr>
        <w:t>het doel van het monetaire beleid van de Europese Centrale Bank</w:t>
      </w:r>
      <w:r w:rsidR="003E7BBE">
        <w:rPr>
          <w:rFonts w:eastAsia="Calibri" w:cs="Times New Roman"/>
          <w:color w:val="auto"/>
          <w:lang w:eastAsia="en-US"/>
        </w:rPr>
        <w:t xml:space="preserve"> (ECB)</w:t>
      </w:r>
      <w:r w:rsidR="006652EE">
        <w:rPr>
          <w:rFonts w:eastAsia="Calibri" w:cs="Times New Roman"/>
          <w:color w:val="auto"/>
          <w:lang w:eastAsia="en-US"/>
        </w:rPr>
        <w:t xml:space="preserve">. De ECB richt zich echter op de eurozone als geheel, terwijl de Nederlandse inflatie </w:t>
      </w:r>
      <w:r w:rsidR="00BC46DF">
        <w:rPr>
          <w:rFonts w:eastAsia="Calibri" w:cs="Times New Roman"/>
          <w:color w:val="auto"/>
          <w:lang w:eastAsia="en-US"/>
        </w:rPr>
        <w:t>hoger is</w:t>
      </w:r>
      <w:r w:rsidR="00CE25F6">
        <w:rPr>
          <w:rFonts w:eastAsia="Calibri" w:cs="Times New Roman"/>
          <w:color w:val="auto"/>
          <w:lang w:eastAsia="en-US"/>
        </w:rPr>
        <w:t xml:space="preserve"> dan in de rest van de eurozone</w:t>
      </w:r>
      <w:r w:rsidR="00BC46DF">
        <w:rPr>
          <w:rFonts w:eastAsia="Calibri" w:cs="Times New Roman"/>
          <w:color w:val="auto"/>
          <w:lang w:eastAsia="en-US"/>
        </w:rPr>
        <w:t>.</w:t>
      </w:r>
      <w:r w:rsidR="00F36553">
        <w:rPr>
          <w:rFonts w:eastAsia="Calibri" w:cs="Times New Roman"/>
          <w:color w:val="auto"/>
          <w:lang w:eastAsia="en-US"/>
        </w:rPr>
        <w:t xml:space="preserve"> Dat maakt het monetaire beleid op dit moment </w:t>
      </w:r>
      <w:r w:rsidR="0073313A">
        <w:rPr>
          <w:rFonts w:eastAsia="Calibri" w:cs="Times New Roman"/>
          <w:color w:val="auto"/>
          <w:lang w:eastAsia="en-US"/>
        </w:rPr>
        <w:t xml:space="preserve">mogelijk </w:t>
      </w:r>
      <w:r w:rsidR="00F36553">
        <w:rPr>
          <w:rFonts w:eastAsia="Calibri" w:cs="Times New Roman"/>
          <w:color w:val="auto"/>
          <w:lang w:eastAsia="en-US"/>
        </w:rPr>
        <w:t>minder passend voor Nederland.</w:t>
      </w:r>
      <w:r w:rsidRPr="00E66A9C" w:rsidR="00E66A9C">
        <w:rPr>
          <w:rFonts w:eastAsia="Calibri" w:cs="Times New Roman"/>
          <w:color w:val="auto"/>
          <w:lang w:eastAsia="en-US"/>
        </w:rPr>
        <w:t xml:space="preserve"> </w:t>
      </w:r>
      <w:bookmarkStart w:name="_Hlk192496153" w:id="4"/>
      <w:bookmarkStart w:name="_Hlk190960151" w:id="5"/>
      <w:r w:rsidRPr="003E7BBE" w:rsidR="003E7BBE">
        <w:rPr>
          <w:rFonts w:eastAsia="Calibri" w:cs="Times New Roman"/>
          <w:color w:val="auto"/>
          <w:lang w:eastAsia="en-US"/>
        </w:rPr>
        <w:t xml:space="preserve">De Nederlandse economie vertoont al even tekenen van oververhitting en de arbeidsmarkt is zeer krap. </w:t>
      </w:r>
      <w:r w:rsidRPr="002A3B61" w:rsidR="002A3B61">
        <w:rPr>
          <w:rFonts w:eastAsia="Calibri" w:cs="Times New Roman"/>
          <w:color w:val="auto"/>
          <w:lang w:eastAsia="en-US"/>
        </w:rPr>
        <w:t>Verschillen in inflatie tussen eurolanden kunnen, onder meer via</w:t>
      </w:r>
      <w:r w:rsidR="002A3B61">
        <w:rPr>
          <w:rFonts w:eastAsia="Calibri" w:cs="Times New Roman"/>
          <w:color w:val="auto"/>
          <w:lang w:eastAsia="en-US"/>
        </w:rPr>
        <w:t xml:space="preserve"> </w:t>
      </w:r>
      <w:r w:rsidRPr="002A3B61" w:rsidR="002A3B61">
        <w:rPr>
          <w:rFonts w:eastAsia="Calibri" w:cs="Times New Roman"/>
          <w:color w:val="auto"/>
          <w:lang w:eastAsia="en-US"/>
        </w:rPr>
        <w:t xml:space="preserve">hogere lonen, doorwerken in de concurrentiepositie. Via dat kanaal kan de economie op termijn </w:t>
      </w:r>
      <w:r w:rsidR="00D8200D">
        <w:rPr>
          <w:rFonts w:eastAsia="Calibri" w:cs="Times New Roman"/>
          <w:color w:val="auto"/>
          <w:lang w:eastAsia="en-US"/>
        </w:rPr>
        <w:t xml:space="preserve">zich aanpassen </w:t>
      </w:r>
      <w:r w:rsidRPr="002A3B61" w:rsidR="002A3B61">
        <w:rPr>
          <w:rFonts w:eastAsia="Calibri" w:cs="Times New Roman"/>
          <w:color w:val="auto"/>
          <w:lang w:eastAsia="en-US"/>
        </w:rPr>
        <w:t>en kan inflatie afnemen.</w:t>
      </w:r>
      <w:bookmarkEnd w:id="4"/>
    </w:p>
    <w:p w:rsidR="00884538" w:rsidP="00E66A9C" w:rsidRDefault="00E66A9C" w14:paraId="51DBA447" w14:textId="77777777">
      <w:pPr>
        <w:autoSpaceDN/>
        <w:spacing w:after="160" w:line="259" w:lineRule="auto"/>
        <w:textAlignment w:val="auto"/>
        <w:rPr>
          <w:rFonts w:eastAsia="Verdana" w:cs="Verdana"/>
          <w:color w:val="auto"/>
          <w:lang w:eastAsia="en-US"/>
        </w:rPr>
      </w:pPr>
      <w:bookmarkStart w:name="_Hlk191979390" w:id="6"/>
      <w:r w:rsidRPr="00E66A9C">
        <w:rPr>
          <w:rFonts w:eastAsia="Calibri" w:cs="Times New Roman"/>
          <w:color w:val="auto"/>
          <w:lang w:eastAsia="en-US"/>
        </w:rPr>
        <w:t>Het kabinet voert trendmatig begrotingsbeleid om de vraag</w:t>
      </w:r>
      <w:r w:rsidR="0073313A">
        <w:rPr>
          <w:rFonts w:eastAsia="Calibri" w:cs="Times New Roman"/>
          <w:color w:val="auto"/>
          <w:lang w:eastAsia="en-US"/>
        </w:rPr>
        <w:t xml:space="preserve"> naar goederen en diensten</w:t>
      </w:r>
      <w:r w:rsidRPr="00E66A9C">
        <w:rPr>
          <w:rFonts w:eastAsia="Calibri" w:cs="Times New Roman"/>
          <w:color w:val="auto"/>
          <w:lang w:eastAsia="en-US"/>
        </w:rPr>
        <w:t xml:space="preserve"> in economisch goede tijden </w:t>
      </w:r>
      <w:r w:rsidR="004B74E6">
        <w:rPr>
          <w:rFonts w:eastAsia="Calibri" w:cs="Times New Roman"/>
          <w:color w:val="auto"/>
          <w:lang w:eastAsia="en-US"/>
        </w:rPr>
        <w:t>niet verder aan te jagen</w:t>
      </w:r>
      <w:r w:rsidRPr="00E66A9C">
        <w:rPr>
          <w:rFonts w:eastAsia="Calibri" w:cs="Times New Roman"/>
          <w:color w:val="auto"/>
          <w:lang w:eastAsia="en-US"/>
        </w:rPr>
        <w:t xml:space="preserve"> en buffers op te </w:t>
      </w:r>
      <w:r w:rsidRPr="00E66A9C">
        <w:rPr>
          <w:rFonts w:eastAsia="Calibri" w:cs="Times New Roman"/>
          <w:color w:val="auto"/>
          <w:lang w:eastAsia="en-US"/>
        </w:rPr>
        <w:lastRenderedPageBreak/>
        <w:t xml:space="preserve">bouwen voor mindere tijden. </w:t>
      </w:r>
      <w:bookmarkEnd w:id="6"/>
      <w:r w:rsidRPr="00E66A9C">
        <w:rPr>
          <w:rFonts w:eastAsia="Calibri" w:cs="Times New Roman"/>
          <w:color w:val="auto"/>
          <w:lang w:eastAsia="en-US"/>
        </w:rPr>
        <w:t>Begrotingsdiscipline</w:t>
      </w:r>
      <w:r w:rsidR="00F36553">
        <w:rPr>
          <w:rFonts w:eastAsia="Calibri" w:cs="Times New Roman"/>
          <w:color w:val="auto"/>
          <w:lang w:eastAsia="en-US"/>
        </w:rPr>
        <w:t>,</w:t>
      </w:r>
      <w:r w:rsidRPr="00E66A9C">
        <w:rPr>
          <w:rFonts w:eastAsia="Calibri" w:cs="Times New Roman"/>
          <w:color w:val="auto"/>
          <w:lang w:eastAsia="en-US"/>
        </w:rPr>
        <w:t xml:space="preserve"> </w:t>
      </w:r>
      <w:r w:rsidR="002C5410">
        <w:rPr>
          <w:rFonts w:eastAsia="Calibri" w:cs="Times New Roman"/>
          <w:color w:val="auto"/>
          <w:lang w:eastAsia="en-US"/>
        </w:rPr>
        <w:t>waarbij de afgesproken kaders worden gehandhaafd</w:t>
      </w:r>
      <w:r w:rsidR="00F36553">
        <w:rPr>
          <w:rFonts w:eastAsia="Calibri" w:cs="Times New Roman"/>
          <w:color w:val="auto"/>
          <w:lang w:eastAsia="en-US"/>
        </w:rPr>
        <w:t>,</w:t>
      </w:r>
      <w:r w:rsidR="002C5410">
        <w:rPr>
          <w:rFonts w:eastAsia="Calibri" w:cs="Times New Roman"/>
          <w:color w:val="auto"/>
          <w:lang w:eastAsia="en-US"/>
        </w:rPr>
        <w:t xml:space="preserve"> </w:t>
      </w:r>
      <w:r w:rsidRPr="00E66A9C">
        <w:rPr>
          <w:rFonts w:eastAsia="Calibri" w:cs="Times New Roman"/>
          <w:color w:val="auto"/>
          <w:lang w:eastAsia="en-US"/>
        </w:rPr>
        <w:t xml:space="preserve">is </w:t>
      </w:r>
      <w:r w:rsidR="002C5410">
        <w:rPr>
          <w:rFonts w:eastAsia="Calibri" w:cs="Times New Roman"/>
          <w:color w:val="auto"/>
          <w:lang w:eastAsia="en-US"/>
        </w:rPr>
        <w:t>daarom</w:t>
      </w:r>
      <w:r w:rsidRPr="00E66A9C" w:rsidR="002C5410">
        <w:rPr>
          <w:rFonts w:eastAsia="Calibri" w:cs="Times New Roman"/>
          <w:color w:val="auto"/>
          <w:lang w:eastAsia="en-US"/>
        </w:rPr>
        <w:t xml:space="preserve"> </w:t>
      </w:r>
      <w:r w:rsidRPr="00E66A9C">
        <w:rPr>
          <w:rFonts w:eastAsia="Calibri" w:cs="Times New Roman"/>
          <w:color w:val="auto"/>
          <w:lang w:eastAsia="en-US"/>
        </w:rPr>
        <w:t>van belang</w:t>
      </w:r>
      <w:r w:rsidR="00A90CAC">
        <w:rPr>
          <w:rFonts w:eastAsia="Calibri" w:cs="Times New Roman"/>
          <w:color w:val="auto"/>
          <w:lang w:eastAsia="en-US"/>
        </w:rPr>
        <w:t xml:space="preserve"> om te </w:t>
      </w:r>
      <w:r w:rsidR="00F36553">
        <w:rPr>
          <w:rFonts w:eastAsia="Calibri" w:cs="Times New Roman"/>
          <w:color w:val="auto"/>
          <w:lang w:eastAsia="en-US"/>
        </w:rPr>
        <w:t>voorkomen</w:t>
      </w:r>
      <w:r w:rsidR="00A90CAC">
        <w:rPr>
          <w:rFonts w:eastAsia="Calibri" w:cs="Times New Roman"/>
          <w:color w:val="auto"/>
          <w:lang w:eastAsia="en-US"/>
        </w:rPr>
        <w:t xml:space="preserve"> dat begrotingsbeleid inflatie verder opdrijft.</w:t>
      </w:r>
      <w:r w:rsidR="006B16AE">
        <w:rPr>
          <w:rFonts w:eastAsia="Calibri" w:cs="Times New Roman"/>
          <w:color w:val="auto"/>
          <w:lang w:eastAsia="en-US"/>
        </w:rPr>
        <w:t xml:space="preserve"> </w:t>
      </w:r>
      <w:bookmarkStart w:name="_Hlk191972439" w:id="7"/>
      <w:r w:rsidRPr="006B16AE" w:rsidR="006B16AE">
        <w:rPr>
          <w:rFonts w:eastAsia="Calibri" w:cs="Times New Roman"/>
          <w:color w:val="auto"/>
          <w:lang w:eastAsia="en-US"/>
        </w:rPr>
        <w:t xml:space="preserve">Het </w:t>
      </w:r>
      <w:r w:rsidR="003E7BBE">
        <w:rPr>
          <w:rFonts w:eastAsia="Calibri" w:cs="Times New Roman"/>
          <w:color w:val="auto"/>
          <w:lang w:eastAsia="en-US"/>
        </w:rPr>
        <w:t xml:space="preserve">kabinet </w:t>
      </w:r>
      <w:r w:rsidRPr="006B16AE" w:rsidR="006B16AE">
        <w:rPr>
          <w:rFonts w:eastAsia="Calibri" w:cs="Times New Roman"/>
          <w:color w:val="auto"/>
          <w:lang w:eastAsia="en-US"/>
        </w:rPr>
        <w:t xml:space="preserve">benadrukt ook het belang van bewuste keuzes bij andere schaarstes, zoals arbeid. </w:t>
      </w:r>
      <w:bookmarkEnd w:id="7"/>
      <w:r w:rsidRPr="00E66A9C">
        <w:rPr>
          <w:rFonts w:eastAsia="Calibri" w:cs="Times New Roman"/>
          <w:color w:val="auto"/>
          <w:lang w:eastAsia="en-US"/>
        </w:rPr>
        <w:t xml:space="preserve">Daarnaast werkt dit kabinet </w:t>
      </w:r>
      <w:r w:rsidR="00787D09">
        <w:rPr>
          <w:rFonts w:eastAsia="Calibri" w:cs="Times New Roman"/>
          <w:color w:val="auto"/>
          <w:lang w:eastAsia="en-US"/>
        </w:rPr>
        <w:t>met een agenda voor productiviteit en een agenda voor de arbeidsmarkt</w:t>
      </w:r>
      <w:r w:rsidRPr="00E66A9C" w:rsidR="00787D09">
        <w:rPr>
          <w:rFonts w:eastAsia="Calibri" w:cs="Times New Roman"/>
          <w:color w:val="auto"/>
          <w:lang w:eastAsia="en-US"/>
        </w:rPr>
        <w:t xml:space="preserve"> </w:t>
      </w:r>
      <w:r w:rsidRPr="00E66A9C">
        <w:rPr>
          <w:rFonts w:eastAsia="Calibri" w:cs="Times New Roman"/>
          <w:color w:val="auto"/>
          <w:lang w:eastAsia="en-US"/>
        </w:rPr>
        <w:t xml:space="preserve">aan </w:t>
      </w:r>
      <w:r w:rsidR="00787D09">
        <w:rPr>
          <w:rFonts w:eastAsia="Calibri" w:cs="Times New Roman"/>
          <w:color w:val="auto"/>
          <w:lang w:eastAsia="en-US"/>
        </w:rPr>
        <w:t xml:space="preserve">het </w:t>
      </w:r>
      <w:r w:rsidR="0073313A">
        <w:rPr>
          <w:rFonts w:eastAsia="Calibri" w:cs="Times New Roman"/>
          <w:color w:val="auto"/>
          <w:lang w:eastAsia="en-US"/>
        </w:rPr>
        <w:t xml:space="preserve">structureel </w:t>
      </w:r>
      <w:r w:rsidR="00787D09">
        <w:rPr>
          <w:rFonts w:eastAsia="Calibri" w:cs="Times New Roman"/>
          <w:color w:val="auto"/>
          <w:lang w:eastAsia="en-US"/>
        </w:rPr>
        <w:t>versterken van de aanbodkant van de</w:t>
      </w:r>
      <w:r w:rsidRPr="00E66A9C" w:rsidR="00787D09">
        <w:rPr>
          <w:rFonts w:eastAsia="Calibri" w:cs="Times New Roman"/>
          <w:color w:val="auto"/>
          <w:lang w:eastAsia="en-US"/>
        </w:rPr>
        <w:t xml:space="preserve"> </w:t>
      </w:r>
      <w:r w:rsidRPr="00E66A9C">
        <w:rPr>
          <w:rFonts w:eastAsia="Calibri" w:cs="Times New Roman"/>
          <w:color w:val="auto"/>
          <w:lang w:eastAsia="en-US"/>
        </w:rPr>
        <w:t>economie.</w:t>
      </w:r>
      <w:r w:rsidDel="00220EA4" w:rsidR="00220EA4">
        <w:rPr>
          <w:rFonts w:eastAsia="Calibri" w:cs="Times New Roman"/>
          <w:color w:val="auto"/>
          <w:lang w:eastAsia="en-US"/>
        </w:rPr>
        <w:t xml:space="preserve"> </w:t>
      </w:r>
      <w:bookmarkStart w:name="_Hlk191979444" w:id="8"/>
      <w:r w:rsidR="002C5410">
        <w:rPr>
          <w:rFonts w:eastAsia="Calibri" w:cs="Times New Roman"/>
          <w:color w:val="auto"/>
          <w:lang w:eastAsia="en-US"/>
        </w:rPr>
        <w:t xml:space="preserve">Het kabinet is van mening dat </w:t>
      </w:r>
      <w:r w:rsidR="00787D09">
        <w:rPr>
          <w:rFonts w:eastAsia="Calibri" w:cs="Times New Roman"/>
          <w:color w:val="auto"/>
          <w:lang w:eastAsia="en-US"/>
        </w:rPr>
        <w:t>b</w:t>
      </w:r>
      <w:r w:rsidR="002C5410">
        <w:rPr>
          <w:rFonts w:eastAsia="Calibri" w:cs="Times New Roman"/>
          <w:color w:val="auto"/>
          <w:lang w:eastAsia="en-US"/>
        </w:rPr>
        <w:t xml:space="preserve">eleid ten aanzien van de indirecte belastingen en </w:t>
      </w:r>
      <w:r w:rsidR="00674458">
        <w:rPr>
          <w:rFonts w:eastAsia="Calibri" w:cs="Times New Roman"/>
          <w:color w:val="auto"/>
          <w:lang w:eastAsia="en-US"/>
        </w:rPr>
        <w:t xml:space="preserve">bijvoorbeeld </w:t>
      </w:r>
      <w:r w:rsidR="002C5410">
        <w:rPr>
          <w:rFonts w:eastAsia="Calibri" w:cs="Times New Roman"/>
          <w:color w:val="auto"/>
          <w:lang w:eastAsia="en-US"/>
        </w:rPr>
        <w:t xml:space="preserve">de huurprijzen </w:t>
      </w:r>
      <w:r w:rsidR="00674458">
        <w:rPr>
          <w:rFonts w:eastAsia="Calibri" w:cs="Times New Roman"/>
          <w:color w:val="auto"/>
          <w:lang w:eastAsia="en-US"/>
        </w:rPr>
        <w:t xml:space="preserve">niet alleen op de inflatie </w:t>
      </w:r>
      <w:r w:rsidR="00787D09">
        <w:rPr>
          <w:rFonts w:eastAsia="Calibri" w:cs="Times New Roman"/>
          <w:color w:val="auto"/>
          <w:lang w:eastAsia="en-US"/>
        </w:rPr>
        <w:t xml:space="preserve">kan </w:t>
      </w:r>
      <w:r w:rsidR="00674458">
        <w:rPr>
          <w:rFonts w:eastAsia="Calibri" w:cs="Times New Roman"/>
          <w:color w:val="auto"/>
          <w:lang w:eastAsia="en-US"/>
        </w:rPr>
        <w:t xml:space="preserve">worden gericht maar een afweging </w:t>
      </w:r>
      <w:r w:rsidR="00787D09">
        <w:rPr>
          <w:rFonts w:eastAsia="Calibri" w:cs="Times New Roman"/>
          <w:color w:val="auto"/>
          <w:lang w:eastAsia="en-US"/>
        </w:rPr>
        <w:t xml:space="preserve">vergt </w:t>
      </w:r>
      <w:r w:rsidR="00674458">
        <w:rPr>
          <w:rFonts w:eastAsia="Calibri" w:cs="Times New Roman"/>
          <w:color w:val="auto"/>
          <w:lang w:eastAsia="en-US"/>
        </w:rPr>
        <w:t xml:space="preserve">van verschillende belangen en beleidsdoelen, die het kabinet ook heeft gemaakt. </w:t>
      </w:r>
      <w:bookmarkEnd w:id="5"/>
      <w:bookmarkEnd w:id="8"/>
      <w:r w:rsidR="002C5410">
        <w:rPr>
          <w:rFonts w:eastAsia="Calibri" w:cs="Times New Roman"/>
          <w:color w:val="auto"/>
          <w:lang w:eastAsia="en-US"/>
        </w:rPr>
        <w:t xml:space="preserve">Het beeld voor de koopkrachtontwikkeling is sinds de Miljoenennota 2025 </w:t>
      </w:r>
      <w:r w:rsidR="0073313A">
        <w:rPr>
          <w:rFonts w:eastAsia="Calibri" w:cs="Times New Roman"/>
          <w:color w:val="auto"/>
          <w:lang w:eastAsia="en-US"/>
        </w:rPr>
        <w:t>verbeterd</w:t>
      </w:r>
      <w:r w:rsidR="002C5410">
        <w:rPr>
          <w:rFonts w:eastAsia="Calibri" w:cs="Times New Roman"/>
          <w:color w:val="auto"/>
          <w:lang w:eastAsia="en-US"/>
        </w:rPr>
        <w:t xml:space="preserve">. In augustus beziet het kabinet of dit nog steeds het geval is en </w:t>
      </w:r>
      <w:r w:rsidRPr="00E66A9C" w:rsidR="002C5410">
        <w:rPr>
          <w:rFonts w:eastAsia="Verdana" w:cs="Verdana"/>
          <w:color w:val="auto"/>
          <w:lang w:eastAsia="en-US"/>
        </w:rPr>
        <w:t xml:space="preserve">wordt </w:t>
      </w:r>
      <w:r w:rsidR="00A90CAC">
        <w:rPr>
          <w:rFonts w:eastAsia="Verdana" w:cs="Verdana"/>
          <w:color w:val="auto"/>
          <w:lang w:eastAsia="en-US"/>
        </w:rPr>
        <w:t xml:space="preserve">weer </w:t>
      </w:r>
      <w:r w:rsidRPr="00E66A9C" w:rsidR="002C5410">
        <w:rPr>
          <w:rFonts w:eastAsia="Verdana" w:cs="Verdana"/>
          <w:color w:val="auto"/>
          <w:lang w:eastAsia="en-US"/>
        </w:rPr>
        <w:t>een integrale afweging gemaakt of en</w:t>
      </w:r>
      <w:r w:rsidR="00E3437D">
        <w:rPr>
          <w:rFonts w:eastAsia="Verdana" w:cs="Verdana"/>
          <w:color w:val="auto"/>
          <w:lang w:eastAsia="en-US"/>
        </w:rPr>
        <w:t xml:space="preserve"> zo ja</w:t>
      </w:r>
      <w:r w:rsidRPr="00E66A9C" w:rsidR="002C5410">
        <w:rPr>
          <w:rFonts w:eastAsia="Verdana" w:cs="Verdana"/>
          <w:color w:val="auto"/>
          <w:lang w:eastAsia="en-US"/>
        </w:rPr>
        <w:t xml:space="preserve"> op welke manier het nemen van beleidsmaatregelen </w:t>
      </w:r>
      <w:r w:rsidR="002C5410">
        <w:rPr>
          <w:rFonts w:eastAsia="Verdana" w:cs="Verdana"/>
          <w:color w:val="auto"/>
          <w:lang w:eastAsia="en-US"/>
        </w:rPr>
        <w:t xml:space="preserve">voor de koopkracht </w:t>
      </w:r>
      <w:r w:rsidRPr="00E66A9C" w:rsidR="002C5410">
        <w:rPr>
          <w:rFonts w:eastAsia="Verdana" w:cs="Verdana"/>
          <w:color w:val="auto"/>
          <w:lang w:eastAsia="en-US"/>
        </w:rPr>
        <w:t>nodig is</w:t>
      </w:r>
      <w:r w:rsidR="00A90CAC">
        <w:rPr>
          <w:rFonts w:eastAsia="Verdana" w:cs="Verdana"/>
          <w:color w:val="auto"/>
          <w:lang w:eastAsia="en-US"/>
        </w:rPr>
        <w:t xml:space="preserve"> voor 2026</w:t>
      </w:r>
      <w:r w:rsidR="002C5410">
        <w:rPr>
          <w:rFonts w:eastAsia="Verdana" w:cs="Verdana"/>
          <w:color w:val="auto"/>
          <w:lang w:eastAsia="en-US"/>
        </w:rPr>
        <w:t xml:space="preserve">. </w:t>
      </w:r>
    </w:p>
    <w:p w:rsidRPr="00CF21A4" w:rsidR="0034034D" w:rsidP="00E66A9C" w:rsidRDefault="0034034D" w14:paraId="723A0A23" w14:textId="77777777">
      <w:pPr>
        <w:autoSpaceDN/>
        <w:spacing w:after="160" w:line="259" w:lineRule="auto"/>
        <w:textAlignment w:val="auto"/>
        <w:rPr>
          <w:rFonts w:eastAsia="Calibri" w:cs="Times New Roman"/>
          <w:color w:val="auto"/>
          <w:lang w:eastAsia="en-US"/>
        </w:rPr>
      </w:pPr>
      <w:r>
        <w:rPr>
          <w:rFonts w:eastAsia="Verdana" w:cs="Verdana"/>
          <w:color w:val="auto"/>
          <w:lang w:eastAsia="en-US"/>
        </w:rPr>
        <w:t>Het vervolg van deze brief geeft een analyse van de ontwikkeling van de inflatie tot begin dit jaar en de vooruitzichten voor de inflatie en de koopkracht in de komende jaren. Daarna word</w:t>
      </w:r>
      <w:r w:rsidR="002D0F7B">
        <w:rPr>
          <w:rFonts w:eastAsia="Verdana" w:cs="Verdana"/>
          <w:color w:val="auto"/>
          <w:lang w:eastAsia="en-US"/>
        </w:rPr>
        <w:t>en</w:t>
      </w:r>
      <w:r>
        <w:rPr>
          <w:rFonts w:eastAsia="Verdana" w:cs="Verdana"/>
          <w:color w:val="auto"/>
          <w:lang w:eastAsia="en-US"/>
        </w:rPr>
        <w:t xml:space="preserve"> een aantal aspecten van de Nederlandse inflatie nader </w:t>
      </w:r>
      <w:r w:rsidR="00370A4B">
        <w:rPr>
          <w:rFonts w:eastAsia="Verdana" w:cs="Verdana"/>
          <w:color w:val="auto"/>
          <w:lang w:eastAsia="en-US"/>
        </w:rPr>
        <w:t>bezien</w:t>
      </w:r>
      <w:r>
        <w:rPr>
          <w:rFonts w:eastAsia="Verdana" w:cs="Verdana"/>
          <w:color w:val="auto"/>
          <w:lang w:eastAsia="en-US"/>
        </w:rPr>
        <w:t xml:space="preserve">, specifiek ten aanzien van de rol van winsten en lonen, de rol van </w:t>
      </w:r>
      <w:proofErr w:type="spellStart"/>
      <w:r>
        <w:rPr>
          <w:rFonts w:eastAsia="Verdana" w:cs="Verdana"/>
          <w:color w:val="auto"/>
          <w:lang w:eastAsia="en-US"/>
        </w:rPr>
        <w:t>productgebonden</w:t>
      </w:r>
      <w:proofErr w:type="spellEnd"/>
      <w:r>
        <w:rPr>
          <w:rFonts w:eastAsia="Verdana" w:cs="Verdana"/>
          <w:color w:val="auto"/>
          <w:lang w:eastAsia="en-US"/>
        </w:rPr>
        <w:t xml:space="preserve"> belastingen en subsidies en de rol van de huren.</w:t>
      </w:r>
      <w:r w:rsidR="00370A4B">
        <w:rPr>
          <w:rFonts w:eastAsia="Verdana" w:cs="Verdana"/>
          <w:color w:val="auto"/>
          <w:lang w:eastAsia="en-US"/>
        </w:rPr>
        <w:t xml:space="preserve"> Tot slot wordt bezien wat het handelingsperspectief is voor de overheid om bij te dragen aan </w:t>
      </w:r>
      <w:r w:rsidR="002D0F7B">
        <w:rPr>
          <w:rFonts w:eastAsia="Verdana" w:cs="Verdana"/>
          <w:color w:val="auto"/>
          <w:lang w:eastAsia="en-US"/>
        </w:rPr>
        <w:t xml:space="preserve">een stabiele inflatieontwikkeling. </w:t>
      </w:r>
    </w:p>
    <w:p w:rsidRPr="00E66A9C" w:rsidR="00E66A9C" w:rsidP="00E66A9C" w:rsidRDefault="00E66A9C" w14:paraId="37A3D275" w14:textId="77777777">
      <w:pPr>
        <w:autoSpaceDN/>
        <w:spacing w:after="160" w:line="259" w:lineRule="auto"/>
        <w:textAlignment w:val="auto"/>
        <w:rPr>
          <w:rFonts w:eastAsia="Calibri" w:cs="Times New Roman"/>
          <w:b/>
          <w:bCs/>
          <w:color w:val="auto"/>
          <w:lang w:eastAsia="en-US"/>
        </w:rPr>
      </w:pPr>
      <w:r w:rsidRPr="00E66A9C">
        <w:rPr>
          <w:rFonts w:eastAsia="Calibri" w:cs="Times New Roman"/>
          <w:b/>
          <w:bCs/>
          <w:color w:val="auto"/>
          <w:lang w:eastAsia="en-US"/>
        </w:rPr>
        <w:t>Ontwikkeling van de inflatie</w:t>
      </w:r>
    </w:p>
    <w:p w:rsidR="00C76796" w:rsidP="00C76796" w:rsidRDefault="00A653EE" w14:paraId="22CDA228" w14:textId="77777777">
      <w:pPr>
        <w:autoSpaceDN/>
        <w:spacing w:line="240" w:lineRule="auto"/>
        <w:textAlignment w:val="auto"/>
        <w:rPr>
          <w:rFonts w:eastAsia="Calibri" w:cs="Times New Roman"/>
          <w:color w:val="auto"/>
          <w:lang w:eastAsia="en-US"/>
        </w:rPr>
      </w:pPr>
      <w:r>
        <w:rPr>
          <w:rFonts w:eastAsia="Calibri" w:cs="Times New Roman"/>
          <w:color w:val="auto"/>
          <w:lang w:eastAsia="en-US"/>
        </w:rPr>
        <w:t>I</w:t>
      </w:r>
      <w:r w:rsidRPr="00CF21A4" w:rsidR="00CF21A4">
        <w:rPr>
          <w:rFonts w:eastAsia="Calibri" w:cs="Times New Roman"/>
          <w:color w:val="auto"/>
          <w:lang w:eastAsia="en-US"/>
        </w:rPr>
        <w:t>nflatie</w:t>
      </w:r>
      <w:r>
        <w:rPr>
          <w:rFonts w:eastAsia="Calibri" w:cs="Times New Roman"/>
          <w:color w:val="auto"/>
          <w:lang w:eastAsia="en-US"/>
        </w:rPr>
        <w:t xml:space="preserve"> wordt in de kern</w:t>
      </w:r>
      <w:r w:rsidRPr="00CF21A4" w:rsidR="00CF21A4">
        <w:rPr>
          <w:rFonts w:eastAsia="Calibri" w:cs="Times New Roman"/>
          <w:color w:val="auto"/>
          <w:lang w:eastAsia="en-US"/>
        </w:rPr>
        <w:t xml:space="preserve"> bepaald door de mate van balans tussen vraag en aanbod in de economie. Monetair- en begrotingsbeleid hebben hier </w:t>
      </w:r>
      <w:r w:rsidR="00A77BB8">
        <w:rPr>
          <w:rFonts w:eastAsia="Calibri" w:cs="Times New Roman"/>
          <w:color w:val="auto"/>
          <w:lang w:eastAsia="en-US"/>
        </w:rPr>
        <w:t xml:space="preserve">primair </w:t>
      </w:r>
      <w:r w:rsidRPr="00CF21A4" w:rsidR="00CF21A4">
        <w:rPr>
          <w:rFonts w:eastAsia="Calibri" w:cs="Times New Roman"/>
          <w:color w:val="auto"/>
          <w:lang w:eastAsia="en-US"/>
        </w:rPr>
        <w:t>invloed op. Daarnaast beïnvloedt structureel beleid op langere termijn de inflatie via de aanbodzijde van de economie. Buiten de invloedsfeer van overheden en centrale banken wordt de inflatie verder beïnvloed door externe aanbodschokken</w:t>
      </w:r>
      <w:r w:rsidR="00C76796">
        <w:rPr>
          <w:rFonts w:eastAsia="Calibri" w:cs="Times New Roman"/>
          <w:color w:val="auto"/>
          <w:lang w:eastAsia="en-US"/>
        </w:rPr>
        <w:t>.</w:t>
      </w:r>
    </w:p>
    <w:p w:rsidR="00C76796" w:rsidP="00E66A9C" w:rsidRDefault="00C76796" w14:paraId="45D28F3B" w14:textId="77777777">
      <w:pPr>
        <w:autoSpaceDN/>
        <w:spacing w:line="240" w:lineRule="auto"/>
        <w:textAlignment w:val="auto"/>
        <w:rPr>
          <w:rFonts w:eastAsia="Calibri" w:cs="Times New Roman"/>
          <w:color w:val="auto"/>
          <w:lang w:eastAsia="en-US"/>
        </w:rPr>
      </w:pPr>
    </w:p>
    <w:p w:rsidR="00C76796" w:rsidP="00EC6ED4" w:rsidRDefault="00C76796" w14:paraId="39CD94D7" w14:textId="77777777">
      <w:pPr>
        <w:autoSpaceDN/>
        <w:spacing w:line="240" w:lineRule="auto"/>
        <w:textAlignment w:val="auto"/>
        <w:rPr>
          <w:rFonts w:eastAsia="Calibri" w:cs="Times New Roman"/>
          <w:color w:val="auto"/>
          <w:kern w:val="2"/>
          <w:lang w:eastAsia="en-US"/>
          <w14:ligatures w14:val="standardContextual"/>
        </w:rPr>
      </w:pPr>
      <w:r w:rsidRPr="00C76796">
        <w:rPr>
          <w:rFonts w:eastAsia="Calibri" w:cs="Times New Roman"/>
          <w:color w:val="auto"/>
          <w:lang w:eastAsia="en-US"/>
        </w:rPr>
        <w:t>In de nasleep van de mondiale financiële crisis in 2008 en de eurocrisis in 2012 lag de inflatie in de eurozone onder de</w:t>
      </w:r>
      <w:r>
        <w:rPr>
          <w:rFonts w:eastAsia="Calibri" w:cs="Times New Roman"/>
          <w:color w:val="auto"/>
          <w:lang w:eastAsia="en-US"/>
        </w:rPr>
        <w:t xml:space="preserve"> 2%-</w:t>
      </w:r>
      <w:r w:rsidRPr="00C76796">
        <w:rPr>
          <w:rFonts w:eastAsia="Calibri" w:cs="Times New Roman"/>
          <w:color w:val="auto"/>
          <w:lang w:eastAsia="en-US"/>
        </w:rPr>
        <w:t>doelstelling van de ECB (zie figuur 1). In reactie hierop heeft de ECB het monetaire beleid verruimd door de beleidsrente te verlagen naar -0,5% en door het opkopen van (staats)obligaties om de marktrentes verder naar beneden te drukken. Deze (onconventionele</w:t>
      </w:r>
      <w:r w:rsidR="00BD773E">
        <w:rPr>
          <w:rFonts w:eastAsia="Calibri" w:cs="Times New Roman"/>
          <w:color w:val="auto"/>
          <w:lang w:eastAsia="en-US"/>
        </w:rPr>
        <w:t>)</w:t>
      </w:r>
      <w:r w:rsidRPr="00C76796">
        <w:rPr>
          <w:rFonts w:eastAsia="Calibri" w:cs="Times New Roman"/>
          <w:color w:val="auto"/>
          <w:lang w:eastAsia="en-US"/>
        </w:rPr>
        <w:t xml:space="preserve"> maatregelen hadden als doel om de vraag naar goederen en diensten te stimuleren om op die manier meer opwaartse druk op de consumentenprijzen te creëren. Dit ging ook gepaard met een stijging van activawaardes, zoals huizenprijzen. </w:t>
      </w:r>
      <w:r w:rsidR="00A77BB8">
        <w:rPr>
          <w:rFonts w:eastAsia="Calibri" w:cs="Times New Roman"/>
          <w:color w:val="auto"/>
          <w:lang w:eastAsia="en-US"/>
        </w:rPr>
        <w:t xml:space="preserve">Het monetaire beleid droeg </w:t>
      </w:r>
      <w:r w:rsidR="00423A7A">
        <w:rPr>
          <w:rFonts w:eastAsia="Calibri" w:cs="Times New Roman"/>
          <w:color w:val="auto"/>
          <w:lang w:eastAsia="en-US"/>
        </w:rPr>
        <w:t>daarnaast</w:t>
      </w:r>
      <w:r w:rsidR="00A77BB8">
        <w:rPr>
          <w:rFonts w:eastAsia="Calibri" w:cs="Times New Roman"/>
          <w:color w:val="auto"/>
          <w:lang w:eastAsia="en-US"/>
        </w:rPr>
        <w:t xml:space="preserve"> bij aan lagere rentes op de overheidsschuld van alle lidstaten, waardoor overheden met hoge tekorten en schulden minder prikkel ervaarden om hun begrotingstekort terug te dringen. </w:t>
      </w:r>
      <w:r>
        <w:rPr>
          <w:rFonts w:eastAsia="Calibri" w:cs="Times New Roman"/>
          <w:color w:val="auto"/>
          <w:kern w:val="2"/>
          <w:lang w:eastAsia="en-US"/>
          <w14:ligatures w14:val="standardContextual"/>
        </w:rPr>
        <w:t xml:space="preserve">Ondanks </w:t>
      </w:r>
      <w:r w:rsidR="00A77BB8">
        <w:rPr>
          <w:rFonts w:eastAsia="Calibri" w:cs="Times New Roman"/>
          <w:color w:val="auto"/>
          <w:kern w:val="2"/>
          <w:lang w:eastAsia="en-US"/>
          <w14:ligatures w14:val="standardContextual"/>
        </w:rPr>
        <w:t xml:space="preserve">het zeer ruime </w:t>
      </w:r>
      <w:r>
        <w:rPr>
          <w:rFonts w:eastAsia="Calibri" w:cs="Times New Roman"/>
          <w:color w:val="auto"/>
          <w:kern w:val="2"/>
          <w:lang w:eastAsia="en-US"/>
          <w14:ligatures w14:val="standardContextual"/>
        </w:rPr>
        <w:t xml:space="preserve">monetair beleid lag de inflatie in de eurozone ook kort voor de pandemie, in 2019, </w:t>
      </w:r>
      <w:r w:rsidR="00A77BB8">
        <w:rPr>
          <w:rFonts w:eastAsia="Calibri" w:cs="Times New Roman"/>
          <w:color w:val="auto"/>
          <w:kern w:val="2"/>
          <w:lang w:eastAsia="en-US"/>
          <w14:ligatures w14:val="standardContextual"/>
        </w:rPr>
        <w:t xml:space="preserve">nog steeds </w:t>
      </w:r>
      <w:r>
        <w:rPr>
          <w:rFonts w:eastAsia="Calibri" w:cs="Times New Roman"/>
          <w:color w:val="auto"/>
          <w:kern w:val="2"/>
          <w:lang w:eastAsia="en-US"/>
          <w14:ligatures w14:val="standardContextual"/>
        </w:rPr>
        <w:t xml:space="preserve">onder </w:t>
      </w:r>
      <w:r w:rsidRPr="00B22C61">
        <w:rPr>
          <w:rFonts w:eastAsia="Calibri" w:cs="Times New Roman"/>
          <w:color w:val="auto"/>
          <w:kern w:val="2"/>
          <w:lang w:eastAsia="en-US"/>
          <w14:ligatures w14:val="standardContextual"/>
        </w:rPr>
        <w:t>de inflatiedoelstelling van de ECB van 2%</w:t>
      </w:r>
      <w:r>
        <w:rPr>
          <w:rFonts w:eastAsia="Calibri" w:cs="Times New Roman"/>
          <w:color w:val="auto"/>
          <w:kern w:val="2"/>
          <w:lang w:eastAsia="en-US"/>
          <w14:ligatures w14:val="standardContextual"/>
        </w:rPr>
        <w:t xml:space="preserve"> (figuur 1). </w:t>
      </w:r>
    </w:p>
    <w:p w:rsidR="003C0C1B" w:rsidP="00E66A9C" w:rsidRDefault="003C0C1B" w14:paraId="1ED3BDBF" w14:textId="77777777">
      <w:pPr>
        <w:autoSpaceDN/>
        <w:spacing w:line="240" w:lineRule="auto"/>
        <w:textAlignment w:val="auto"/>
        <w:rPr>
          <w:rFonts w:eastAsia="Calibri" w:cs="Times New Roman"/>
          <w:color w:val="auto"/>
          <w:lang w:eastAsia="en-US"/>
        </w:rPr>
      </w:pPr>
    </w:p>
    <w:p w:rsidR="00543B02" w:rsidP="00543B02" w:rsidRDefault="00C76796" w14:paraId="3C23005C" w14:textId="77777777">
      <w:pPr>
        <w:autoSpaceDN/>
        <w:spacing w:line="240" w:lineRule="auto"/>
        <w:textAlignment w:val="auto"/>
        <w:rPr>
          <w:rFonts w:eastAsia="Calibri" w:cs="Times New Roman"/>
          <w:color w:val="auto"/>
          <w:lang w:eastAsia="en-US"/>
        </w:rPr>
      </w:pPr>
      <w:r w:rsidRPr="00C76796">
        <w:rPr>
          <w:rFonts w:eastAsia="Calibri" w:cs="Times New Roman"/>
          <w:color w:val="auto"/>
          <w:lang w:eastAsia="en-US"/>
        </w:rPr>
        <w:t xml:space="preserve">In reactie op de coronapandemie werd het expansieve monetaire beleid van de ECB </w:t>
      </w:r>
      <w:r w:rsidR="00A77BB8">
        <w:rPr>
          <w:rFonts w:eastAsia="Calibri" w:cs="Times New Roman"/>
          <w:color w:val="auto"/>
          <w:lang w:eastAsia="en-US"/>
        </w:rPr>
        <w:t xml:space="preserve">nog </w:t>
      </w:r>
      <w:r w:rsidRPr="00C76796">
        <w:rPr>
          <w:rFonts w:eastAsia="Calibri" w:cs="Times New Roman"/>
          <w:color w:val="auto"/>
          <w:lang w:eastAsia="en-US"/>
        </w:rPr>
        <w:t>verder verruimd</w:t>
      </w:r>
      <w:r>
        <w:rPr>
          <w:rFonts w:eastAsia="Calibri" w:cs="Times New Roman"/>
          <w:color w:val="auto"/>
          <w:lang w:eastAsia="en-US"/>
        </w:rPr>
        <w:t xml:space="preserve">, </w:t>
      </w:r>
      <w:r w:rsidRPr="00C76796">
        <w:rPr>
          <w:rFonts w:eastAsia="Calibri" w:cs="Times New Roman"/>
          <w:color w:val="auto"/>
          <w:lang w:eastAsia="en-US"/>
        </w:rPr>
        <w:t xml:space="preserve">met als doel om financiële markten </w:t>
      </w:r>
      <w:r w:rsidR="00A77BB8">
        <w:rPr>
          <w:rFonts w:eastAsia="Calibri" w:cs="Times New Roman"/>
          <w:color w:val="auto"/>
          <w:lang w:eastAsia="en-US"/>
        </w:rPr>
        <w:t xml:space="preserve">en de economie </w:t>
      </w:r>
      <w:r w:rsidRPr="00C76796">
        <w:rPr>
          <w:rFonts w:eastAsia="Calibri" w:cs="Times New Roman"/>
          <w:color w:val="auto"/>
          <w:lang w:eastAsia="en-US"/>
        </w:rPr>
        <w:t xml:space="preserve">te stabiliseren en om </w:t>
      </w:r>
      <w:r w:rsidR="00A77BB8">
        <w:rPr>
          <w:rFonts w:eastAsia="Calibri" w:cs="Times New Roman"/>
          <w:color w:val="auto"/>
          <w:lang w:eastAsia="en-US"/>
        </w:rPr>
        <w:t xml:space="preserve">daarmee </w:t>
      </w:r>
      <w:r w:rsidRPr="00C76796">
        <w:rPr>
          <w:rFonts w:eastAsia="Calibri" w:cs="Times New Roman"/>
          <w:color w:val="auto"/>
          <w:lang w:eastAsia="en-US"/>
        </w:rPr>
        <w:t xml:space="preserve">de inflatie </w:t>
      </w:r>
      <w:r w:rsidR="00A77BB8">
        <w:rPr>
          <w:rFonts w:eastAsia="Calibri" w:cs="Times New Roman"/>
          <w:color w:val="auto"/>
          <w:lang w:eastAsia="en-US"/>
        </w:rPr>
        <w:t xml:space="preserve">niet verder </w:t>
      </w:r>
      <w:r w:rsidR="009B1F02">
        <w:rPr>
          <w:rFonts w:eastAsia="Calibri" w:cs="Times New Roman"/>
          <w:color w:val="auto"/>
          <w:lang w:eastAsia="en-US"/>
        </w:rPr>
        <w:t>onder</w:t>
      </w:r>
      <w:r w:rsidR="00A77BB8">
        <w:rPr>
          <w:rFonts w:eastAsia="Calibri" w:cs="Times New Roman"/>
          <w:color w:val="auto"/>
          <w:lang w:eastAsia="en-US"/>
        </w:rPr>
        <w:t xml:space="preserve"> </w:t>
      </w:r>
      <w:r w:rsidRPr="00C76796">
        <w:rPr>
          <w:rFonts w:eastAsia="Calibri" w:cs="Times New Roman"/>
          <w:color w:val="auto"/>
          <w:lang w:eastAsia="en-US"/>
        </w:rPr>
        <w:t xml:space="preserve">de doelstelling te </w:t>
      </w:r>
      <w:r w:rsidR="009B1F02">
        <w:rPr>
          <w:rFonts w:eastAsia="Calibri" w:cs="Times New Roman"/>
          <w:color w:val="auto"/>
          <w:lang w:eastAsia="en-US"/>
        </w:rPr>
        <w:t>laten gaan</w:t>
      </w:r>
      <w:r>
        <w:rPr>
          <w:rFonts w:eastAsia="Calibri" w:cs="Times New Roman"/>
          <w:color w:val="auto"/>
          <w:lang w:eastAsia="en-US"/>
        </w:rPr>
        <w:t>.</w:t>
      </w:r>
      <w:r w:rsidRPr="00C76796">
        <w:rPr>
          <w:rFonts w:eastAsia="Calibri" w:cs="Times New Roman"/>
          <w:color w:val="auto"/>
          <w:lang w:eastAsia="en-US"/>
        </w:rPr>
        <w:t xml:space="preserve"> </w:t>
      </w:r>
      <w:r>
        <w:rPr>
          <w:rFonts w:eastAsia="Calibri" w:cs="Times New Roman"/>
          <w:color w:val="auto"/>
          <w:lang w:eastAsia="en-US"/>
        </w:rPr>
        <w:t xml:space="preserve">Daarnaast voerden </w:t>
      </w:r>
      <w:r w:rsidRPr="00C76796">
        <w:rPr>
          <w:rFonts w:eastAsia="Calibri" w:cs="Times New Roman"/>
          <w:color w:val="auto"/>
          <w:lang w:eastAsia="en-US"/>
        </w:rPr>
        <w:t xml:space="preserve">overheden in de EU ook </w:t>
      </w:r>
      <w:r w:rsidR="009B1F02">
        <w:rPr>
          <w:rFonts w:eastAsia="Calibri" w:cs="Times New Roman"/>
          <w:color w:val="auto"/>
          <w:lang w:eastAsia="en-US"/>
        </w:rPr>
        <w:t xml:space="preserve">zeer ruim </w:t>
      </w:r>
      <w:r w:rsidRPr="00C76796">
        <w:rPr>
          <w:rFonts w:eastAsia="Calibri" w:cs="Times New Roman"/>
          <w:color w:val="auto"/>
          <w:lang w:eastAsia="en-US"/>
        </w:rPr>
        <w:t>expansief begrotingsbeleid om de negatieve schok van de pandemie te absorberen.</w:t>
      </w:r>
      <w:r w:rsidR="009001E5">
        <w:rPr>
          <w:rFonts w:eastAsia="Calibri" w:cs="Times New Roman"/>
          <w:color w:val="auto"/>
          <w:lang w:eastAsia="en-US"/>
        </w:rPr>
        <w:t xml:space="preserve"> </w:t>
      </w:r>
      <w:bookmarkStart w:name="_Hlk191481100" w:id="9"/>
      <w:r w:rsidR="009001E5">
        <w:rPr>
          <w:rFonts w:eastAsia="Calibri" w:cs="Times New Roman"/>
          <w:color w:val="auto"/>
          <w:lang w:eastAsia="en-US"/>
        </w:rPr>
        <w:t>De overheidssteun was effectief in het verzachten van de economische gevolgen, maar kan hebben bijgedragen aan het in stand houden van niet-rendabele bedrijven.</w:t>
      </w:r>
      <w:r w:rsidR="00423A7A">
        <w:rPr>
          <w:rStyle w:val="Voetnootmarkering"/>
          <w:rFonts w:eastAsia="Calibri" w:cs="Times New Roman"/>
          <w:color w:val="auto"/>
          <w:lang w:eastAsia="en-US"/>
        </w:rPr>
        <w:footnoteReference w:id="1"/>
      </w:r>
      <w:r w:rsidR="009001E5">
        <w:rPr>
          <w:rFonts w:eastAsia="Calibri" w:cs="Times New Roman"/>
          <w:color w:val="auto"/>
          <w:lang w:eastAsia="en-US"/>
        </w:rPr>
        <w:t xml:space="preserve"> </w:t>
      </w:r>
      <w:r w:rsidRPr="007C6F3D" w:rsidR="009001E5">
        <w:rPr>
          <w:rFonts w:eastAsia="Calibri" w:cs="Times New Roman"/>
          <w:color w:val="auto"/>
          <w:lang w:eastAsia="en-US"/>
        </w:rPr>
        <w:t xml:space="preserve">Dit heeft mogelijk de economische dynamiek afgeremd en de </w:t>
      </w:r>
      <w:proofErr w:type="spellStart"/>
      <w:r w:rsidRPr="007C6F3D" w:rsidR="009001E5">
        <w:rPr>
          <w:rFonts w:eastAsia="Calibri" w:cs="Times New Roman"/>
          <w:color w:val="auto"/>
          <w:lang w:eastAsia="en-US"/>
        </w:rPr>
        <w:t>herallocatie</w:t>
      </w:r>
      <w:proofErr w:type="spellEnd"/>
      <w:r w:rsidRPr="007C6F3D" w:rsidR="009001E5">
        <w:rPr>
          <w:rFonts w:eastAsia="Calibri" w:cs="Times New Roman"/>
          <w:color w:val="auto"/>
          <w:lang w:eastAsia="en-US"/>
        </w:rPr>
        <w:t xml:space="preserve"> van productiefactoren naar groeisectoren </w:t>
      </w:r>
      <w:r w:rsidR="009001E5">
        <w:rPr>
          <w:rFonts w:eastAsia="Calibri" w:cs="Times New Roman"/>
          <w:color w:val="auto"/>
          <w:lang w:eastAsia="en-US"/>
        </w:rPr>
        <w:t>geremd</w:t>
      </w:r>
      <w:r w:rsidRPr="007C6F3D" w:rsidR="009001E5">
        <w:rPr>
          <w:rFonts w:eastAsia="Calibri" w:cs="Times New Roman"/>
          <w:color w:val="auto"/>
          <w:lang w:eastAsia="en-US"/>
        </w:rPr>
        <w:t>.</w:t>
      </w:r>
      <w:r w:rsidR="009001E5">
        <w:rPr>
          <w:rFonts w:eastAsia="Calibri" w:cs="Times New Roman"/>
          <w:color w:val="auto"/>
          <w:lang w:eastAsia="en-US"/>
        </w:rPr>
        <w:t xml:space="preserve"> </w:t>
      </w:r>
      <w:bookmarkEnd w:id="9"/>
      <w:r w:rsidR="009001E5">
        <w:rPr>
          <w:rFonts w:eastAsia="Calibri" w:cs="Times New Roman"/>
          <w:color w:val="auto"/>
          <w:lang w:eastAsia="en-US"/>
        </w:rPr>
        <w:t xml:space="preserve">Ook </w:t>
      </w:r>
      <w:r w:rsidRPr="00C76796">
        <w:rPr>
          <w:rFonts w:eastAsia="Calibri" w:cs="Times New Roman"/>
          <w:color w:val="auto"/>
          <w:lang w:eastAsia="en-US"/>
        </w:rPr>
        <w:t xml:space="preserve">liepen </w:t>
      </w:r>
      <w:r w:rsidR="009001E5">
        <w:rPr>
          <w:rFonts w:eastAsia="Calibri" w:cs="Times New Roman"/>
          <w:color w:val="auto"/>
          <w:lang w:eastAsia="en-US"/>
        </w:rPr>
        <w:t xml:space="preserve">hierdoor </w:t>
      </w:r>
      <w:r w:rsidRPr="00C76796">
        <w:rPr>
          <w:rFonts w:eastAsia="Calibri" w:cs="Times New Roman"/>
          <w:color w:val="auto"/>
          <w:lang w:eastAsia="en-US"/>
        </w:rPr>
        <w:t xml:space="preserve">begrotingstekorten en overheidsschulden op in de eurozone. </w:t>
      </w:r>
      <w:r w:rsidR="00D7056C">
        <w:rPr>
          <w:rFonts w:eastAsia="Calibri" w:cs="Times New Roman"/>
          <w:color w:val="auto"/>
          <w:lang w:eastAsia="en-US"/>
        </w:rPr>
        <w:t xml:space="preserve">Door het </w:t>
      </w:r>
      <w:r w:rsidR="00D7056C">
        <w:rPr>
          <w:rFonts w:eastAsia="Calibri" w:cs="Times New Roman"/>
          <w:color w:val="auto"/>
          <w:lang w:eastAsia="en-US"/>
        </w:rPr>
        <w:lastRenderedPageBreak/>
        <w:t xml:space="preserve">expansieve monetaire- en begrotingsbeleid en het snelle economische herstel na de eerste lockdowns nam de vraag </w:t>
      </w:r>
      <w:r w:rsidR="009B1F02">
        <w:rPr>
          <w:rFonts w:eastAsia="Calibri" w:cs="Times New Roman"/>
          <w:color w:val="auto"/>
          <w:lang w:eastAsia="en-US"/>
        </w:rPr>
        <w:t xml:space="preserve">naar goederen en diensten snel </w:t>
      </w:r>
      <w:r w:rsidR="00D7056C">
        <w:rPr>
          <w:rFonts w:eastAsia="Calibri" w:cs="Times New Roman"/>
          <w:color w:val="auto"/>
          <w:lang w:eastAsia="en-US"/>
        </w:rPr>
        <w:t xml:space="preserve">toe. </w:t>
      </w:r>
      <w:r w:rsidRPr="00C76796">
        <w:rPr>
          <w:rFonts w:eastAsia="Calibri" w:cs="Times New Roman"/>
          <w:color w:val="auto"/>
          <w:lang w:eastAsia="en-US"/>
        </w:rPr>
        <w:t xml:space="preserve"> </w:t>
      </w:r>
      <w:r>
        <w:rPr>
          <w:rFonts w:eastAsia="Calibri" w:cs="Times New Roman"/>
          <w:color w:val="auto"/>
          <w:lang w:eastAsia="en-US"/>
        </w:rPr>
        <w:t>Tegelijkertijd waren er tijdens de pandemie</w:t>
      </w:r>
      <w:r w:rsidRPr="00E66A9C" w:rsidR="00E66A9C">
        <w:rPr>
          <w:rFonts w:eastAsia="Calibri" w:cs="Times New Roman"/>
          <w:color w:val="auto"/>
          <w:lang w:eastAsia="en-US"/>
        </w:rPr>
        <w:t xml:space="preserve"> aanleveringsproblemen in productieketens ontstaan waardoor het aanbod stokte. Doordat het aanbod de vraag niet kon bijhouden, liep de </w:t>
      </w:r>
      <w:r w:rsidR="00C353F7">
        <w:rPr>
          <w:rFonts w:eastAsia="Calibri" w:cs="Times New Roman"/>
          <w:color w:val="auto"/>
          <w:lang w:eastAsia="en-US"/>
        </w:rPr>
        <w:t xml:space="preserve">wereldwijde </w:t>
      </w:r>
      <w:r w:rsidRPr="00E66A9C" w:rsidR="00E66A9C">
        <w:rPr>
          <w:rFonts w:eastAsia="Calibri" w:cs="Times New Roman"/>
          <w:color w:val="auto"/>
          <w:lang w:eastAsia="en-US"/>
        </w:rPr>
        <w:t>inflatie op</w:t>
      </w:r>
      <w:bookmarkStart w:name="_Hlk191484584" w:id="10"/>
      <w:r w:rsidR="00C353F7">
        <w:rPr>
          <w:rFonts w:eastAsia="Calibri" w:cs="Times New Roman"/>
          <w:color w:val="auto"/>
          <w:lang w:eastAsia="en-US"/>
        </w:rPr>
        <w:t xml:space="preserve">, </w:t>
      </w:r>
      <w:r w:rsidRPr="00E66A9C" w:rsidR="00C353F7">
        <w:rPr>
          <w:rFonts w:eastAsia="Calibri" w:cs="Times New Roman"/>
          <w:color w:val="auto"/>
          <w:lang w:eastAsia="en-US"/>
        </w:rPr>
        <w:t xml:space="preserve">waaronder in het eurogebied en Nederland (zie figuur 1). </w:t>
      </w:r>
      <w:bookmarkEnd w:id="10"/>
      <w:r w:rsidR="00D7056C">
        <w:rPr>
          <w:rFonts w:eastAsia="Calibri" w:cs="Times New Roman"/>
          <w:color w:val="auto"/>
          <w:lang w:eastAsia="en-US"/>
        </w:rPr>
        <w:t xml:space="preserve">Vervolgens </w:t>
      </w:r>
      <w:r w:rsidRPr="00E66A9C" w:rsidR="00E66A9C">
        <w:rPr>
          <w:rFonts w:eastAsia="Calibri" w:cs="Times New Roman"/>
          <w:color w:val="auto"/>
          <w:lang w:eastAsia="en-US"/>
        </w:rPr>
        <w:t xml:space="preserve">stegen de energieprijzen flink door de sterke vraag en het tegenvallende energieaanbod en </w:t>
      </w:r>
      <w:r w:rsidR="00D7056C">
        <w:rPr>
          <w:rFonts w:eastAsia="Calibri" w:cs="Times New Roman"/>
          <w:color w:val="auto"/>
          <w:lang w:eastAsia="en-US"/>
        </w:rPr>
        <w:t xml:space="preserve">ontstond </w:t>
      </w:r>
      <w:r w:rsidRPr="00E66A9C" w:rsidR="00E66A9C">
        <w:rPr>
          <w:rFonts w:eastAsia="Calibri" w:cs="Times New Roman"/>
          <w:color w:val="auto"/>
          <w:lang w:eastAsia="en-US"/>
        </w:rPr>
        <w:t>de energiecrisis na de inval van Rusland in Oekraïne.</w:t>
      </w:r>
      <w:r w:rsidR="00D7056C">
        <w:rPr>
          <w:rFonts w:eastAsia="Calibri" w:cs="Times New Roman"/>
          <w:color w:val="auto"/>
          <w:lang w:eastAsia="en-US"/>
        </w:rPr>
        <w:t xml:space="preserve"> Deze schok werkt langdurig </w:t>
      </w:r>
      <w:r w:rsidR="00A311AF">
        <w:rPr>
          <w:noProof/>
        </w:rPr>
        <w:drawing>
          <wp:anchor distT="0" distB="0" distL="114300" distR="114300" simplePos="0" relativeHeight="251663360" behindDoc="0" locked="0" layoutInCell="1" allowOverlap="1" wp14:editId="67AC2C94" wp14:anchorId="4000543B">
            <wp:simplePos x="0" y="0"/>
            <wp:positionH relativeFrom="column">
              <wp:posOffset>-52705</wp:posOffset>
            </wp:positionH>
            <wp:positionV relativeFrom="paragraph">
              <wp:posOffset>1325245</wp:posOffset>
            </wp:positionV>
            <wp:extent cx="5347335" cy="2320925"/>
            <wp:effectExtent l="0" t="0" r="5715" b="3175"/>
            <wp:wrapSquare wrapText="bothSides"/>
            <wp:docPr id="1668313348" name="Grafiek 1">
              <a:extLst xmlns:a="http://schemas.openxmlformats.org/drawingml/2006/main">
                <a:ext uri="{FF2B5EF4-FFF2-40B4-BE49-F238E27FC236}">
                  <a16:creationId xmlns:a16="http://schemas.microsoft.com/office/drawing/2014/main" id="{B7CDF6AE-E4EB-98C6-E179-68741D858D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D7056C">
        <w:rPr>
          <w:rFonts w:eastAsia="Calibri" w:cs="Times New Roman"/>
          <w:color w:val="auto"/>
          <w:lang w:eastAsia="en-US"/>
        </w:rPr>
        <w:t xml:space="preserve">door in de economie. </w:t>
      </w:r>
    </w:p>
    <w:p w:rsidRPr="00543B02" w:rsidR="00CF21A4" w:rsidP="009B5F79" w:rsidRDefault="00CF21A4" w14:paraId="25D19733" w14:textId="77777777">
      <w:pPr>
        <w:autoSpaceDN/>
        <w:spacing w:after="160" w:line="259" w:lineRule="auto"/>
        <w:jc w:val="right"/>
        <w:textAlignment w:val="auto"/>
        <w:rPr>
          <w:rFonts w:eastAsia="Calibri" w:cs="Times New Roman"/>
          <w:i/>
          <w:iCs/>
          <w:color w:val="auto"/>
          <w:sz w:val="15"/>
          <w:szCs w:val="15"/>
          <w:lang w:eastAsia="en-US"/>
        </w:rPr>
      </w:pPr>
      <w:r w:rsidRPr="00543B02">
        <w:rPr>
          <w:rFonts w:eastAsia="Calibri" w:cs="Times New Roman"/>
          <w:i/>
          <w:iCs/>
          <w:color w:val="auto"/>
          <w:sz w:val="15"/>
          <w:szCs w:val="15"/>
          <w:lang w:eastAsia="en-US"/>
        </w:rPr>
        <w:t xml:space="preserve">Bron: </w:t>
      </w:r>
      <w:r w:rsidRPr="00543B02" w:rsidR="00543B02">
        <w:rPr>
          <w:rFonts w:eastAsia="Calibri" w:cs="Times New Roman"/>
          <w:i/>
          <w:iCs/>
          <w:color w:val="auto"/>
          <w:sz w:val="15"/>
          <w:szCs w:val="15"/>
          <w:lang w:eastAsia="en-US"/>
        </w:rPr>
        <w:t>CBS</w:t>
      </w:r>
    </w:p>
    <w:p w:rsidR="00484836" w:rsidP="00AC1674" w:rsidRDefault="00C76796" w14:paraId="74A247D5" w14:textId="77777777">
      <w:pPr>
        <w:autoSpaceDN/>
        <w:spacing w:line="240" w:lineRule="auto"/>
        <w:textAlignment w:val="auto"/>
        <w:rPr>
          <w:rFonts w:eastAsia="Calibri" w:cs="Times New Roman"/>
          <w:color w:val="auto"/>
          <w:kern w:val="2"/>
          <w:lang w:eastAsia="en-US"/>
          <w14:ligatures w14:val="standardContextual"/>
        </w:rPr>
      </w:pPr>
      <w:r>
        <w:rPr>
          <w:rFonts w:eastAsia="Calibri" w:cs="Times New Roman"/>
          <w:color w:val="auto"/>
          <w:kern w:val="2"/>
          <w:lang w:eastAsia="en-US"/>
          <w14:ligatures w14:val="standardContextual"/>
        </w:rPr>
        <w:t>Tegen deze achtergrond</w:t>
      </w:r>
      <w:r w:rsidRPr="00E66A9C">
        <w:rPr>
          <w:rFonts w:eastAsia="Calibri" w:cs="Times New Roman"/>
          <w:color w:val="auto"/>
          <w:kern w:val="2"/>
          <w:lang w:eastAsia="en-US"/>
          <w14:ligatures w14:val="standardContextual"/>
        </w:rPr>
        <w:t xml:space="preserve"> heeft de ECB </w:t>
      </w:r>
      <w:r w:rsidR="00D7056C">
        <w:rPr>
          <w:rFonts w:eastAsia="Calibri" w:cs="Times New Roman"/>
          <w:color w:val="auto"/>
          <w:kern w:val="2"/>
          <w:lang w:eastAsia="en-US"/>
          <w14:ligatures w14:val="standardContextual"/>
        </w:rPr>
        <w:t xml:space="preserve">sinds 2022 </w:t>
      </w:r>
      <w:r w:rsidRPr="00E66A9C">
        <w:rPr>
          <w:rFonts w:eastAsia="Calibri" w:cs="Times New Roman"/>
          <w:color w:val="auto"/>
          <w:kern w:val="2"/>
          <w:lang w:eastAsia="en-US"/>
          <w14:ligatures w14:val="standardContextual"/>
        </w:rPr>
        <w:t>het monetaire beleid verkrapt. Zo heeft de ECB vanaf medio 2022 de beleidsrente stap voor stap verhoogd (van -0,5% tot 4,0%) en is de ECB begonnen met het afbouwen van haar balans.</w:t>
      </w:r>
      <w:r w:rsidRPr="00972CE5">
        <w:rPr>
          <w:rFonts w:eastAsia="Calibri" w:cs="Times New Roman"/>
          <w:color w:val="auto"/>
          <w:kern w:val="2"/>
          <w:lang w:eastAsia="en-US"/>
          <w14:ligatures w14:val="standardContextual"/>
        </w:rPr>
        <w:t xml:space="preserve"> </w:t>
      </w:r>
      <w:r>
        <w:rPr>
          <w:rFonts w:eastAsia="Calibri" w:cs="Times New Roman"/>
          <w:color w:val="auto"/>
          <w:kern w:val="2"/>
          <w:lang w:eastAsia="en-US"/>
          <w14:ligatures w14:val="standardContextual"/>
        </w:rPr>
        <w:t>Door de hogere rente zullen bedrijven terughoudender worden om investeringen te doen en zullen huishoudens minder lenen en meer sparen. De lagere groei van de vraag in de economie die hierdoor ontstaat</w:t>
      </w:r>
      <w:r w:rsidR="00BF6CB5">
        <w:rPr>
          <w:rFonts w:eastAsia="Calibri" w:cs="Times New Roman"/>
          <w:color w:val="auto"/>
          <w:kern w:val="2"/>
          <w:lang w:eastAsia="en-US"/>
          <w14:ligatures w14:val="standardContextual"/>
        </w:rPr>
        <w:t>,</w:t>
      </w:r>
      <w:r>
        <w:rPr>
          <w:rFonts w:eastAsia="Calibri" w:cs="Times New Roman"/>
          <w:color w:val="auto"/>
          <w:kern w:val="2"/>
          <w:lang w:eastAsia="en-US"/>
          <w14:ligatures w14:val="standardContextual"/>
        </w:rPr>
        <w:t xml:space="preserve"> haalt de druk van de prijsontwikkeling af. </w:t>
      </w:r>
      <w:r w:rsidR="00484836">
        <w:rPr>
          <w:rFonts w:eastAsia="Calibri" w:cs="Times New Roman"/>
          <w:color w:val="auto"/>
          <w:kern w:val="2"/>
          <w:lang w:eastAsia="en-US"/>
          <w14:ligatures w14:val="standardContextual"/>
        </w:rPr>
        <w:t>D</w:t>
      </w:r>
      <w:r w:rsidR="00AC1674">
        <w:rPr>
          <w:rFonts w:eastAsia="Calibri" w:cs="Times New Roman"/>
          <w:color w:val="auto"/>
          <w:kern w:val="2"/>
          <w:lang w:eastAsia="en-US"/>
          <w14:ligatures w14:val="standardContextual"/>
        </w:rPr>
        <w:t>e</w:t>
      </w:r>
      <w:r w:rsidR="00484836">
        <w:rPr>
          <w:rFonts w:eastAsia="Calibri" w:cs="Times New Roman"/>
          <w:color w:val="auto"/>
          <w:kern w:val="2"/>
          <w:lang w:eastAsia="en-US"/>
          <w14:ligatures w14:val="standardContextual"/>
        </w:rPr>
        <w:t xml:space="preserve"> </w:t>
      </w:r>
      <w:r w:rsidR="00AB56A6">
        <w:rPr>
          <w:rFonts w:eastAsia="Calibri" w:cs="Times New Roman"/>
          <w:color w:val="auto"/>
          <w:kern w:val="2"/>
          <w:lang w:eastAsia="en-US"/>
          <w14:ligatures w14:val="standardContextual"/>
        </w:rPr>
        <w:t xml:space="preserve">inflatie in de eurozone en in Nederland is sindsdien afgenomen en de </w:t>
      </w:r>
      <w:r w:rsidRPr="00E66A9C" w:rsidR="00AC1674">
        <w:rPr>
          <w:rFonts w:eastAsia="Calibri" w:cs="Times New Roman"/>
          <w:color w:val="auto"/>
          <w:kern w:val="2"/>
          <w:lang w:eastAsia="en-US"/>
          <w14:ligatures w14:val="standardContextual"/>
        </w:rPr>
        <w:t>ECB</w:t>
      </w:r>
      <w:r w:rsidR="009001E5">
        <w:rPr>
          <w:rFonts w:eastAsia="Calibri" w:cs="Times New Roman"/>
          <w:color w:val="auto"/>
          <w:kern w:val="2"/>
          <w:lang w:eastAsia="en-US"/>
          <w14:ligatures w14:val="standardContextual"/>
        </w:rPr>
        <w:t xml:space="preserve"> heeft</w:t>
      </w:r>
      <w:r w:rsidRPr="00E66A9C" w:rsidR="00AC1674">
        <w:rPr>
          <w:rFonts w:eastAsia="Calibri" w:cs="Times New Roman"/>
          <w:color w:val="auto"/>
          <w:kern w:val="2"/>
          <w:lang w:eastAsia="en-US"/>
          <w14:ligatures w14:val="standardContextual"/>
        </w:rPr>
        <w:t xml:space="preserve"> de beleidsrente inmiddels verlaagd tot </w:t>
      </w:r>
      <w:r w:rsidRPr="00A311AF" w:rsidR="00AC1674">
        <w:rPr>
          <w:rFonts w:eastAsia="Calibri" w:cs="Times New Roman"/>
          <w:color w:val="auto"/>
          <w:kern w:val="2"/>
          <w:lang w:eastAsia="en-US"/>
          <w14:ligatures w14:val="standardContextual"/>
        </w:rPr>
        <w:t>2,5%</w:t>
      </w:r>
      <w:r w:rsidRPr="00E66A9C" w:rsidR="00AC1674">
        <w:rPr>
          <w:rFonts w:eastAsia="Calibri" w:cs="Times New Roman"/>
          <w:color w:val="auto"/>
          <w:kern w:val="2"/>
          <w:lang w:eastAsia="en-US"/>
          <w14:ligatures w14:val="standardContextual"/>
        </w:rPr>
        <w:t xml:space="preserve"> in januari 2025.</w:t>
      </w:r>
    </w:p>
    <w:p w:rsidR="00484836" w:rsidP="00AC1674" w:rsidRDefault="00484836" w14:paraId="10AA9B16" w14:textId="77777777">
      <w:pPr>
        <w:autoSpaceDN/>
        <w:spacing w:line="240" w:lineRule="auto"/>
        <w:textAlignment w:val="auto"/>
        <w:rPr>
          <w:rFonts w:eastAsia="Calibri" w:cs="Times New Roman"/>
          <w:color w:val="auto"/>
          <w:kern w:val="2"/>
          <w:lang w:eastAsia="en-US"/>
          <w14:ligatures w14:val="standardContextual"/>
        </w:rPr>
      </w:pPr>
    </w:p>
    <w:p w:rsidR="009001E5" w:rsidP="00AC1674" w:rsidRDefault="00AC1674" w14:paraId="7C0C5343" w14:textId="77777777">
      <w:pPr>
        <w:autoSpaceDN/>
        <w:spacing w:line="240" w:lineRule="auto"/>
        <w:textAlignment w:val="auto"/>
        <w:rPr>
          <w:rFonts w:eastAsia="Calibri" w:cs="Times New Roman"/>
          <w:color w:val="auto"/>
          <w:kern w:val="2"/>
          <w:lang w:eastAsia="en-US"/>
          <w14:ligatures w14:val="standardContextual"/>
        </w:rPr>
      </w:pPr>
      <w:r>
        <w:rPr>
          <w:rFonts w:eastAsia="Calibri" w:cs="Times New Roman"/>
          <w:color w:val="auto"/>
          <w:kern w:val="2"/>
          <w:lang w:eastAsia="en-US"/>
          <w14:ligatures w14:val="standardContextual"/>
        </w:rPr>
        <w:t>Per saldo is het monetair beleid volgens de ECB nu nog licht restrictief</w:t>
      </w:r>
      <w:r w:rsidR="009001E5">
        <w:rPr>
          <w:rFonts w:eastAsia="Calibri" w:cs="Times New Roman"/>
          <w:color w:val="auto"/>
          <w:kern w:val="2"/>
          <w:lang w:eastAsia="en-US"/>
          <w14:ligatures w14:val="standardContextual"/>
        </w:rPr>
        <w:t xml:space="preserve"> voor de eurozone, al zou het voor Nederland specifiek te accomoderend kunnen zijn</w:t>
      </w:r>
      <w:r>
        <w:rPr>
          <w:rFonts w:eastAsia="Calibri" w:cs="Times New Roman"/>
          <w:color w:val="auto"/>
          <w:kern w:val="2"/>
          <w:lang w:eastAsia="en-US"/>
          <w14:ligatures w14:val="standardContextual"/>
        </w:rPr>
        <w:t xml:space="preserve">. </w:t>
      </w:r>
    </w:p>
    <w:p w:rsidR="009001E5" w:rsidP="00AC1674" w:rsidRDefault="00713B79" w14:paraId="7FE31AFC" w14:textId="77777777">
      <w:pPr>
        <w:autoSpaceDN/>
        <w:spacing w:line="240" w:lineRule="auto"/>
        <w:textAlignment w:val="auto"/>
        <w:rPr>
          <w:rFonts w:eastAsia="Calibri" w:cs="Times New Roman"/>
          <w:color w:val="auto"/>
          <w:kern w:val="2"/>
          <w:lang w:eastAsia="en-US"/>
          <w14:ligatures w14:val="standardContextual"/>
        </w:rPr>
      </w:pPr>
      <w:r w:rsidRPr="00B65988">
        <w:rPr>
          <w:rFonts w:eastAsia="Calibri" w:cs="Times New Roman"/>
          <w:noProof/>
          <w:color w:val="auto"/>
          <w:lang w:eastAsia="en-US"/>
        </w:rPr>
        <mc:AlternateContent>
          <mc:Choice Requires="wps">
            <w:drawing>
              <wp:anchor distT="0" distB="0" distL="114300" distR="114300" simplePos="0" relativeHeight="251659264" behindDoc="0" locked="0" layoutInCell="1" allowOverlap="1" wp14:editId="04B11386" wp14:anchorId="53371F1A">
                <wp:simplePos x="0" y="0"/>
                <wp:positionH relativeFrom="column">
                  <wp:posOffset>635</wp:posOffset>
                </wp:positionH>
                <wp:positionV relativeFrom="paragraph">
                  <wp:posOffset>826135</wp:posOffset>
                </wp:positionV>
                <wp:extent cx="5469890" cy="1535430"/>
                <wp:effectExtent l="0" t="0" r="16510" b="26670"/>
                <wp:wrapSquare wrapText="bothSides"/>
                <wp:docPr id="1268275323" name="Tekstvak 1"/>
                <wp:cNvGraphicFramePr/>
                <a:graphic xmlns:a="http://schemas.openxmlformats.org/drawingml/2006/main">
                  <a:graphicData uri="http://schemas.microsoft.com/office/word/2010/wordprocessingShape">
                    <wps:wsp>
                      <wps:cNvSpPr txBox="1"/>
                      <wps:spPr>
                        <a:xfrm>
                          <a:off x="0" y="0"/>
                          <a:ext cx="5469890" cy="1535430"/>
                        </a:xfrm>
                        <a:prstGeom prst="rect">
                          <a:avLst/>
                        </a:prstGeom>
                        <a:solidFill>
                          <a:sysClr val="window" lastClr="FFFFFF"/>
                        </a:solidFill>
                        <a:ln w="6350">
                          <a:solidFill>
                            <a:prstClr val="black"/>
                          </a:solidFill>
                        </a:ln>
                      </wps:spPr>
                      <wps:txbx>
                        <w:txbxContent>
                          <w:p w:rsidRPr="008D6C91" w:rsidR="00A05BB7" w:rsidP="00A05BB7" w:rsidRDefault="00E66A9C" w14:paraId="04592BC9" w14:textId="77777777">
                            <w:pPr>
                              <w:spacing w:line="240" w:lineRule="auto"/>
                              <w:rPr>
                                <w:b/>
                                <w:bCs/>
                              </w:rPr>
                            </w:pPr>
                            <w:r>
                              <w:rPr>
                                <w:b/>
                                <w:bCs/>
                              </w:rPr>
                              <w:t xml:space="preserve">Box 1. Verschillen tussen inflatiecijfers </w:t>
                            </w:r>
                            <w:r w:rsidRPr="008D6C91" w:rsidR="00A05BB7">
                              <w:rPr>
                                <w:b/>
                                <w:bCs/>
                              </w:rPr>
                              <w:t>CPI</w:t>
                            </w:r>
                            <w:r w:rsidR="00A05BB7">
                              <w:rPr>
                                <w:b/>
                                <w:bCs/>
                              </w:rPr>
                              <w:t xml:space="preserve"> en HICP</w:t>
                            </w:r>
                          </w:p>
                          <w:p w:rsidRPr="000F788B" w:rsidR="00E66A9C" w:rsidP="00E66A9C" w:rsidRDefault="00E66A9C" w14:paraId="6BF16654" w14:textId="77777777">
                            <w:pPr>
                              <w:spacing w:line="240" w:lineRule="auto"/>
                              <w:rPr>
                                <w:b/>
                                <w:bCs/>
                              </w:rPr>
                            </w:pPr>
                          </w:p>
                          <w:p w:rsidRPr="000F788B" w:rsidR="00E66A9C" w:rsidP="00E66A9C" w:rsidRDefault="00E66A9C" w14:paraId="26EF9A14" w14:textId="77777777">
                            <w:pPr>
                              <w:spacing w:line="240" w:lineRule="auto"/>
                            </w:pPr>
                            <w:r>
                              <w:t xml:space="preserve">Het CBS meet de inflatie met twee verschillende </w:t>
                            </w:r>
                            <w:r w:rsidDel="003D5E24">
                              <w:t>indexen</w:t>
                            </w:r>
                            <w:r>
                              <w:t>methoden: de Nederlandse consumentenprijsindex (CPI) en de Europees geharmoniseerde index van consumentenprijzen (HICP). De HICP wordt gebruikt om de inflatie tussen landen te vergelijken en vormt de basis voor het monetaire beleid van de ECB. In deze brief wordt doorgaans gesproken over de CPI, tenzij anders aangegeven. Het belangrijkste verschil tussen de CPI en de HICP is dat de CPI wel rekening houdt met de kosten van wonen in de eigen woning,</w:t>
                            </w:r>
                            <w:r w:rsidRPr="00652675">
                              <w:t xml:space="preserve"> d</w:t>
                            </w:r>
                            <w:r>
                              <w:t>oor middel van</w:t>
                            </w:r>
                            <w:r w:rsidRPr="00652675">
                              <w:t xml:space="preserve"> toegerekende huur</w:t>
                            </w:r>
                            <w:r>
                              <w:t xml:space="preserve">, terwijl de HICP dat niet doet. In de CPI wegen deze kosten voor huisvestiging gemiddeld voor ongeveer </w:t>
                            </w:r>
                            <w:r w:rsidRPr="008D2BA3">
                              <w:t>15</w:t>
                            </w:r>
                            <w:r w:rsidRPr="00393FD2">
                              <w:t>%</w:t>
                            </w:r>
                            <w:r>
                              <w:t xml:space="preserve"> mee.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53371F1A">
                <v:stroke joinstyle="miter"/>
                <v:path gradientshapeok="t" o:connecttype="rect"/>
              </v:shapetype>
              <v:shape id="Tekstvak 1" style="position:absolute;margin-left:.05pt;margin-top:65.05pt;width:430.7pt;height:12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">
                <v:textbox>
                  <w:txbxContent>
                    <w:p w:rsidRPr="008D6C91" w:rsidR="00A05BB7" w:rsidP="00A05BB7" w:rsidRDefault="00E66A9C" w14:paraId="04592BC9" w14:textId="77777777">
                      <w:pPr>
                        <w:spacing w:line="240" w:lineRule="auto"/>
                        <w:rPr>
                          <w:b/>
                          <w:bCs/>
                        </w:rPr>
                      </w:pPr>
                      <w:r>
                        <w:rPr>
                          <w:b/>
                          <w:bCs/>
                        </w:rPr>
                        <w:t xml:space="preserve">Box 1. Verschillen tussen inflatiecijfers </w:t>
                      </w:r>
                      <w:r w:rsidRPr="008D6C91" w:rsidR="00A05BB7">
                        <w:rPr>
                          <w:b/>
                          <w:bCs/>
                        </w:rPr>
                        <w:t>CPI</w:t>
                      </w:r>
                      <w:r w:rsidR="00A05BB7">
                        <w:rPr>
                          <w:b/>
                          <w:bCs/>
                        </w:rPr>
                        <w:t xml:space="preserve"> en HICP</w:t>
                      </w:r>
                    </w:p>
                    <w:p w:rsidRPr="000F788B" w:rsidR="00E66A9C" w:rsidP="00E66A9C" w:rsidRDefault="00E66A9C" w14:paraId="6BF16654" w14:textId="77777777">
                      <w:pPr>
                        <w:spacing w:line="240" w:lineRule="auto"/>
                        <w:rPr>
                          <w:b/>
                          <w:bCs/>
                        </w:rPr>
                      </w:pPr>
                    </w:p>
                    <w:p w:rsidRPr="000F788B" w:rsidR="00E66A9C" w:rsidP="00E66A9C" w:rsidRDefault="00E66A9C" w14:paraId="26EF9A14" w14:textId="77777777">
                      <w:pPr>
                        <w:spacing w:line="240" w:lineRule="auto"/>
                      </w:pPr>
                      <w:r>
                        <w:t xml:space="preserve">Het CBS meet de inflatie met twee verschillende </w:t>
                      </w:r>
                      <w:r w:rsidDel="003D5E24">
                        <w:t>indexen</w:t>
                      </w:r>
                      <w:r>
                        <w:t>methoden: de Nederlandse consumentenprijsindex (CPI) en de Europees geharmoniseerde index van consumentenprijzen (HICP). De HICP wordt gebruikt om de inflatie tussen landen te vergelijken en vormt de basis voor het monetaire beleid van de ECB. In deze brief wordt doorgaans gesproken over de CPI, tenzij anders aangegeven. Het belangrijkste verschil tussen de CPI en de HICP is dat de CPI wel rekening houdt met de kosten van wonen in de eigen woning,</w:t>
                      </w:r>
                      <w:r w:rsidRPr="00652675">
                        <w:t xml:space="preserve"> d</w:t>
                      </w:r>
                      <w:r>
                        <w:t>oor middel van</w:t>
                      </w:r>
                      <w:r w:rsidRPr="00652675">
                        <w:t xml:space="preserve"> toegerekende huur</w:t>
                      </w:r>
                      <w:r>
                        <w:t xml:space="preserve">, terwijl de HICP dat niet doet. In de CPI wegen deze kosten voor huisvestiging gemiddeld voor ongeveer </w:t>
                      </w:r>
                      <w:r w:rsidRPr="008D2BA3">
                        <w:t>15</w:t>
                      </w:r>
                      <w:r w:rsidRPr="00393FD2">
                        <w:t>%</w:t>
                      </w:r>
                      <w:r>
                        <w:t xml:space="preserve"> mee.</w:t>
                      </w:r>
                    </w:p>
                  </w:txbxContent>
                </v:textbox>
                <w10:wrap type="square"/>
              </v:shape>
            </w:pict>
          </mc:Fallback>
        </mc:AlternateContent>
      </w:r>
      <w:r w:rsidRPr="009001E5" w:rsidR="009001E5">
        <w:rPr>
          <w:rFonts w:eastAsia="Calibri" w:cs="Times New Roman"/>
          <w:color w:val="auto"/>
          <w:kern w:val="2"/>
          <w:lang w:eastAsia="en-US"/>
          <w14:ligatures w14:val="standardContextual"/>
        </w:rPr>
        <w:t xml:space="preserve">Hoewel de primaire verantwoordelijkheid voor het herstellen van de prijsstabiliteit bij de centrale banken ligt, kan begrotingsbeleid de inflatiedruk verminderen door de binnenlandse vraag </w:t>
      </w:r>
      <w:r w:rsidR="00484836">
        <w:rPr>
          <w:rFonts w:eastAsia="Calibri" w:cs="Times New Roman"/>
          <w:color w:val="auto"/>
          <w:kern w:val="2"/>
          <w:lang w:eastAsia="en-US"/>
          <w14:ligatures w14:val="standardContextual"/>
        </w:rPr>
        <w:t>minder</w:t>
      </w:r>
      <w:r w:rsidRPr="009001E5" w:rsidR="009001E5">
        <w:rPr>
          <w:rFonts w:eastAsia="Calibri" w:cs="Times New Roman"/>
          <w:color w:val="auto"/>
          <w:kern w:val="2"/>
          <w:lang w:eastAsia="en-US"/>
          <w14:ligatures w14:val="standardContextual"/>
        </w:rPr>
        <w:t xml:space="preserve"> te stimuleren. </w:t>
      </w:r>
      <w:r>
        <w:rPr>
          <w:rFonts w:eastAsia="Calibri" w:cs="Times New Roman"/>
          <w:color w:val="auto"/>
          <w:kern w:val="2"/>
          <w:lang w:eastAsia="en-US"/>
          <w14:ligatures w14:val="standardContextual"/>
        </w:rPr>
        <w:t>Schaarste op de arbeidsmarkt en tegenvallende productiviteitsgroei</w:t>
      </w:r>
      <w:r w:rsidRPr="009001E5" w:rsidR="009001E5">
        <w:rPr>
          <w:rFonts w:eastAsia="Calibri" w:cs="Times New Roman"/>
          <w:color w:val="auto"/>
          <w:kern w:val="2"/>
          <w:lang w:eastAsia="en-US"/>
          <w14:ligatures w14:val="standardContextual"/>
        </w:rPr>
        <w:t xml:space="preserve"> beteken</w:t>
      </w:r>
      <w:r>
        <w:rPr>
          <w:rFonts w:eastAsia="Calibri" w:cs="Times New Roman"/>
          <w:color w:val="auto"/>
          <w:kern w:val="2"/>
          <w:lang w:eastAsia="en-US"/>
          <w14:ligatures w14:val="standardContextual"/>
        </w:rPr>
        <w:t>en</w:t>
      </w:r>
      <w:r w:rsidRPr="009001E5" w:rsidR="009001E5">
        <w:rPr>
          <w:rFonts w:eastAsia="Calibri" w:cs="Times New Roman"/>
          <w:color w:val="auto"/>
          <w:kern w:val="2"/>
          <w:lang w:eastAsia="en-US"/>
          <w14:ligatures w14:val="standardContextual"/>
        </w:rPr>
        <w:t xml:space="preserve"> dat de overheid zal moeten prioriteren tussen investeringen en andere uitgaven.  </w:t>
      </w:r>
    </w:p>
    <w:p w:rsidR="00484836" w:rsidP="00AC1674" w:rsidRDefault="00484836" w14:paraId="468F3A3F" w14:textId="77777777">
      <w:pPr>
        <w:autoSpaceDN/>
        <w:spacing w:line="240" w:lineRule="auto"/>
        <w:textAlignment w:val="auto"/>
        <w:rPr>
          <w:rFonts w:eastAsia="Calibri" w:cs="Times New Roman"/>
          <w:color w:val="auto"/>
          <w:kern w:val="2"/>
          <w:lang w:eastAsia="en-US"/>
          <w14:ligatures w14:val="standardContextual"/>
        </w:rPr>
      </w:pPr>
    </w:p>
    <w:p w:rsidRPr="00A311AF" w:rsidR="009B5F79" w:rsidP="00A311AF" w:rsidRDefault="00E66A9C" w14:paraId="7FBA50BC" w14:textId="77777777">
      <w:pPr>
        <w:autoSpaceDN/>
        <w:spacing w:line="240" w:lineRule="auto"/>
        <w:textAlignment w:val="auto"/>
        <w:rPr>
          <w:rFonts w:eastAsia="Calibri" w:cs="Times New Roman"/>
          <w:color w:val="auto"/>
          <w:lang w:eastAsia="en-US"/>
        </w:rPr>
      </w:pPr>
      <w:r w:rsidRPr="00E66A9C">
        <w:rPr>
          <w:rFonts w:eastAsia="Calibri" w:cs="Times New Roman"/>
          <w:color w:val="auto"/>
          <w:lang w:eastAsia="en-US"/>
        </w:rPr>
        <w:lastRenderedPageBreak/>
        <w:t>Figuur 2 illustreert het verloop van de Nederlandse inflatie (CPI, zie box 1</w:t>
      </w:r>
      <w:r w:rsidR="003A205A">
        <w:rPr>
          <w:rFonts w:eastAsia="Calibri" w:cs="Times New Roman"/>
          <w:color w:val="auto"/>
          <w:lang w:eastAsia="en-US"/>
        </w:rPr>
        <w:t xml:space="preserve"> voor het verschil met de Europees geharmoniseerde HICP</w:t>
      </w:r>
      <w:r w:rsidRPr="00E66A9C">
        <w:rPr>
          <w:rFonts w:eastAsia="Calibri" w:cs="Times New Roman"/>
          <w:color w:val="auto"/>
          <w:lang w:eastAsia="en-US"/>
        </w:rPr>
        <w:t>) naar de verschillende bijdragen van energie, goederen, diensten en voedsel tussen 2019 en 202</w:t>
      </w:r>
      <w:r w:rsidR="00BF6CB5">
        <w:rPr>
          <w:rFonts w:eastAsia="Calibri" w:cs="Times New Roman"/>
          <w:color w:val="auto"/>
          <w:lang w:eastAsia="en-US"/>
        </w:rPr>
        <w:t>5</w:t>
      </w:r>
      <w:r w:rsidRPr="00E66A9C">
        <w:rPr>
          <w:rFonts w:eastAsia="Calibri" w:cs="Times New Roman"/>
          <w:color w:val="auto"/>
          <w:lang w:eastAsia="en-US"/>
        </w:rPr>
        <w:t>. De energieprijzen verklaarden verreweg het grootste deel van de stijgende inflatie in 2022 en dempten de inflatie in 2023</w:t>
      </w:r>
      <w:r w:rsidRPr="00E66A9C" w:rsidR="00976F03">
        <w:rPr>
          <w:rFonts w:eastAsia="Calibri" w:cs="Times New Roman"/>
          <w:color w:val="auto"/>
          <w:lang w:eastAsia="en-US"/>
        </w:rPr>
        <w:t>, mede door het energieprijsplafond en energiebesparingen</w:t>
      </w:r>
      <w:r w:rsidR="009B5F79">
        <w:rPr>
          <w:rFonts w:eastAsia="Calibri" w:cs="Times New Roman"/>
          <w:color w:val="auto"/>
          <w:lang w:eastAsia="en-US"/>
        </w:rPr>
        <w:t>.</w:t>
      </w:r>
      <w:r w:rsidRPr="00E66A9C">
        <w:rPr>
          <w:rFonts w:eastAsia="Calibri" w:cs="Times New Roman"/>
          <w:color w:val="auto"/>
          <w:vertAlign w:val="superscript"/>
          <w:lang w:eastAsia="en-US"/>
        </w:rPr>
        <w:footnoteReference w:id="2"/>
      </w:r>
      <w:r w:rsidRPr="00E66A9C">
        <w:rPr>
          <w:rFonts w:eastAsia="Calibri" w:cs="Times New Roman"/>
          <w:color w:val="auto"/>
          <w:lang w:eastAsia="en-US"/>
        </w:rPr>
        <w:t xml:space="preserve"> Na de forse energieprijsschok bleef de inflatie hoger dan </w:t>
      </w:r>
      <w:r w:rsidR="00976F03">
        <w:rPr>
          <w:rFonts w:eastAsia="Calibri" w:cs="Times New Roman"/>
          <w:color w:val="auto"/>
          <w:lang w:eastAsia="en-US"/>
        </w:rPr>
        <w:t>ervoor</w:t>
      </w:r>
      <w:r w:rsidRPr="00E66A9C">
        <w:rPr>
          <w:rFonts w:eastAsia="Calibri" w:cs="Times New Roman"/>
          <w:color w:val="auto"/>
          <w:lang w:eastAsia="en-US"/>
        </w:rPr>
        <w:t xml:space="preserve">, doordat de doorwerking </w:t>
      </w:r>
      <w:r w:rsidR="00976F03">
        <w:rPr>
          <w:rFonts w:eastAsia="Calibri" w:cs="Times New Roman"/>
          <w:color w:val="auto"/>
          <w:lang w:eastAsia="en-US"/>
        </w:rPr>
        <w:t xml:space="preserve">van </w:t>
      </w:r>
      <w:r w:rsidR="00C12275">
        <w:rPr>
          <w:rFonts w:eastAsia="Calibri" w:cs="Times New Roman"/>
          <w:color w:val="auto"/>
          <w:lang w:eastAsia="en-US"/>
        </w:rPr>
        <w:t xml:space="preserve">de hogere energieprijzen op andere prijzen en lonen </w:t>
      </w:r>
      <w:r w:rsidR="003666B9">
        <w:rPr>
          <w:rFonts w:eastAsia="Calibri" w:cs="Times New Roman"/>
          <w:color w:val="auto"/>
          <w:lang w:eastAsia="en-US"/>
        </w:rPr>
        <w:t xml:space="preserve">met een vertraging de inflatie </w:t>
      </w:r>
      <w:proofErr w:type="gramStart"/>
      <w:r w:rsidR="003666B9">
        <w:rPr>
          <w:rFonts w:eastAsia="Calibri" w:cs="Times New Roman"/>
          <w:color w:val="auto"/>
          <w:lang w:eastAsia="en-US"/>
        </w:rPr>
        <w:t>omhoog duwt</w:t>
      </w:r>
      <w:proofErr w:type="gramEnd"/>
      <w:r w:rsidR="00BF6CB5">
        <w:rPr>
          <w:rFonts w:eastAsia="Calibri" w:cs="Times New Roman"/>
          <w:color w:val="auto"/>
          <w:lang w:eastAsia="en-US"/>
        </w:rPr>
        <w:t>. De</w:t>
      </w:r>
      <w:r w:rsidR="003666B9">
        <w:rPr>
          <w:rFonts w:eastAsia="Calibri" w:cs="Times New Roman"/>
          <w:color w:val="auto"/>
          <w:lang w:eastAsia="en-US"/>
        </w:rPr>
        <w:t xml:space="preserve"> doorwerking </w:t>
      </w:r>
      <w:r w:rsidRPr="00E66A9C">
        <w:rPr>
          <w:rFonts w:eastAsia="Calibri" w:cs="Times New Roman"/>
          <w:color w:val="auto"/>
          <w:lang w:eastAsia="en-US"/>
        </w:rPr>
        <w:t xml:space="preserve">van lagere energieprijzen naar overige prijzen </w:t>
      </w:r>
      <w:r w:rsidR="00BF6CB5">
        <w:rPr>
          <w:rFonts w:eastAsia="Calibri" w:cs="Times New Roman"/>
          <w:color w:val="auto"/>
          <w:lang w:eastAsia="en-US"/>
        </w:rPr>
        <w:t xml:space="preserve">heeft ook </w:t>
      </w:r>
      <w:r w:rsidRPr="00E66A9C">
        <w:rPr>
          <w:rFonts w:eastAsia="Calibri" w:cs="Times New Roman"/>
          <w:color w:val="auto"/>
          <w:lang w:eastAsia="en-US"/>
        </w:rPr>
        <w:t>tijd nodig. Zo rekenen ondernemers de gestegen productiekosten van bijvoorbeeld energie en transport nog door in hun prijzen. Dat is te zien aan de groeiende bijdrage van onder meer industriële goederen en voeding in de inflatie in 2023. Daarnaast reageren lonen vertraagd op de inflatie door de systematiek van cao-onderhandelingen. Deze inhaalgroei</w:t>
      </w:r>
      <w:r w:rsidR="009B5F79">
        <w:rPr>
          <w:rFonts w:eastAsia="Calibri" w:cs="Times New Roman"/>
          <w:color w:val="auto"/>
          <w:lang w:eastAsia="en-US"/>
        </w:rPr>
        <w:t xml:space="preserve"> van de lonen</w:t>
      </w:r>
      <w:r w:rsidRPr="00E66A9C">
        <w:rPr>
          <w:rFonts w:eastAsia="Calibri" w:cs="Times New Roman"/>
          <w:color w:val="auto"/>
          <w:lang w:eastAsia="en-US"/>
        </w:rPr>
        <w:t xml:space="preserve"> gaat gepaard met de groeiende bijdrage van de diensteninflatie in de totale inflatie sinds 2024. </w:t>
      </w:r>
      <w:r w:rsidR="003666B9">
        <w:rPr>
          <w:rFonts w:eastAsia="Calibri" w:cs="Times New Roman"/>
          <w:color w:val="auto"/>
          <w:lang w:eastAsia="en-US"/>
        </w:rPr>
        <w:t>Hierdoor werkt</w:t>
      </w:r>
      <w:r w:rsidRPr="00E66A9C">
        <w:rPr>
          <w:rFonts w:eastAsia="Calibri" w:cs="Times New Roman"/>
          <w:color w:val="auto"/>
          <w:lang w:eastAsia="en-US"/>
        </w:rPr>
        <w:t xml:space="preserve"> </w:t>
      </w:r>
      <w:r w:rsidR="003666B9">
        <w:rPr>
          <w:rFonts w:eastAsia="Calibri" w:cs="Times New Roman"/>
          <w:color w:val="auto"/>
          <w:lang w:eastAsia="en-US"/>
        </w:rPr>
        <w:t>de</w:t>
      </w:r>
      <w:r w:rsidRPr="00E66A9C">
        <w:rPr>
          <w:rFonts w:eastAsia="Calibri" w:cs="Times New Roman"/>
          <w:color w:val="auto"/>
          <w:lang w:eastAsia="en-US"/>
        </w:rPr>
        <w:t xml:space="preserve"> </w:t>
      </w:r>
      <w:r w:rsidR="003666B9">
        <w:rPr>
          <w:rFonts w:eastAsia="Calibri" w:cs="Times New Roman"/>
          <w:color w:val="auto"/>
          <w:lang w:eastAsia="en-US"/>
        </w:rPr>
        <w:t xml:space="preserve">eerdere </w:t>
      </w:r>
      <w:r w:rsidRPr="00E66A9C">
        <w:rPr>
          <w:rFonts w:eastAsia="Calibri" w:cs="Times New Roman"/>
          <w:color w:val="auto"/>
          <w:lang w:eastAsia="en-US"/>
        </w:rPr>
        <w:t xml:space="preserve">inflatieschok voor meerdere jaren door in de economie. </w:t>
      </w:r>
      <w:r w:rsidR="003666B9">
        <w:rPr>
          <w:rFonts w:eastAsia="Calibri" w:cs="Times New Roman"/>
          <w:color w:val="auto"/>
          <w:lang w:eastAsia="en-US"/>
        </w:rPr>
        <w:t>Dit is een bekend fenomeen. U</w:t>
      </w:r>
      <w:r w:rsidRPr="00E66A9C">
        <w:rPr>
          <w:rFonts w:eastAsia="Calibri" w:cs="Times New Roman"/>
          <w:color w:val="auto"/>
          <w:lang w:eastAsia="en-US"/>
        </w:rPr>
        <w:t>it internationaal onderzoek blijkt dat landen na een snelle sterke stijging van de inflatie doorgaans te maken hebben met een langere periode van verhoogde inflatie.</w:t>
      </w:r>
      <w:r w:rsidRPr="00E66A9C">
        <w:rPr>
          <w:rFonts w:eastAsia="Calibri" w:cs="Times New Roman"/>
          <w:color w:val="auto"/>
          <w:vertAlign w:val="superscript"/>
          <w:lang w:eastAsia="en-US"/>
        </w:rPr>
        <w:footnoteReference w:id="3"/>
      </w:r>
      <w:r w:rsidRPr="00E66A9C">
        <w:rPr>
          <w:rFonts w:eastAsia="Calibri" w:cs="Times New Roman"/>
          <w:color w:val="auto"/>
          <w:lang w:eastAsia="en-US"/>
        </w:rPr>
        <w:t xml:space="preserve"> </w:t>
      </w:r>
    </w:p>
    <w:p w:rsidRPr="009B5F79" w:rsidR="00E66A9C" w:rsidP="009B5F79" w:rsidRDefault="00A311AF" w14:paraId="29B831F0" w14:textId="77777777">
      <w:pPr>
        <w:autoSpaceDN/>
        <w:spacing w:after="160" w:line="259" w:lineRule="auto"/>
        <w:jc w:val="right"/>
        <w:textAlignment w:val="auto"/>
        <w:rPr>
          <w:rFonts w:eastAsia="Calibri" w:cs="Times New Roman"/>
          <w:i/>
          <w:iCs/>
          <w:color w:val="auto"/>
          <w:sz w:val="14"/>
          <w:szCs w:val="14"/>
          <w:highlight w:val="yellow"/>
          <w:lang w:eastAsia="en-US"/>
        </w:rPr>
      </w:pPr>
      <w:r>
        <w:rPr>
          <w:noProof/>
        </w:rPr>
        <w:drawing>
          <wp:inline distT="0" distB="0" distL="0" distR="0" wp14:anchorId="18469E73" wp14:editId="6839600A">
            <wp:extent cx="5124090" cy="3343910"/>
            <wp:effectExtent l="0" t="0" r="635" b="8890"/>
            <wp:docPr id="420194996" name="Grafiek 1">
              <a:extLst xmlns:a="http://schemas.openxmlformats.org/drawingml/2006/main">
                <a:ext uri="{FF2B5EF4-FFF2-40B4-BE49-F238E27FC236}">
                  <a16:creationId xmlns:a16="http://schemas.microsoft.com/office/drawing/2014/main" id="{4EACF85F-3B21-43D5-DFA2-B4BFB75620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9B5F79" w:rsidR="00E66A9C">
        <w:rPr>
          <w:rFonts w:ascii="Calibri" w:hAnsi="Calibri" w:eastAsia="Calibri" w:cs="Times New Roman"/>
          <w:color w:val="auto"/>
          <w:sz w:val="22"/>
          <w:szCs w:val="22"/>
          <w:lang w:eastAsia="en-US"/>
        </w:rPr>
        <w:t xml:space="preserve"> </w:t>
      </w:r>
      <w:r w:rsidRPr="009B5F79" w:rsidR="00E66A9C">
        <w:rPr>
          <w:rFonts w:eastAsia="Calibri" w:cs="Times New Roman"/>
          <w:i/>
          <w:iCs/>
          <w:color w:val="auto"/>
          <w:sz w:val="14"/>
          <w:szCs w:val="14"/>
          <w:lang w:eastAsia="en-US"/>
        </w:rPr>
        <w:t>Bron: CBS</w:t>
      </w:r>
    </w:p>
    <w:p w:rsidR="00E66A9C" w:rsidP="00E66A9C" w:rsidRDefault="00EA0D73" w14:paraId="1A607E8F" w14:textId="77777777">
      <w:pPr>
        <w:autoSpaceDN/>
        <w:spacing w:after="160" w:line="259" w:lineRule="auto"/>
        <w:textAlignment w:val="auto"/>
        <w:rPr>
          <w:rFonts w:eastAsia="Calibri" w:cs="Times New Roman"/>
          <w:color w:val="auto"/>
          <w:lang w:eastAsia="en-US"/>
        </w:rPr>
      </w:pPr>
      <w:r w:rsidRPr="00EA0D73">
        <w:rPr>
          <w:rFonts w:eastAsia="Calibri" w:cs="Times New Roman"/>
          <w:color w:val="auto"/>
          <w:lang w:eastAsia="en-US"/>
        </w:rPr>
        <w:t xml:space="preserve">De laatste maanden van 2024 schommelde de jaar-op-jaar inflatie rond de 4%. </w:t>
      </w:r>
      <w:r w:rsidR="00EF7A22">
        <w:rPr>
          <w:rFonts w:eastAsia="Calibri" w:cs="Times New Roman"/>
          <w:color w:val="auto"/>
          <w:lang w:eastAsia="en-US"/>
        </w:rPr>
        <w:t xml:space="preserve">Over het jaar als geheel was de inflatie </w:t>
      </w:r>
      <w:r w:rsidR="00E360FC">
        <w:rPr>
          <w:rFonts w:eastAsia="Calibri" w:cs="Times New Roman"/>
          <w:color w:val="auto"/>
          <w:lang w:eastAsia="en-US"/>
        </w:rPr>
        <w:t>3,3</w:t>
      </w:r>
      <w:r w:rsidR="00EF7A22">
        <w:rPr>
          <w:rFonts w:eastAsia="Calibri" w:cs="Times New Roman"/>
          <w:color w:val="auto"/>
          <w:lang w:eastAsia="en-US"/>
        </w:rPr>
        <w:t xml:space="preserve">%; dat is </w:t>
      </w:r>
      <w:r w:rsidR="00E360FC">
        <w:rPr>
          <w:rFonts w:eastAsia="Calibri" w:cs="Times New Roman"/>
          <w:color w:val="auto"/>
          <w:lang w:eastAsia="en-US"/>
        </w:rPr>
        <w:t>0,3</w:t>
      </w:r>
      <w:r w:rsidR="00EF7A22">
        <w:rPr>
          <w:rFonts w:eastAsia="Calibri" w:cs="Times New Roman"/>
          <w:color w:val="auto"/>
          <w:lang w:eastAsia="en-US"/>
        </w:rPr>
        <w:t>%-punt lager dan het</w:t>
      </w:r>
      <w:r w:rsidR="00BF6CB5">
        <w:rPr>
          <w:rFonts w:eastAsia="Calibri" w:cs="Times New Roman"/>
          <w:color w:val="auto"/>
          <w:lang w:eastAsia="en-US"/>
        </w:rPr>
        <w:t xml:space="preserve"> Centraal Planbureau</w:t>
      </w:r>
      <w:r w:rsidR="00EF7A22">
        <w:rPr>
          <w:rFonts w:eastAsia="Calibri" w:cs="Times New Roman"/>
          <w:color w:val="auto"/>
          <w:lang w:eastAsia="en-US"/>
        </w:rPr>
        <w:t xml:space="preserve"> </w:t>
      </w:r>
      <w:r w:rsidR="00BF6CB5">
        <w:rPr>
          <w:rFonts w:eastAsia="Calibri" w:cs="Times New Roman"/>
          <w:color w:val="auto"/>
          <w:lang w:eastAsia="en-US"/>
        </w:rPr>
        <w:t>(</w:t>
      </w:r>
      <w:r w:rsidR="00EF7A22">
        <w:rPr>
          <w:rFonts w:eastAsia="Calibri" w:cs="Times New Roman"/>
          <w:color w:val="auto"/>
          <w:lang w:eastAsia="en-US"/>
        </w:rPr>
        <w:t>CPB</w:t>
      </w:r>
      <w:r w:rsidR="00BF6CB5">
        <w:rPr>
          <w:rFonts w:eastAsia="Calibri" w:cs="Times New Roman"/>
          <w:color w:val="auto"/>
          <w:lang w:eastAsia="en-US"/>
        </w:rPr>
        <w:t>)</w:t>
      </w:r>
      <w:r w:rsidR="00EF7A22">
        <w:rPr>
          <w:rFonts w:eastAsia="Calibri" w:cs="Times New Roman"/>
          <w:color w:val="auto"/>
          <w:lang w:eastAsia="en-US"/>
        </w:rPr>
        <w:t xml:space="preserve"> in september bij de MEV 2025 verwachtte.</w:t>
      </w:r>
      <w:r w:rsidR="00EA1B72">
        <w:rPr>
          <w:rStyle w:val="Voetnootmarkering"/>
          <w:rFonts w:eastAsia="Calibri" w:cs="Times New Roman"/>
          <w:color w:val="auto"/>
          <w:lang w:eastAsia="en-US"/>
        </w:rPr>
        <w:footnoteReference w:id="4"/>
      </w:r>
      <w:r w:rsidR="00EF7A22">
        <w:rPr>
          <w:rFonts w:eastAsia="Calibri" w:cs="Times New Roman"/>
          <w:color w:val="auto"/>
          <w:lang w:eastAsia="en-US"/>
        </w:rPr>
        <w:t xml:space="preserve"> </w:t>
      </w:r>
      <w:r w:rsidR="00820AE2">
        <w:rPr>
          <w:rFonts w:eastAsia="Calibri" w:cs="Times New Roman"/>
          <w:color w:val="auto"/>
          <w:lang w:eastAsia="en-US"/>
        </w:rPr>
        <w:t xml:space="preserve">Begin dit jaar </w:t>
      </w:r>
      <w:r w:rsidR="00BF6CB5">
        <w:rPr>
          <w:rFonts w:eastAsia="Calibri" w:cs="Times New Roman"/>
          <w:color w:val="auto"/>
          <w:lang w:eastAsia="en-US"/>
        </w:rPr>
        <w:t>wisselden de inflatiecijfers</w:t>
      </w:r>
      <w:r w:rsidR="00820AE2">
        <w:rPr>
          <w:rFonts w:eastAsia="Calibri" w:cs="Times New Roman"/>
          <w:color w:val="auto"/>
          <w:lang w:eastAsia="en-US"/>
        </w:rPr>
        <w:t xml:space="preserve">. Zo daalde de jaar-op-jaar inflatie in januari naar 3,3%, maar nam deze toe tot 3,8% in februari. </w:t>
      </w:r>
      <w:proofErr w:type="spellStart"/>
      <w:r w:rsidR="00820AE2">
        <w:rPr>
          <w:rFonts w:eastAsia="Calibri" w:cs="Times New Roman"/>
          <w:color w:val="auto"/>
          <w:lang w:eastAsia="en-US"/>
        </w:rPr>
        <w:t>Seizoenseffecten</w:t>
      </w:r>
      <w:proofErr w:type="spellEnd"/>
      <w:r w:rsidR="00820AE2">
        <w:rPr>
          <w:rFonts w:eastAsia="Calibri" w:cs="Times New Roman"/>
          <w:color w:val="auto"/>
          <w:lang w:eastAsia="en-US"/>
        </w:rPr>
        <w:t xml:space="preserve"> verklaren deels de maandelijkse prijsschommelingen. Voor beleid is het daarom informatiever om naar het jaarlijkse inflatiecijfer te kijken. </w:t>
      </w:r>
    </w:p>
    <w:p w:rsidRPr="00E66A9C" w:rsidR="00A311AF" w:rsidP="00E66A9C" w:rsidRDefault="00A311AF" w14:paraId="02E3FA89" w14:textId="77777777">
      <w:pPr>
        <w:autoSpaceDN/>
        <w:spacing w:after="160" w:line="259" w:lineRule="auto"/>
        <w:textAlignment w:val="auto"/>
        <w:rPr>
          <w:rFonts w:eastAsia="Calibri" w:cs="Times New Roman"/>
          <w:color w:val="auto"/>
          <w:lang w:eastAsia="en-US"/>
        </w:rPr>
      </w:pPr>
    </w:p>
    <w:p w:rsidR="00280709" w:rsidP="00E66A9C" w:rsidRDefault="00280709" w14:paraId="7F0F114A" w14:textId="77777777">
      <w:pPr>
        <w:autoSpaceDN/>
        <w:spacing w:after="160" w:line="259" w:lineRule="auto"/>
        <w:textAlignment w:val="auto"/>
        <w:rPr>
          <w:rFonts w:eastAsia="Calibri" w:cs="Times New Roman"/>
          <w:b/>
          <w:bCs/>
          <w:noProof/>
          <w:color w:val="auto"/>
          <w:lang w:eastAsia="en-US"/>
        </w:rPr>
      </w:pPr>
      <w:r>
        <w:rPr>
          <w:rFonts w:eastAsia="Calibri" w:cs="Times New Roman"/>
          <w:b/>
          <w:bCs/>
          <w:noProof/>
          <w:color w:val="auto"/>
          <w:lang w:eastAsia="en-US"/>
        </w:rPr>
        <w:lastRenderedPageBreak/>
        <w:t>Vooruitzichten inflatie</w:t>
      </w:r>
      <w:r w:rsidR="00EF7A22">
        <w:rPr>
          <w:rFonts w:eastAsia="Calibri" w:cs="Times New Roman"/>
          <w:b/>
          <w:bCs/>
          <w:noProof/>
          <w:color w:val="auto"/>
          <w:lang w:eastAsia="en-US"/>
        </w:rPr>
        <w:t xml:space="preserve"> en koopkracht</w:t>
      </w:r>
    </w:p>
    <w:p w:rsidRPr="00DA7423" w:rsidR="00280709" w:rsidP="00280709" w:rsidRDefault="00686552" w14:paraId="00173495" w14:textId="77777777">
      <w:pPr>
        <w:autoSpaceDN/>
        <w:spacing w:after="160" w:line="259" w:lineRule="auto"/>
        <w:textAlignment w:val="auto"/>
        <w:rPr>
          <w:rFonts w:eastAsia="Verdana" w:cs="Verdana"/>
          <w:color w:val="auto"/>
          <w:lang w:eastAsia="en-US"/>
        </w:rPr>
      </w:pPr>
      <w:r w:rsidRPr="00686552">
        <w:rPr>
          <w:rFonts w:eastAsia="Verdana" w:cs="Verdana"/>
          <w:color w:val="auto"/>
          <w:lang w:eastAsia="en-US"/>
        </w:rPr>
        <w:t xml:space="preserve">Vooruitkijkend verwacht het CPB dat de inflatie in Nederland </w:t>
      </w:r>
      <w:r w:rsidR="002D0F7B">
        <w:rPr>
          <w:rFonts w:eastAsia="Verdana" w:cs="Verdana"/>
          <w:color w:val="auto"/>
          <w:lang w:eastAsia="en-US"/>
        </w:rPr>
        <w:t xml:space="preserve">geleidelijk aan </w:t>
      </w:r>
      <w:r w:rsidRPr="00686552">
        <w:rPr>
          <w:rFonts w:eastAsia="Verdana" w:cs="Verdana"/>
          <w:color w:val="auto"/>
          <w:lang w:eastAsia="en-US"/>
        </w:rPr>
        <w:t>afneemt.</w:t>
      </w:r>
      <w:r w:rsidR="00BF6CB5">
        <w:rPr>
          <w:rStyle w:val="Voetnootmarkering"/>
          <w:rFonts w:eastAsia="Verdana" w:cs="Verdana"/>
          <w:color w:val="auto"/>
          <w:lang w:eastAsia="en-US"/>
        </w:rPr>
        <w:footnoteReference w:id="5"/>
      </w:r>
      <w:r w:rsidRPr="00686552">
        <w:rPr>
          <w:rFonts w:eastAsia="Verdana" w:cs="Verdana"/>
          <w:color w:val="auto"/>
          <w:lang w:eastAsia="en-US"/>
        </w:rPr>
        <w:t xml:space="preserve"> </w:t>
      </w:r>
      <w:r w:rsidRPr="006B16AE" w:rsidR="006B16AE">
        <w:rPr>
          <w:rFonts w:eastAsia="Verdana" w:cs="Verdana"/>
          <w:color w:val="auto"/>
          <w:lang w:eastAsia="en-US"/>
        </w:rPr>
        <w:t xml:space="preserve">Daarbij wordt de inflatie gedomineerd door de kerninflatie, welke </w:t>
      </w:r>
      <w:r w:rsidR="006B16AE">
        <w:rPr>
          <w:rFonts w:eastAsia="Verdana" w:cs="Verdana"/>
          <w:color w:val="auto"/>
          <w:lang w:eastAsia="en-US"/>
        </w:rPr>
        <w:t>n</w:t>
      </w:r>
      <w:r w:rsidRPr="006B16AE" w:rsidR="006B16AE">
        <w:rPr>
          <w:rFonts w:eastAsia="Verdana" w:cs="Verdana"/>
          <w:color w:val="auto"/>
          <w:lang w:eastAsia="en-US"/>
        </w:rPr>
        <w:t>og een aantal jaren hoger zal blijven dan normaal. Dit komt mede door de inhaal</w:t>
      </w:r>
      <w:r w:rsidR="006B16AE">
        <w:rPr>
          <w:rFonts w:eastAsia="Verdana" w:cs="Verdana"/>
          <w:color w:val="auto"/>
          <w:lang w:eastAsia="en-US"/>
        </w:rPr>
        <w:t>groei</w:t>
      </w:r>
      <w:r w:rsidRPr="006B16AE" w:rsidR="006B16AE">
        <w:rPr>
          <w:rFonts w:eastAsia="Verdana" w:cs="Verdana"/>
          <w:color w:val="auto"/>
          <w:lang w:eastAsia="en-US"/>
        </w:rPr>
        <w:t xml:space="preserve"> van de lo</w:t>
      </w:r>
      <w:r w:rsidR="006B16AE">
        <w:rPr>
          <w:rFonts w:eastAsia="Verdana" w:cs="Verdana"/>
          <w:color w:val="auto"/>
          <w:lang w:eastAsia="en-US"/>
        </w:rPr>
        <w:t>nen</w:t>
      </w:r>
      <w:r w:rsidRPr="006B16AE" w:rsidR="006B16AE">
        <w:rPr>
          <w:rFonts w:eastAsia="Verdana" w:cs="Verdana"/>
          <w:color w:val="auto"/>
          <w:lang w:eastAsia="en-US"/>
        </w:rPr>
        <w:t>. De verwachting is dat bijdragen van andere componenten aan de inflatie zoals energie of voeding de komende jaren beperkt zullen zijn.</w:t>
      </w:r>
      <w:r w:rsidR="006B16AE">
        <w:rPr>
          <w:rFonts w:eastAsia="Verdana" w:cs="Verdana"/>
          <w:color w:val="auto"/>
          <w:lang w:eastAsia="en-US"/>
        </w:rPr>
        <w:t xml:space="preserve"> </w:t>
      </w:r>
      <w:r w:rsidRPr="00686552">
        <w:rPr>
          <w:rFonts w:eastAsia="Verdana" w:cs="Verdana"/>
          <w:color w:val="auto"/>
          <w:lang w:eastAsia="en-US"/>
        </w:rPr>
        <w:t xml:space="preserve">Het verschil tussen Nederland en de rest van de eurozone houdt de komende jaren aan. Het CPB verwacht dat </w:t>
      </w:r>
      <w:r w:rsidR="00EF7A22">
        <w:rPr>
          <w:rFonts w:eastAsia="Verdana" w:cs="Verdana"/>
          <w:color w:val="auto"/>
          <w:lang w:eastAsia="en-US"/>
        </w:rPr>
        <w:t>de</w:t>
      </w:r>
      <w:r w:rsidR="0080233B">
        <w:rPr>
          <w:rFonts w:eastAsia="Verdana" w:cs="Verdana"/>
          <w:color w:val="auto"/>
          <w:lang w:eastAsia="en-US"/>
        </w:rPr>
        <w:t xml:space="preserve"> gemiddelde</w:t>
      </w:r>
      <w:r w:rsidR="00EF7A22">
        <w:rPr>
          <w:rFonts w:eastAsia="Verdana" w:cs="Verdana"/>
          <w:color w:val="auto"/>
          <w:lang w:eastAsia="en-US"/>
        </w:rPr>
        <w:t xml:space="preserve"> inflatie</w:t>
      </w:r>
      <w:r w:rsidR="0080233B">
        <w:rPr>
          <w:rFonts w:eastAsia="Verdana" w:cs="Verdana"/>
          <w:color w:val="auto"/>
          <w:lang w:eastAsia="en-US"/>
        </w:rPr>
        <w:t xml:space="preserve"> van</w:t>
      </w:r>
      <w:r w:rsidR="00EF7A22">
        <w:rPr>
          <w:rFonts w:eastAsia="Verdana" w:cs="Verdana"/>
          <w:color w:val="auto"/>
          <w:lang w:eastAsia="en-US"/>
        </w:rPr>
        <w:t xml:space="preserve"> </w:t>
      </w:r>
      <w:r w:rsidR="00A311AF">
        <w:rPr>
          <w:rFonts w:eastAsia="Verdana" w:cs="Verdana"/>
          <w:color w:val="auto"/>
          <w:lang w:eastAsia="en-US"/>
        </w:rPr>
        <w:t xml:space="preserve">de eurozone dit jaar in de buurt van de doelstelling van 2% zal zijn en </w:t>
      </w:r>
      <w:r w:rsidR="0080233B">
        <w:rPr>
          <w:rFonts w:eastAsia="Verdana" w:cs="Verdana"/>
          <w:color w:val="auto"/>
          <w:lang w:eastAsia="en-US"/>
        </w:rPr>
        <w:t xml:space="preserve">in </w:t>
      </w:r>
      <w:r w:rsidR="00A311AF">
        <w:rPr>
          <w:rFonts w:eastAsia="Verdana" w:cs="Verdana"/>
          <w:color w:val="auto"/>
          <w:lang w:eastAsia="en-US"/>
        </w:rPr>
        <w:t>Nederland vanaf 2027.</w:t>
      </w:r>
    </w:p>
    <w:p w:rsidRPr="00E66A9C" w:rsidR="00280709" w:rsidP="00EA0D73" w:rsidRDefault="00280709" w14:paraId="1548E384" w14:textId="77777777">
      <w:pPr>
        <w:autoSpaceDN/>
        <w:spacing w:line="259" w:lineRule="auto"/>
        <w:textAlignment w:val="auto"/>
        <w:rPr>
          <w:rFonts w:eastAsia="Calibri" w:cs="Times New Roman"/>
          <w:noProof/>
          <w:color w:val="auto"/>
          <w:lang w:eastAsia="en-US"/>
        </w:rPr>
      </w:pPr>
      <w:r w:rsidRPr="00E66A9C">
        <w:rPr>
          <w:rFonts w:eastAsia="Calibri" w:cs="Times New Roman"/>
          <w:noProof/>
          <w:color w:val="auto"/>
          <w:lang w:eastAsia="en-US"/>
        </w:rPr>
        <w:t xml:space="preserve">Tabel 1. Raming </w:t>
      </w:r>
      <w:r w:rsidR="002D0F7B">
        <w:rPr>
          <w:rFonts w:eastAsia="Calibri" w:cs="Times New Roman"/>
          <w:noProof/>
          <w:color w:val="auto"/>
          <w:lang w:eastAsia="en-US"/>
        </w:rPr>
        <w:t xml:space="preserve">CPB </w:t>
      </w:r>
      <w:r w:rsidRPr="00E66A9C">
        <w:rPr>
          <w:rFonts w:eastAsia="Calibri" w:cs="Times New Roman"/>
          <w:noProof/>
          <w:color w:val="auto"/>
          <w:lang w:eastAsia="en-US"/>
        </w:rPr>
        <w:t>inflatie Nederland en eurozone</w:t>
      </w:r>
    </w:p>
    <w:tbl>
      <w:tblPr>
        <w:tblStyle w:val="Tabelraster"/>
        <w:tblW w:w="0" w:type="auto"/>
        <w:tblLook w:val="04A0" w:firstRow="1" w:lastRow="0" w:firstColumn="1" w:lastColumn="0" w:noHBand="0" w:noVBand="1"/>
      </w:tblPr>
      <w:tblGrid>
        <w:gridCol w:w="1674"/>
        <w:gridCol w:w="1473"/>
        <w:gridCol w:w="1473"/>
        <w:gridCol w:w="1473"/>
      </w:tblGrid>
      <w:tr w:rsidRPr="00E66A9C" w:rsidR="00686552" w:rsidTr="00D70FA1" w14:paraId="6F9C2C16" w14:textId="77777777">
        <w:tc>
          <w:tcPr>
            <w:tcW w:w="1674" w:type="dxa"/>
          </w:tcPr>
          <w:p w:rsidRPr="00686552" w:rsidR="00686552" w:rsidP="005322E2" w:rsidRDefault="00686552" w14:paraId="284CF8F3" w14:textId="77777777">
            <w:pPr>
              <w:spacing w:line="240" w:lineRule="auto"/>
              <w:rPr>
                <w:noProof/>
                <w:color w:val="auto"/>
                <w:lang w:val="nl-NL"/>
              </w:rPr>
            </w:pPr>
          </w:p>
        </w:tc>
        <w:tc>
          <w:tcPr>
            <w:tcW w:w="1473" w:type="dxa"/>
          </w:tcPr>
          <w:p w:rsidRPr="00E66A9C" w:rsidR="00686552" w:rsidP="00686552" w:rsidRDefault="00686552" w14:paraId="2BF75A0A" w14:textId="77777777">
            <w:pPr>
              <w:spacing w:line="240" w:lineRule="exact"/>
              <w:jc w:val="center"/>
              <w:rPr>
                <w:b/>
                <w:bCs/>
                <w:sz w:val="16"/>
                <w:szCs w:val="16"/>
              </w:rPr>
            </w:pPr>
            <w:r>
              <w:rPr>
                <w:b/>
                <w:bCs/>
                <w:sz w:val="16"/>
                <w:szCs w:val="16"/>
              </w:rPr>
              <w:t>2024</w:t>
            </w:r>
          </w:p>
        </w:tc>
        <w:tc>
          <w:tcPr>
            <w:tcW w:w="1473" w:type="dxa"/>
            <w:shd w:val="clear" w:color="auto" w:fill="auto"/>
            <w:vAlign w:val="center"/>
          </w:tcPr>
          <w:p w:rsidRPr="00686552" w:rsidR="00686552" w:rsidP="00686552" w:rsidRDefault="00686552" w14:paraId="4B45F824" w14:textId="77777777">
            <w:pPr>
              <w:spacing w:line="240" w:lineRule="exact"/>
              <w:jc w:val="center"/>
              <w:rPr>
                <w:b/>
                <w:bCs/>
                <w:sz w:val="16"/>
                <w:szCs w:val="16"/>
              </w:rPr>
            </w:pPr>
            <w:r w:rsidRPr="00E66A9C">
              <w:rPr>
                <w:b/>
                <w:bCs/>
                <w:sz w:val="16"/>
                <w:szCs w:val="16"/>
              </w:rPr>
              <w:t>2025</w:t>
            </w:r>
          </w:p>
        </w:tc>
        <w:tc>
          <w:tcPr>
            <w:tcW w:w="1473" w:type="dxa"/>
            <w:shd w:val="clear" w:color="auto" w:fill="auto"/>
          </w:tcPr>
          <w:p w:rsidRPr="00686552" w:rsidR="00686552" w:rsidP="00686552" w:rsidRDefault="00686552" w14:paraId="564D53FE" w14:textId="77777777">
            <w:pPr>
              <w:spacing w:line="240" w:lineRule="exact"/>
              <w:jc w:val="center"/>
              <w:rPr>
                <w:b/>
                <w:bCs/>
                <w:color w:val="auto"/>
                <w:sz w:val="16"/>
                <w:szCs w:val="16"/>
              </w:rPr>
            </w:pPr>
            <w:r w:rsidRPr="00E66A9C">
              <w:rPr>
                <w:b/>
                <w:bCs/>
                <w:color w:val="auto"/>
                <w:sz w:val="16"/>
                <w:szCs w:val="16"/>
              </w:rPr>
              <w:t>2026</w:t>
            </w:r>
          </w:p>
        </w:tc>
      </w:tr>
      <w:tr w:rsidRPr="00E66A9C" w:rsidR="00686552" w:rsidTr="00686552" w14:paraId="2285CF94" w14:textId="77777777">
        <w:tc>
          <w:tcPr>
            <w:tcW w:w="1674" w:type="dxa"/>
          </w:tcPr>
          <w:p w:rsidRPr="00E66A9C" w:rsidR="00686552" w:rsidP="005322E2" w:rsidRDefault="00686552" w14:paraId="555428A6" w14:textId="77777777">
            <w:pPr>
              <w:spacing w:line="240" w:lineRule="auto"/>
              <w:rPr>
                <w:noProof/>
                <w:color w:val="auto"/>
                <w:sz w:val="16"/>
                <w:szCs w:val="16"/>
              </w:rPr>
            </w:pPr>
            <w:r w:rsidRPr="00E66A9C">
              <w:rPr>
                <w:noProof/>
                <w:color w:val="auto"/>
                <w:sz w:val="16"/>
                <w:szCs w:val="16"/>
              </w:rPr>
              <w:t>Inflatie Nederland (HICP)</w:t>
            </w:r>
          </w:p>
        </w:tc>
        <w:tc>
          <w:tcPr>
            <w:tcW w:w="1473" w:type="dxa"/>
            <w:vAlign w:val="center"/>
          </w:tcPr>
          <w:p w:rsidR="00686552" w:rsidP="00686552" w:rsidRDefault="00686552" w14:paraId="18A84E6F" w14:textId="77777777">
            <w:pPr>
              <w:spacing w:line="240" w:lineRule="auto"/>
              <w:jc w:val="center"/>
              <w:rPr>
                <w:noProof/>
                <w:color w:val="auto"/>
                <w:sz w:val="16"/>
                <w:szCs w:val="16"/>
              </w:rPr>
            </w:pPr>
            <w:r>
              <w:rPr>
                <w:noProof/>
                <w:color w:val="auto"/>
                <w:sz w:val="16"/>
                <w:szCs w:val="16"/>
              </w:rPr>
              <w:t>3,2%</w:t>
            </w:r>
          </w:p>
        </w:tc>
        <w:tc>
          <w:tcPr>
            <w:tcW w:w="1473" w:type="dxa"/>
            <w:vAlign w:val="center"/>
          </w:tcPr>
          <w:p w:rsidRPr="00E66A9C" w:rsidR="00686552" w:rsidP="00686552" w:rsidRDefault="00686552" w14:paraId="0BD5C1E8" w14:textId="77777777">
            <w:pPr>
              <w:spacing w:line="240" w:lineRule="auto"/>
              <w:jc w:val="center"/>
              <w:rPr>
                <w:noProof/>
                <w:color w:val="auto"/>
                <w:sz w:val="16"/>
                <w:szCs w:val="16"/>
              </w:rPr>
            </w:pPr>
            <w:r>
              <w:rPr>
                <w:noProof/>
                <w:color w:val="auto"/>
                <w:sz w:val="16"/>
                <w:szCs w:val="16"/>
              </w:rPr>
              <w:t>3,0%</w:t>
            </w:r>
          </w:p>
        </w:tc>
        <w:tc>
          <w:tcPr>
            <w:tcW w:w="1473" w:type="dxa"/>
            <w:vAlign w:val="center"/>
          </w:tcPr>
          <w:p w:rsidRPr="00E66A9C" w:rsidR="00686552" w:rsidP="00686552" w:rsidRDefault="00686552" w14:paraId="227CA2FF" w14:textId="77777777">
            <w:pPr>
              <w:spacing w:line="240" w:lineRule="auto"/>
              <w:jc w:val="center"/>
              <w:rPr>
                <w:noProof/>
                <w:color w:val="auto"/>
                <w:sz w:val="16"/>
                <w:szCs w:val="16"/>
              </w:rPr>
            </w:pPr>
            <w:r>
              <w:rPr>
                <w:noProof/>
                <w:color w:val="auto"/>
                <w:sz w:val="16"/>
                <w:szCs w:val="16"/>
              </w:rPr>
              <w:t>2,4%</w:t>
            </w:r>
          </w:p>
        </w:tc>
      </w:tr>
      <w:tr w:rsidRPr="00E66A9C" w:rsidR="00686552" w:rsidTr="00686552" w14:paraId="007E44EA" w14:textId="77777777">
        <w:tc>
          <w:tcPr>
            <w:tcW w:w="1674" w:type="dxa"/>
          </w:tcPr>
          <w:p w:rsidRPr="00E66A9C" w:rsidR="00686552" w:rsidP="005322E2" w:rsidRDefault="00686552" w14:paraId="02792A6D" w14:textId="77777777">
            <w:pPr>
              <w:spacing w:line="240" w:lineRule="auto"/>
              <w:rPr>
                <w:noProof/>
                <w:color w:val="auto"/>
                <w:sz w:val="16"/>
                <w:szCs w:val="16"/>
              </w:rPr>
            </w:pPr>
            <w:r w:rsidRPr="00E66A9C">
              <w:rPr>
                <w:noProof/>
                <w:color w:val="auto"/>
                <w:sz w:val="16"/>
                <w:szCs w:val="16"/>
              </w:rPr>
              <w:t>Inflatie Eurozone (HICP)</w:t>
            </w:r>
          </w:p>
        </w:tc>
        <w:tc>
          <w:tcPr>
            <w:tcW w:w="1473" w:type="dxa"/>
            <w:vAlign w:val="center"/>
          </w:tcPr>
          <w:p w:rsidR="00686552" w:rsidP="00686552" w:rsidRDefault="00686552" w14:paraId="7D5D39E9" w14:textId="77777777">
            <w:pPr>
              <w:spacing w:line="240" w:lineRule="auto"/>
              <w:jc w:val="center"/>
              <w:rPr>
                <w:noProof/>
                <w:color w:val="auto"/>
                <w:sz w:val="16"/>
                <w:szCs w:val="16"/>
              </w:rPr>
            </w:pPr>
            <w:r>
              <w:rPr>
                <w:noProof/>
                <w:color w:val="auto"/>
                <w:sz w:val="16"/>
                <w:szCs w:val="16"/>
              </w:rPr>
              <w:t>2,4%</w:t>
            </w:r>
          </w:p>
        </w:tc>
        <w:tc>
          <w:tcPr>
            <w:tcW w:w="1473" w:type="dxa"/>
            <w:vAlign w:val="center"/>
          </w:tcPr>
          <w:p w:rsidRPr="00E66A9C" w:rsidR="00686552" w:rsidP="00686552" w:rsidRDefault="00686552" w14:paraId="7C83A730" w14:textId="77777777">
            <w:pPr>
              <w:spacing w:line="240" w:lineRule="auto"/>
              <w:jc w:val="center"/>
              <w:rPr>
                <w:noProof/>
                <w:color w:val="auto"/>
                <w:sz w:val="16"/>
                <w:szCs w:val="16"/>
              </w:rPr>
            </w:pPr>
            <w:r>
              <w:rPr>
                <w:noProof/>
                <w:color w:val="auto"/>
                <w:sz w:val="16"/>
                <w:szCs w:val="16"/>
              </w:rPr>
              <w:t>2,1%</w:t>
            </w:r>
          </w:p>
        </w:tc>
        <w:tc>
          <w:tcPr>
            <w:tcW w:w="1473" w:type="dxa"/>
            <w:vAlign w:val="center"/>
          </w:tcPr>
          <w:p w:rsidRPr="00E66A9C" w:rsidR="00686552" w:rsidP="00686552" w:rsidRDefault="00686552" w14:paraId="61B1E3D5" w14:textId="77777777">
            <w:pPr>
              <w:spacing w:line="240" w:lineRule="auto"/>
              <w:jc w:val="center"/>
              <w:rPr>
                <w:noProof/>
                <w:color w:val="auto"/>
                <w:sz w:val="16"/>
                <w:szCs w:val="16"/>
              </w:rPr>
            </w:pPr>
            <w:r>
              <w:rPr>
                <w:noProof/>
                <w:color w:val="auto"/>
                <w:sz w:val="16"/>
                <w:szCs w:val="16"/>
              </w:rPr>
              <w:t>1,9%</w:t>
            </w:r>
          </w:p>
        </w:tc>
      </w:tr>
    </w:tbl>
    <w:p w:rsidRPr="00E360FC" w:rsidR="00686552" w:rsidP="00E66A9C" w:rsidRDefault="00686552" w14:paraId="07267305" w14:textId="77777777">
      <w:pPr>
        <w:autoSpaceDN/>
        <w:spacing w:after="160" w:line="259" w:lineRule="auto"/>
        <w:textAlignment w:val="auto"/>
        <w:rPr>
          <w:rFonts w:eastAsia="Calibri" w:cs="Times New Roman"/>
          <w:noProof/>
          <w:color w:val="auto"/>
          <w:sz w:val="14"/>
          <w:szCs w:val="14"/>
          <w:lang w:eastAsia="en-US"/>
        </w:rPr>
      </w:pPr>
      <w:r w:rsidRPr="00E360FC">
        <w:rPr>
          <w:rFonts w:eastAsia="Calibri" w:cs="Times New Roman"/>
          <w:noProof/>
          <w:color w:val="auto"/>
          <w:sz w:val="14"/>
          <w:szCs w:val="14"/>
          <w:lang w:eastAsia="en-US"/>
        </w:rPr>
        <w:t>Bron: CPB</w:t>
      </w:r>
      <w:r w:rsidR="00E360FC">
        <w:rPr>
          <w:rFonts w:eastAsia="Calibri" w:cs="Times New Roman"/>
          <w:noProof/>
          <w:color w:val="auto"/>
          <w:sz w:val="14"/>
          <w:szCs w:val="14"/>
          <w:lang w:eastAsia="en-US"/>
        </w:rPr>
        <w:t xml:space="preserve"> (2025)</w:t>
      </w:r>
    </w:p>
    <w:p w:rsidR="00BF6CB5" w:rsidP="00E66A9C" w:rsidRDefault="00B53879" w14:paraId="69172829" w14:textId="77777777">
      <w:pPr>
        <w:autoSpaceDN/>
        <w:spacing w:after="160" w:line="259" w:lineRule="auto"/>
        <w:textAlignment w:val="auto"/>
        <w:rPr>
          <w:rFonts w:eastAsia="Calibri" w:cs="Times New Roman"/>
          <w:noProof/>
          <w:color w:val="auto"/>
          <w:lang w:eastAsia="en-US"/>
        </w:rPr>
      </w:pPr>
      <w:r>
        <w:rPr>
          <w:rFonts w:eastAsia="Calibri" w:cs="Times New Roman"/>
          <w:noProof/>
          <w:color w:val="auto"/>
          <w:lang w:eastAsia="en-US"/>
        </w:rPr>
        <w:t>Het is</w:t>
      </w:r>
      <w:r w:rsidR="00AB56A6">
        <w:rPr>
          <w:rFonts w:eastAsia="Calibri" w:cs="Times New Roman"/>
          <w:noProof/>
          <w:color w:val="auto"/>
          <w:lang w:eastAsia="en-US"/>
        </w:rPr>
        <w:t xml:space="preserve"> belangrijk dat de hoge</w:t>
      </w:r>
      <w:r>
        <w:rPr>
          <w:rFonts w:eastAsia="Calibri" w:cs="Times New Roman"/>
          <w:noProof/>
          <w:color w:val="auto"/>
          <w:lang w:eastAsia="en-US"/>
        </w:rPr>
        <w:t>re</w:t>
      </w:r>
      <w:r w:rsidR="00AB56A6">
        <w:rPr>
          <w:rFonts w:eastAsia="Calibri" w:cs="Times New Roman"/>
          <w:noProof/>
          <w:color w:val="auto"/>
          <w:lang w:eastAsia="en-US"/>
        </w:rPr>
        <w:t xml:space="preserve"> inflatie niet het nieuwe normaal wordt. </w:t>
      </w:r>
      <w:r w:rsidR="00D7056C">
        <w:rPr>
          <w:rFonts w:eastAsia="Calibri" w:cs="Times New Roman"/>
          <w:noProof/>
          <w:color w:val="auto"/>
          <w:lang w:eastAsia="en-US"/>
        </w:rPr>
        <w:t xml:space="preserve">Door het verschil tussen de Nederlandse inflatie en het eurozonegemiddelde is </w:t>
      </w:r>
      <w:r w:rsidRPr="00AC1674" w:rsidR="00AC1674">
        <w:rPr>
          <w:rFonts w:eastAsia="Calibri" w:cs="Times New Roman"/>
          <w:noProof/>
          <w:color w:val="auto"/>
          <w:lang w:eastAsia="en-US"/>
        </w:rPr>
        <w:t>de beleidsrente van de ECB</w:t>
      </w:r>
      <w:r w:rsidR="00D7056C">
        <w:rPr>
          <w:rFonts w:eastAsia="Calibri" w:cs="Times New Roman"/>
          <w:noProof/>
          <w:color w:val="auto"/>
          <w:lang w:eastAsia="en-US"/>
        </w:rPr>
        <w:t xml:space="preserve"> mogelijk</w:t>
      </w:r>
      <w:r w:rsidRPr="00AC1674" w:rsidR="00AC1674">
        <w:rPr>
          <w:rFonts w:eastAsia="Calibri" w:cs="Times New Roman"/>
          <w:noProof/>
          <w:color w:val="auto"/>
          <w:lang w:eastAsia="en-US"/>
        </w:rPr>
        <w:t xml:space="preserve"> te laag voor de Nederlandse economie</w:t>
      </w:r>
      <w:r w:rsidR="00E360FC">
        <w:rPr>
          <w:rFonts w:eastAsia="Calibri" w:cs="Times New Roman"/>
          <w:noProof/>
          <w:color w:val="auto"/>
          <w:lang w:eastAsia="en-US"/>
        </w:rPr>
        <w:t>.</w:t>
      </w:r>
      <w:r w:rsidRPr="00AC1674" w:rsidR="00AC1674">
        <w:rPr>
          <w:rFonts w:eastAsia="Calibri" w:cs="Times New Roman"/>
          <w:noProof/>
          <w:color w:val="auto"/>
          <w:lang w:eastAsia="en-US"/>
        </w:rPr>
        <w:t xml:space="preserve"> Dit vergroot het belang van verstandig begrotingsbeleid en van hervormingen die het aanbod in de economie vergroten. Meer economische dynamiek met ruimte voor innovatie en groeiende bedrijven draagt bij aan lagere inflatie op langere termijn. Bovendien kan een flexibele en dynamische economie zich sneller aanpassen aan aanbodschokken.</w:t>
      </w:r>
      <w:r w:rsidR="00E360FC">
        <w:rPr>
          <w:rFonts w:eastAsia="Calibri" w:cs="Times New Roman"/>
          <w:noProof/>
          <w:color w:val="auto"/>
          <w:lang w:eastAsia="en-US"/>
        </w:rPr>
        <w:t xml:space="preserve"> </w:t>
      </w:r>
    </w:p>
    <w:p w:rsidR="00280709" w:rsidP="00E66A9C" w:rsidRDefault="00AB56A6" w14:paraId="386C8BB8" w14:textId="77777777">
      <w:pPr>
        <w:autoSpaceDN/>
        <w:spacing w:after="160" w:line="259" w:lineRule="auto"/>
        <w:textAlignment w:val="auto"/>
        <w:rPr>
          <w:rFonts w:eastAsia="Calibri" w:cs="Times New Roman"/>
          <w:noProof/>
          <w:color w:val="auto"/>
          <w:lang w:eastAsia="en-US"/>
        </w:rPr>
      </w:pPr>
      <w:r>
        <w:rPr>
          <w:rFonts w:eastAsia="Calibri" w:cs="Times New Roman"/>
          <w:noProof/>
          <w:color w:val="auto"/>
          <w:lang w:eastAsia="en-US"/>
        </w:rPr>
        <w:t xml:space="preserve">Ook de internationale omgeving is van invloed op de ontwikkeling van de inflatie. Zo </w:t>
      </w:r>
      <w:r w:rsidRPr="00E66A9C" w:rsidR="00280709">
        <w:rPr>
          <w:rFonts w:eastAsia="Calibri" w:cs="Times New Roman"/>
          <w:noProof/>
          <w:color w:val="auto"/>
          <w:lang w:eastAsia="en-US"/>
        </w:rPr>
        <w:t>laten de energieprijzen een wisselend patroon zien. Het verdere verloop van de energieprijzen is afhankelijk van de ontwikkeling van de geopolitieke situatie en het risico op aanbodschokken</w:t>
      </w:r>
      <w:r w:rsidR="00280709">
        <w:rPr>
          <w:rFonts w:eastAsia="Calibri" w:cs="Times New Roman"/>
          <w:noProof/>
          <w:color w:val="auto"/>
          <w:lang w:eastAsia="en-US"/>
        </w:rPr>
        <w:t xml:space="preserve">. </w:t>
      </w:r>
      <w:r w:rsidR="00BF6CB5">
        <w:rPr>
          <w:rFonts w:eastAsia="Calibri" w:cs="Times New Roman"/>
          <w:noProof/>
          <w:color w:val="auto"/>
          <w:lang w:eastAsia="en-US"/>
        </w:rPr>
        <w:t>Daarnaast kan d</w:t>
      </w:r>
      <w:r w:rsidR="00280709">
        <w:rPr>
          <w:rFonts w:eastAsia="Calibri" w:cs="Times New Roman"/>
          <w:noProof/>
          <w:color w:val="auto"/>
          <w:lang w:eastAsia="en-US"/>
        </w:rPr>
        <w:t>e invoering van handelstarieven voor hogere inflatie zorgen</w:t>
      </w:r>
      <w:r w:rsidR="002D0F7B">
        <w:rPr>
          <w:rFonts w:eastAsia="Calibri" w:cs="Times New Roman"/>
          <w:noProof/>
          <w:color w:val="auto"/>
          <w:lang w:eastAsia="en-US"/>
        </w:rPr>
        <w:t>; veel is hier onzeker.</w:t>
      </w:r>
      <w:r w:rsidRPr="00E66A9C" w:rsidR="00280709">
        <w:rPr>
          <w:rFonts w:eastAsia="Calibri" w:cs="Times New Roman"/>
          <w:color w:val="auto"/>
          <w:lang w:eastAsia="en-US"/>
        </w:rPr>
        <w:t xml:space="preserve"> </w:t>
      </w:r>
    </w:p>
    <w:p w:rsidRPr="00E66A9C" w:rsidR="00E16285" w:rsidP="00E16285" w:rsidRDefault="00E16285" w14:paraId="3738D355" w14:textId="531B227D">
      <w:pPr>
        <w:autoSpaceDN/>
        <w:spacing w:after="160" w:line="259" w:lineRule="auto"/>
        <w:textAlignment w:val="auto"/>
        <w:rPr>
          <w:rFonts w:eastAsia="Verdana" w:cs="Verdana"/>
          <w:color w:val="auto"/>
          <w:lang w:eastAsia="en-US"/>
        </w:rPr>
      </w:pPr>
      <w:r>
        <w:rPr>
          <w:rFonts w:eastAsia="Verdana" w:cs="Verdana"/>
          <w:color w:val="auto"/>
          <w:lang w:eastAsia="en-US"/>
        </w:rPr>
        <w:t>Tabel 2 geeft de (verwachte) ontwikkeling weer voor de inflatie, de loonvorming en de koopkracht.</w:t>
      </w:r>
      <w:r w:rsidRPr="00E66A9C">
        <w:rPr>
          <w:rFonts w:eastAsia="Verdana" w:cs="Verdana"/>
          <w:color w:val="auto"/>
          <w:lang w:eastAsia="en-US"/>
        </w:rPr>
        <w:t xml:space="preserve"> </w:t>
      </w:r>
      <w:r w:rsidRPr="00CF21A4" w:rsidR="00CF21A4">
        <w:rPr>
          <w:rFonts w:eastAsia="Verdana" w:cs="Verdana"/>
          <w:color w:val="auto"/>
          <w:lang w:eastAsia="en-US"/>
        </w:rPr>
        <w:t xml:space="preserve">Daaruit blijkt dat de inflatie in 2024 lager uitviel dan geraamd bij de MEV. Voor 2025 raamt het CPB dezelfde inflatie als in de MEV, in 2026 raamt het CPB een lagere inflatie (0,4%-punt lager). Daarnaast is de koopkrachtontwikkeling zoals geraamd in het CEP zeer vergelijkbaar met de eerdere raming in de MEV voor 2025. Waar de MEV een mediane koopkrachtontwikkeling raamde voor +0,7%, wordt in </w:t>
      </w:r>
      <w:r w:rsidR="00B17DCD">
        <w:rPr>
          <w:rFonts w:eastAsia="Verdana" w:cs="Verdana"/>
          <w:color w:val="auto"/>
          <w:lang w:eastAsia="en-US"/>
        </w:rPr>
        <w:t>het</w:t>
      </w:r>
      <w:r w:rsidRPr="00CF21A4" w:rsidR="00CF21A4">
        <w:rPr>
          <w:rFonts w:eastAsia="Verdana" w:cs="Verdana"/>
          <w:color w:val="auto"/>
          <w:lang w:eastAsia="en-US"/>
        </w:rPr>
        <w:t xml:space="preserve"> CEP een ontwikkeling van +0,6% verwacht. Voor 2026 raamt </w:t>
      </w:r>
      <w:r w:rsidR="00B17DCD">
        <w:rPr>
          <w:rFonts w:eastAsia="Verdana" w:cs="Verdana"/>
          <w:color w:val="auto"/>
          <w:lang w:eastAsia="en-US"/>
        </w:rPr>
        <w:t>het</w:t>
      </w:r>
      <w:r w:rsidRPr="00CF21A4" w:rsidR="00CF21A4">
        <w:rPr>
          <w:rFonts w:eastAsia="Verdana" w:cs="Verdana"/>
          <w:color w:val="auto"/>
          <w:lang w:eastAsia="en-US"/>
        </w:rPr>
        <w:t xml:space="preserve"> CEP een positiever koopkrachtbeeld dan de MEV. Door de positieve bijstelling van de inflatie- en loonraming voor dat jaar, wordt een mediane ontwikkeling van +1,1% verwacht, wat 0,4%-punt meer is dan de MEV-raming.</w:t>
      </w:r>
    </w:p>
    <w:p w:rsidR="00EA1B72" w:rsidP="00E16285" w:rsidRDefault="00E16285" w14:paraId="1A103448" w14:textId="77777777">
      <w:pPr>
        <w:autoSpaceDN/>
        <w:spacing w:after="160" w:line="259" w:lineRule="auto"/>
        <w:textAlignment w:val="auto"/>
        <w:rPr>
          <w:rFonts w:eastAsia="Verdana" w:cs="Verdana"/>
          <w:color w:val="auto"/>
          <w:lang w:eastAsia="en-US"/>
        </w:rPr>
      </w:pPr>
      <w:r w:rsidRPr="00E66A9C">
        <w:rPr>
          <w:rFonts w:eastAsia="Verdana" w:cs="Verdana"/>
          <w:color w:val="auto"/>
          <w:lang w:eastAsia="en-US"/>
        </w:rPr>
        <w:t xml:space="preserve">Uiteraard staat het kabinet – zoals elk jaar – bij het opstellen van de begroting in augustus stil </w:t>
      </w:r>
      <w:r>
        <w:rPr>
          <w:rFonts w:eastAsia="Verdana" w:cs="Verdana"/>
          <w:color w:val="auto"/>
          <w:lang w:eastAsia="en-US"/>
        </w:rPr>
        <w:t xml:space="preserve">bij </w:t>
      </w:r>
      <w:r w:rsidRPr="00E66A9C">
        <w:rPr>
          <w:rFonts w:eastAsia="Verdana" w:cs="Verdana"/>
          <w:color w:val="auto"/>
          <w:lang w:eastAsia="en-US"/>
        </w:rPr>
        <w:t>de koopkrachtontwikkeling van verschillende groepen en wordt een integrale afweging gemaakt of en op welke manier het nemen van beleidsmaatregelen nodig is.</w:t>
      </w:r>
    </w:p>
    <w:p w:rsidRPr="00E66A9C" w:rsidR="00E16285" w:rsidP="00CF282A" w:rsidRDefault="00EA1B72" w14:paraId="7AB25DCF" w14:textId="77777777">
      <w:pPr>
        <w:spacing w:line="240" w:lineRule="auto"/>
        <w:rPr>
          <w:rFonts w:eastAsia="Verdana" w:cs="Verdana"/>
          <w:color w:val="auto"/>
          <w:lang w:eastAsia="en-US"/>
        </w:rPr>
      </w:pPr>
      <w:r>
        <w:rPr>
          <w:rFonts w:eastAsia="Verdana" w:cs="Verdana"/>
          <w:color w:val="auto"/>
          <w:lang w:eastAsia="en-US"/>
        </w:rPr>
        <w:br w:type="page"/>
      </w:r>
    </w:p>
    <w:p w:rsidRPr="00E66A9C" w:rsidR="00E16285" w:rsidP="00EA0D73" w:rsidRDefault="00E16285" w14:paraId="27C5BC1F" w14:textId="77777777">
      <w:pPr>
        <w:autoSpaceDN/>
        <w:spacing w:line="259" w:lineRule="auto"/>
        <w:textAlignment w:val="auto"/>
        <w:rPr>
          <w:rFonts w:eastAsia="Verdana" w:cs="Verdana"/>
          <w:color w:val="auto"/>
          <w:lang w:eastAsia="en-US"/>
        </w:rPr>
      </w:pPr>
      <w:r w:rsidRPr="00E66A9C">
        <w:rPr>
          <w:rFonts w:eastAsia="Verdana" w:cs="Verdana"/>
          <w:color w:val="auto"/>
          <w:lang w:eastAsia="en-US"/>
        </w:rPr>
        <w:lastRenderedPageBreak/>
        <w:t>Tabel 2. Raming inflatie en koopkracht</w:t>
      </w:r>
    </w:p>
    <w:tbl>
      <w:tblPr>
        <w:tblStyle w:val="Tabelraster2"/>
        <w:tblW w:w="7484" w:type="dxa"/>
        <w:tblInd w:w="-147" w:type="dxa"/>
        <w:tblCellMar>
          <w:left w:w="57" w:type="dxa"/>
          <w:right w:w="57" w:type="dxa"/>
        </w:tblCellMar>
        <w:tblLook w:val="04A0" w:firstRow="1" w:lastRow="0" w:firstColumn="1" w:lastColumn="0" w:noHBand="0" w:noVBand="1"/>
      </w:tblPr>
      <w:tblGrid>
        <w:gridCol w:w="2552"/>
        <w:gridCol w:w="822"/>
        <w:gridCol w:w="822"/>
        <w:gridCol w:w="822"/>
        <w:gridCol w:w="822"/>
        <w:gridCol w:w="822"/>
        <w:gridCol w:w="822"/>
      </w:tblGrid>
      <w:tr w:rsidRPr="00E66A9C" w:rsidR="00E16285" w:rsidTr="00CF282A" w14:paraId="35387B71" w14:textId="77777777">
        <w:trPr>
          <w:cnfStyle w:val="100000000000" w:firstRow="1" w:lastRow="0" w:firstColumn="0" w:lastColumn="0" w:oddVBand="0" w:evenVBand="0" w:oddHBand="0" w:evenHBand="0" w:firstRowFirstColumn="0" w:firstRowLastColumn="0" w:lastRowFirstColumn="0" w:lastRowLastColumn="0"/>
        </w:trPr>
        <w:tc>
          <w:tcPr>
            <w:tcW w:w="2552" w:type="dxa"/>
            <w:shd w:val="clear" w:color="auto" w:fill="auto"/>
            <w:vAlign w:val="center"/>
          </w:tcPr>
          <w:p w:rsidRPr="00E66A9C" w:rsidR="00E16285" w:rsidP="005322E2" w:rsidRDefault="00E16285" w14:paraId="67CEB6B8" w14:textId="77777777">
            <w:pPr>
              <w:spacing w:line="240" w:lineRule="exact"/>
              <w:jc w:val="center"/>
              <w:rPr>
                <w:i/>
                <w:iCs/>
                <w:sz w:val="16"/>
                <w:szCs w:val="16"/>
              </w:rPr>
            </w:pPr>
            <w:r w:rsidRPr="00E66A9C">
              <w:rPr>
                <w:i/>
                <w:iCs/>
                <w:sz w:val="16"/>
                <w:szCs w:val="16"/>
              </w:rPr>
              <w:t>Verandering (%)</w:t>
            </w:r>
          </w:p>
        </w:tc>
        <w:tc>
          <w:tcPr>
            <w:tcW w:w="822" w:type="dxa"/>
            <w:vAlign w:val="center"/>
          </w:tcPr>
          <w:p w:rsidRPr="00E66A9C" w:rsidR="00E16285" w:rsidP="005322E2" w:rsidRDefault="00E16285" w14:paraId="0044994C" w14:textId="77777777">
            <w:pPr>
              <w:spacing w:line="240" w:lineRule="exact"/>
              <w:jc w:val="center"/>
              <w:rPr>
                <w:b/>
                <w:bCs/>
                <w:sz w:val="16"/>
                <w:szCs w:val="16"/>
              </w:rPr>
            </w:pPr>
            <w:r w:rsidRPr="00E66A9C">
              <w:rPr>
                <w:b/>
                <w:bCs/>
                <w:sz w:val="16"/>
                <w:szCs w:val="16"/>
              </w:rPr>
              <w:t>2024</w:t>
            </w:r>
          </w:p>
          <w:p w:rsidRPr="00E66A9C" w:rsidR="00E16285" w:rsidP="005322E2" w:rsidRDefault="00E16285" w14:paraId="62B9B407" w14:textId="77777777">
            <w:pPr>
              <w:spacing w:line="240" w:lineRule="exact"/>
              <w:jc w:val="center"/>
              <w:rPr>
                <w:sz w:val="14"/>
                <w:szCs w:val="14"/>
              </w:rPr>
            </w:pPr>
            <w:r w:rsidRPr="00E66A9C">
              <w:rPr>
                <w:sz w:val="14"/>
                <w:szCs w:val="14"/>
              </w:rPr>
              <w:t>MEV 2025</w:t>
            </w:r>
          </w:p>
        </w:tc>
        <w:tc>
          <w:tcPr>
            <w:tcW w:w="822" w:type="dxa"/>
            <w:shd w:val="clear" w:color="auto" w:fill="DEEAF6"/>
            <w:vAlign w:val="center"/>
          </w:tcPr>
          <w:p w:rsidRPr="00E66A9C" w:rsidR="00E16285" w:rsidP="005322E2" w:rsidRDefault="00E16285" w14:paraId="093C4BF6" w14:textId="77777777">
            <w:pPr>
              <w:spacing w:line="240" w:lineRule="exact"/>
              <w:jc w:val="center"/>
              <w:rPr>
                <w:b/>
                <w:bCs/>
                <w:sz w:val="16"/>
                <w:szCs w:val="16"/>
              </w:rPr>
            </w:pPr>
            <w:r w:rsidRPr="00E66A9C">
              <w:rPr>
                <w:b/>
                <w:bCs/>
                <w:sz w:val="16"/>
                <w:szCs w:val="16"/>
              </w:rPr>
              <w:t>2024</w:t>
            </w:r>
          </w:p>
          <w:p w:rsidRPr="00E66A9C" w:rsidR="00E16285" w:rsidP="005322E2" w:rsidRDefault="00E16285" w14:paraId="693ACEF1" w14:textId="77777777">
            <w:pPr>
              <w:spacing w:line="240" w:lineRule="exact"/>
              <w:jc w:val="center"/>
              <w:rPr>
                <w:sz w:val="14"/>
                <w:szCs w:val="14"/>
              </w:rPr>
            </w:pPr>
            <w:r w:rsidRPr="00E66A9C">
              <w:rPr>
                <w:sz w:val="14"/>
                <w:szCs w:val="14"/>
              </w:rPr>
              <w:t>CEP 2025</w:t>
            </w:r>
          </w:p>
        </w:tc>
        <w:tc>
          <w:tcPr>
            <w:tcW w:w="822" w:type="dxa"/>
            <w:shd w:val="clear" w:color="auto" w:fill="auto"/>
            <w:vAlign w:val="center"/>
          </w:tcPr>
          <w:p w:rsidRPr="00E66A9C" w:rsidR="00E16285" w:rsidP="005322E2" w:rsidRDefault="00E16285" w14:paraId="1021E4B2" w14:textId="77777777">
            <w:pPr>
              <w:spacing w:line="240" w:lineRule="exact"/>
              <w:jc w:val="center"/>
              <w:rPr>
                <w:b/>
                <w:bCs/>
                <w:sz w:val="16"/>
                <w:szCs w:val="16"/>
              </w:rPr>
            </w:pPr>
            <w:r w:rsidRPr="00E66A9C">
              <w:rPr>
                <w:b/>
                <w:bCs/>
                <w:sz w:val="16"/>
                <w:szCs w:val="16"/>
              </w:rPr>
              <w:t>2025</w:t>
            </w:r>
          </w:p>
          <w:p w:rsidRPr="00E66A9C" w:rsidR="00E16285" w:rsidP="005322E2" w:rsidRDefault="00E16285" w14:paraId="7F4F3EC7" w14:textId="77777777">
            <w:pPr>
              <w:spacing w:line="240" w:lineRule="exact"/>
              <w:jc w:val="center"/>
              <w:rPr>
                <w:sz w:val="16"/>
                <w:szCs w:val="16"/>
              </w:rPr>
            </w:pPr>
            <w:r w:rsidRPr="00E66A9C">
              <w:rPr>
                <w:sz w:val="14"/>
                <w:szCs w:val="14"/>
              </w:rPr>
              <w:t>MEV 2025</w:t>
            </w:r>
          </w:p>
        </w:tc>
        <w:tc>
          <w:tcPr>
            <w:tcW w:w="822" w:type="dxa"/>
            <w:shd w:val="clear" w:color="auto" w:fill="DEEAF6"/>
            <w:vAlign w:val="center"/>
          </w:tcPr>
          <w:p w:rsidRPr="00E66A9C" w:rsidR="00E16285" w:rsidP="005322E2" w:rsidRDefault="00E16285" w14:paraId="1E284863" w14:textId="77777777">
            <w:pPr>
              <w:spacing w:line="240" w:lineRule="exact"/>
              <w:jc w:val="center"/>
              <w:rPr>
                <w:b/>
                <w:bCs/>
                <w:sz w:val="16"/>
                <w:szCs w:val="16"/>
              </w:rPr>
            </w:pPr>
            <w:r w:rsidRPr="00E66A9C">
              <w:rPr>
                <w:b/>
                <w:bCs/>
                <w:sz w:val="16"/>
                <w:szCs w:val="16"/>
              </w:rPr>
              <w:t>2025</w:t>
            </w:r>
          </w:p>
          <w:p w:rsidRPr="00E66A9C" w:rsidR="00E16285" w:rsidP="005322E2" w:rsidRDefault="00E16285" w14:paraId="0A6DCD9E" w14:textId="77777777">
            <w:pPr>
              <w:spacing w:line="240" w:lineRule="exact"/>
              <w:jc w:val="center"/>
              <w:rPr>
                <w:sz w:val="16"/>
                <w:szCs w:val="16"/>
              </w:rPr>
            </w:pPr>
            <w:r w:rsidRPr="00E66A9C">
              <w:rPr>
                <w:sz w:val="14"/>
                <w:szCs w:val="14"/>
              </w:rPr>
              <w:t>CEP 2025</w:t>
            </w:r>
          </w:p>
        </w:tc>
        <w:tc>
          <w:tcPr>
            <w:tcW w:w="822" w:type="dxa"/>
            <w:shd w:val="clear" w:color="auto" w:fill="auto"/>
            <w:vAlign w:val="center"/>
          </w:tcPr>
          <w:p w:rsidRPr="00E66A9C" w:rsidR="00E16285" w:rsidP="005322E2" w:rsidRDefault="00E16285" w14:paraId="3175DD19" w14:textId="77777777">
            <w:pPr>
              <w:spacing w:line="240" w:lineRule="exact"/>
              <w:jc w:val="center"/>
              <w:rPr>
                <w:b/>
                <w:bCs/>
                <w:sz w:val="16"/>
                <w:szCs w:val="16"/>
              </w:rPr>
            </w:pPr>
            <w:r w:rsidRPr="00E66A9C">
              <w:rPr>
                <w:b/>
                <w:bCs/>
                <w:sz w:val="16"/>
                <w:szCs w:val="16"/>
              </w:rPr>
              <w:t>2026</w:t>
            </w:r>
          </w:p>
          <w:p w:rsidRPr="00E66A9C" w:rsidR="00E16285" w:rsidP="005322E2" w:rsidRDefault="00E16285" w14:paraId="11AFD27D" w14:textId="77777777">
            <w:pPr>
              <w:spacing w:line="240" w:lineRule="exact"/>
              <w:jc w:val="center"/>
              <w:rPr>
                <w:sz w:val="14"/>
                <w:szCs w:val="14"/>
              </w:rPr>
            </w:pPr>
            <w:r w:rsidRPr="00E66A9C">
              <w:rPr>
                <w:sz w:val="14"/>
                <w:szCs w:val="14"/>
              </w:rPr>
              <w:t>MEV 2025</w:t>
            </w:r>
          </w:p>
        </w:tc>
        <w:tc>
          <w:tcPr>
            <w:tcW w:w="822" w:type="dxa"/>
            <w:shd w:val="clear" w:color="auto" w:fill="DEEAF6"/>
            <w:vAlign w:val="center"/>
          </w:tcPr>
          <w:p w:rsidRPr="00E66A9C" w:rsidR="00E16285" w:rsidP="005322E2" w:rsidRDefault="00E16285" w14:paraId="212AC70D" w14:textId="77777777">
            <w:pPr>
              <w:spacing w:line="240" w:lineRule="exact"/>
              <w:jc w:val="center"/>
              <w:rPr>
                <w:b/>
                <w:bCs/>
                <w:sz w:val="16"/>
                <w:szCs w:val="16"/>
              </w:rPr>
            </w:pPr>
            <w:r w:rsidRPr="00E66A9C">
              <w:rPr>
                <w:b/>
                <w:bCs/>
                <w:sz w:val="16"/>
                <w:szCs w:val="16"/>
              </w:rPr>
              <w:t>2026</w:t>
            </w:r>
          </w:p>
          <w:p w:rsidRPr="00E66A9C" w:rsidR="00E16285" w:rsidP="005322E2" w:rsidRDefault="00E16285" w14:paraId="0122F5B3" w14:textId="77777777">
            <w:pPr>
              <w:spacing w:line="240" w:lineRule="exact"/>
              <w:jc w:val="center"/>
              <w:rPr>
                <w:sz w:val="14"/>
                <w:szCs w:val="14"/>
              </w:rPr>
            </w:pPr>
            <w:r w:rsidRPr="00E66A9C">
              <w:rPr>
                <w:sz w:val="14"/>
                <w:szCs w:val="14"/>
              </w:rPr>
              <w:t>CEP 2025</w:t>
            </w:r>
          </w:p>
        </w:tc>
      </w:tr>
      <w:tr w:rsidRPr="00E66A9C" w:rsidR="00CF21A4" w:rsidTr="00CF282A" w14:paraId="2A1A453B" w14:textId="77777777">
        <w:tc>
          <w:tcPr>
            <w:tcW w:w="2552" w:type="dxa"/>
          </w:tcPr>
          <w:p w:rsidRPr="00E66A9C" w:rsidR="00CF21A4" w:rsidP="00CF21A4" w:rsidRDefault="00CF21A4" w14:paraId="52E4665B" w14:textId="77777777">
            <w:pPr>
              <w:spacing w:line="240" w:lineRule="exact"/>
              <w:rPr>
                <w:sz w:val="16"/>
                <w:szCs w:val="16"/>
              </w:rPr>
            </w:pPr>
            <w:r w:rsidRPr="00E66A9C">
              <w:rPr>
                <w:sz w:val="16"/>
                <w:szCs w:val="16"/>
              </w:rPr>
              <w:t>Inflatie (CPI)</w:t>
            </w:r>
          </w:p>
        </w:tc>
        <w:tc>
          <w:tcPr>
            <w:tcW w:w="822" w:type="dxa"/>
          </w:tcPr>
          <w:p w:rsidRPr="00E66A9C" w:rsidR="00CF21A4" w:rsidP="00EA0D73" w:rsidRDefault="00CF21A4" w14:paraId="1F37A144" w14:textId="77777777">
            <w:pPr>
              <w:spacing w:line="240" w:lineRule="exact"/>
              <w:jc w:val="center"/>
              <w:rPr>
                <w:sz w:val="16"/>
                <w:szCs w:val="16"/>
              </w:rPr>
            </w:pPr>
            <w:r>
              <w:rPr>
                <w:sz w:val="16"/>
                <w:szCs w:val="16"/>
              </w:rPr>
              <w:t>3,6</w:t>
            </w:r>
          </w:p>
        </w:tc>
        <w:tc>
          <w:tcPr>
            <w:tcW w:w="822" w:type="dxa"/>
            <w:shd w:val="clear" w:color="auto" w:fill="DEEAF6"/>
          </w:tcPr>
          <w:p w:rsidRPr="00E66A9C" w:rsidR="00CF21A4" w:rsidP="00EA0D73" w:rsidRDefault="00CF21A4" w14:paraId="34327496" w14:textId="77777777">
            <w:pPr>
              <w:spacing w:line="240" w:lineRule="exact"/>
              <w:jc w:val="center"/>
              <w:rPr>
                <w:sz w:val="16"/>
                <w:szCs w:val="16"/>
              </w:rPr>
            </w:pPr>
            <w:r>
              <w:rPr>
                <w:sz w:val="16"/>
                <w:szCs w:val="16"/>
              </w:rPr>
              <w:t>3,3</w:t>
            </w:r>
          </w:p>
        </w:tc>
        <w:tc>
          <w:tcPr>
            <w:tcW w:w="822" w:type="dxa"/>
          </w:tcPr>
          <w:p w:rsidRPr="00E66A9C" w:rsidR="00CF21A4" w:rsidP="00EA0D73" w:rsidRDefault="00CF21A4" w14:paraId="0EAF71E4" w14:textId="77777777">
            <w:pPr>
              <w:spacing w:line="240" w:lineRule="exact"/>
              <w:jc w:val="center"/>
              <w:rPr>
                <w:sz w:val="16"/>
                <w:szCs w:val="16"/>
              </w:rPr>
            </w:pPr>
            <w:r w:rsidRPr="00E66A9C">
              <w:rPr>
                <w:sz w:val="16"/>
                <w:szCs w:val="16"/>
              </w:rPr>
              <w:t>3,2</w:t>
            </w:r>
          </w:p>
        </w:tc>
        <w:tc>
          <w:tcPr>
            <w:tcW w:w="822" w:type="dxa"/>
            <w:shd w:val="clear" w:color="auto" w:fill="DEEAF6"/>
          </w:tcPr>
          <w:p w:rsidRPr="00E66A9C" w:rsidR="00CF21A4" w:rsidP="00EA0D73" w:rsidRDefault="00CF21A4" w14:paraId="7BB0F1AB" w14:textId="77777777">
            <w:pPr>
              <w:spacing w:line="240" w:lineRule="exact"/>
              <w:jc w:val="center"/>
              <w:rPr>
                <w:sz w:val="16"/>
                <w:szCs w:val="16"/>
              </w:rPr>
            </w:pPr>
            <w:r>
              <w:rPr>
                <w:sz w:val="16"/>
                <w:szCs w:val="16"/>
              </w:rPr>
              <w:t>3,2</w:t>
            </w:r>
          </w:p>
        </w:tc>
        <w:tc>
          <w:tcPr>
            <w:tcW w:w="822" w:type="dxa"/>
          </w:tcPr>
          <w:p w:rsidRPr="00E66A9C" w:rsidR="00CF21A4" w:rsidP="00EA0D73" w:rsidRDefault="00CF21A4" w14:paraId="4E343604" w14:textId="77777777">
            <w:pPr>
              <w:spacing w:line="240" w:lineRule="exact"/>
              <w:jc w:val="center"/>
              <w:rPr>
                <w:sz w:val="16"/>
                <w:szCs w:val="16"/>
              </w:rPr>
            </w:pPr>
            <w:r w:rsidRPr="00E66A9C">
              <w:rPr>
                <w:sz w:val="16"/>
                <w:szCs w:val="16"/>
              </w:rPr>
              <w:t>3,0</w:t>
            </w:r>
          </w:p>
        </w:tc>
        <w:tc>
          <w:tcPr>
            <w:tcW w:w="822" w:type="dxa"/>
            <w:shd w:val="clear" w:color="auto" w:fill="DEEAF6"/>
          </w:tcPr>
          <w:p w:rsidRPr="00E66A9C" w:rsidR="00CF21A4" w:rsidP="00EA0D73" w:rsidRDefault="00CF21A4" w14:paraId="44090BE6" w14:textId="77777777">
            <w:pPr>
              <w:spacing w:line="240" w:lineRule="exact"/>
              <w:jc w:val="center"/>
              <w:rPr>
                <w:sz w:val="16"/>
                <w:szCs w:val="16"/>
              </w:rPr>
            </w:pPr>
            <w:r>
              <w:rPr>
                <w:sz w:val="16"/>
                <w:szCs w:val="16"/>
              </w:rPr>
              <w:t>2,6</w:t>
            </w:r>
          </w:p>
        </w:tc>
      </w:tr>
      <w:tr w:rsidRPr="00E66A9C" w:rsidR="00CF21A4" w:rsidTr="00CF282A" w14:paraId="0ABE35F6" w14:textId="77777777">
        <w:tc>
          <w:tcPr>
            <w:tcW w:w="2552" w:type="dxa"/>
          </w:tcPr>
          <w:p w:rsidRPr="00E66A9C" w:rsidR="00CF21A4" w:rsidP="00CF21A4" w:rsidRDefault="00CF21A4" w14:paraId="4CDEB7A2" w14:textId="77777777">
            <w:pPr>
              <w:spacing w:line="240" w:lineRule="exact"/>
              <w:rPr>
                <w:sz w:val="16"/>
                <w:szCs w:val="16"/>
              </w:rPr>
            </w:pPr>
            <w:r w:rsidRPr="00E66A9C">
              <w:rPr>
                <w:sz w:val="16"/>
                <w:szCs w:val="16"/>
              </w:rPr>
              <w:t xml:space="preserve">Contractlonen </w:t>
            </w:r>
            <w:r>
              <w:rPr>
                <w:sz w:val="16"/>
                <w:szCs w:val="16"/>
              </w:rPr>
              <w:t>bedrijven</w:t>
            </w:r>
          </w:p>
        </w:tc>
        <w:tc>
          <w:tcPr>
            <w:tcW w:w="822" w:type="dxa"/>
          </w:tcPr>
          <w:p w:rsidRPr="00E66A9C" w:rsidR="00CF21A4" w:rsidP="00EA0D73" w:rsidRDefault="00CF21A4" w14:paraId="17379B78" w14:textId="77777777">
            <w:pPr>
              <w:spacing w:line="240" w:lineRule="exact"/>
              <w:jc w:val="center"/>
              <w:rPr>
                <w:sz w:val="16"/>
                <w:szCs w:val="16"/>
              </w:rPr>
            </w:pPr>
            <w:r>
              <w:rPr>
                <w:sz w:val="16"/>
                <w:szCs w:val="16"/>
              </w:rPr>
              <w:t>6,6</w:t>
            </w:r>
          </w:p>
        </w:tc>
        <w:tc>
          <w:tcPr>
            <w:tcW w:w="822" w:type="dxa"/>
            <w:shd w:val="clear" w:color="auto" w:fill="DEEAF6"/>
          </w:tcPr>
          <w:p w:rsidRPr="00E66A9C" w:rsidR="00CF21A4" w:rsidP="00EA0D73" w:rsidRDefault="00CF21A4" w14:paraId="4B54075C" w14:textId="77777777">
            <w:pPr>
              <w:spacing w:line="240" w:lineRule="exact"/>
              <w:jc w:val="center"/>
              <w:rPr>
                <w:sz w:val="16"/>
                <w:szCs w:val="16"/>
              </w:rPr>
            </w:pPr>
            <w:r>
              <w:rPr>
                <w:sz w:val="16"/>
                <w:szCs w:val="16"/>
              </w:rPr>
              <w:t>6,7</w:t>
            </w:r>
          </w:p>
        </w:tc>
        <w:tc>
          <w:tcPr>
            <w:tcW w:w="822" w:type="dxa"/>
          </w:tcPr>
          <w:p w:rsidRPr="00E66A9C" w:rsidR="00CF21A4" w:rsidP="00EA0D73" w:rsidRDefault="00CF21A4" w14:paraId="71AB3A2C" w14:textId="77777777">
            <w:pPr>
              <w:spacing w:line="240" w:lineRule="exact"/>
              <w:jc w:val="center"/>
              <w:rPr>
                <w:sz w:val="16"/>
                <w:szCs w:val="16"/>
              </w:rPr>
            </w:pPr>
            <w:r w:rsidRPr="00E66A9C">
              <w:rPr>
                <w:sz w:val="16"/>
                <w:szCs w:val="16"/>
              </w:rPr>
              <w:t>4,3</w:t>
            </w:r>
          </w:p>
        </w:tc>
        <w:tc>
          <w:tcPr>
            <w:tcW w:w="822" w:type="dxa"/>
            <w:shd w:val="clear" w:color="auto" w:fill="DEEAF6"/>
          </w:tcPr>
          <w:p w:rsidRPr="00E66A9C" w:rsidR="00CF21A4" w:rsidP="00EA0D73" w:rsidRDefault="00CF21A4" w14:paraId="50E39D73" w14:textId="77777777">
            <w:pPr>
              <w:spacing w:line="240" w:lineRule="exact"/>
              <w:jc w:val="center"/>
              <w:rPr>
                <w:sz w:val="16"/>
                <w:szCs w:val="16"/>
              </w:rPr>
            </w:pPr>
            <w:r>
              <w:rPr>
                <w:sz w:val="16"/>
                <w:szCs w:val="16"/>
              </w:rPr>
              <w:t>4,8</w:t>
            </w:r>
          </w:p>
        </w:tc>
        <w:tc>
          <w:tcPr>
            <w:tcW w:w="822" w:type="dxa"/>
          </w:tcPr>
          <w:p w:rsidRPr="00E66A9C" w:rsidR="00CF21A4" w:rsidP="00EA0D73" w:rsidRDefault="00CF21A4" w14:paraId="471C1B2B" w14:textId="77777777">
            <w:pPr>
              <w:spacing w:line="240" w:lineRule="exact"/>
              <w:jc w:val="center"/>
              <w:rPr>
                <w:sz w:val="16"/>
                <w:szCs w:val="16"/>
              </w:rPr>
            </w:pPr>
            <w:r>
              <w:rPr>
                <w:sz w:val="16"/>
                <w:szCs w:val="16"/>
              </w:rPr>
              <w:t>3,7</w:t>
            </w:r>
          </w:p>
        </w:tc>
        <w:tc>
          <w:tcPr>
            <w:tcW w:w="822" w:type="dxa"/>
            <w:shd w:val="clear" w:color="auto" w:fill="DEEAF6"/>
          </w:tcPr>
          <w:p w:rsidRPr="00E66A9C" w:rsidR="00CF21A4" w:rsidP="00EA0D73" w:rsidRDefault="00CF21A4" w14:paraId="1C4B2B06" w14:textId="77777777">
            <w:pPr>
              <w:spacing w:line="240" w:lineRule="exact"/>
              <w:jc w:val="center"/>
              <w:rPr>
                <w:sz w:val="16"/>
                <w:szCs w:val="16"/>
              </w:rPr>
            </w:pPr>
            <w:r>
              <w:rPr>
                <w:sz w:val="16"/>
                <w:szCs w:val="16"/>
              </w:rPr>
              <w:t>4,2</w:t>
            </w:r>
          </w:p>
        </w:tc>
      </w:tr>
      <w:tr w:rsidRPr="00E66A9C" w:rsidR="00CF21A4" w:rsidTr="00CF282A" w14:paraId="4CD4B53B" w14:textId="77777777">
        <w:tc>
          <w:tcPr>
            <w:tcW w:w="2552" w:type="dxa"/>
          </w:tcPr>
          <w:p w:rsidRPr="00E66A9C" w:rsidR="00CF21A4" w:rsidP="00CF21A4" w:rsidRDefault="00CF21A4" w14:paraId="3E28DB5C" w14:textId="77777777">
            <w:pPr>
              <w:spacing w:line="240" w:lineRule="exact"/>
              <w:rPr>
                <w:sz w:val="16"/>
                <w:szCs w:val="16"/>
              </w:rPr>
            </w:pPr>
            <w:r w:rsidRPr="00E66A9C">
              <w:rPr>
                <w:sz w:val="16"/>
                <w:szCs w:val="16"/>
              </w:rPr>
              <w:t>Koopkracht: alle huishoudens</w:t>
            </w:r>
          </w:p>
        </w:tc>
        <w:tc>
          <w:tcPr>
            <w:tcW w:w="822" w:type="dxa"/>
          </w:tcPr>
          <w:p w:rsidRPr="00E66A9C" w:rsidR="00CF21A4" w:rsidP="00EA0D73" w:rsidRDefault="00CF21A4" w14:paraId="40742CB7" w14:textId="77777777">
            <w:pPr>
              <w:spacing w:line="240" w:lineRule="exact"/>
              <w:jc w:val="center"/>
              <w:rPr>
                <w:sz w:val="16"/>
                <w:szCs w:val="16"/>
              </w:rPr>
            </w:pPr>
            <w:r>
              <w:rPr>
                <w:sz w:val="16"/>
                <w:szCs w:val="16"/>
              </w:rPr>
              <w:t>2,5</w:t>
            </w:r>
          </w:p>
        </w:tc>
        <w:tc>
          <w:tcPr>
            <w:tcW w:w="822" w:type="dxa"/>
            <w:shd w:val="clear" w:color="auto" w:fill="DEEAF6"/>
          </w:tcPr>
          <w:p w:rsidRPr="00E66A9C" w:rsidR="00CF21A4" w:rsidP="00EA0D73" w:rsidRDefault="00CF21A4" w14:paraId="43E44F95" w14:textId="77777777">
            <w:pPr>
              <w:spacing w:line="240" w:lineRule="exact"/>
              <w:jc w:val="center"/>
              <w:rPr>
                <w:sz w:val="16"/>
                <w:szCs w:val="16"/>
              </w:rPr>
            </w:pPr>
            <w:r>
              <w:rPr>
                <w:sz w:val="16"/>
                <w:szCs w:val="16"/>
              </w:rPr>
              <w:t>2,9</w:t>
            </w:r>
          </w:p>
        </w:tc>
        <w:tc>
          <w:tcPr>
            <w:tcW w:w="822" w:type="dxa"/>
          </w:tcPr>
          <w:p w:rsidRPr="00E66A9C" w:rsidR="00CF21A4" w:rsidP="00EA0D73" w:rsidRDefault="00CF21A4" w14:paraId="28CDDE92" w14:textId="77777777">
            <w:pPr>
              <w:spacing w:line="240" w:lineRule="exact"/>
              <w:jc w:val="center"/>
              <w:rPr>
                <w:sz w:val="16"/>
                <w:szCs w:val="16"/>
              </w:rPr>
            </w:pPr>
            <w:r w:rsidRPr="00E66A9C">
              <w:rPr>
                <w:sz w:val="16"/>
                <w:szCs w:val="16"/>
              </w:rPr>
              <w:t>0,7</w:t>
            </w:r>
          </w:p>
        </w:tc>
        <w:tc>
          <w:tcPr>
            <w:tcW w:w="822" w:type="dxa"/>
            <w:shd w:val="clear" w:color="auto" w:fill="DEEAF6"/>
          </w:tcPr>
          <w:p w:rsidRPr="00E66A9C" w:rsidR="00CF21A4" w:rsidP="00EA0D73" w:rsidRDefault="00CF21A4" w14:paraId="7CE05FE7" w14:textId="77777777">
            <w:pPr>
              <w:spacing w:line="240" w:lineRule="exact"/>
              <w:jc w:val="center"/>
              <w:rPr>
                <w:sz w:val="16"/>
                <w:szCs w:val="16"/>
              </w:rPr>
            </w:pPr>
            <w:r>
              <w:rPr>
                <w:sz w:val="16"/>
                <w:szCs w:val="16"/>
              </w:rPr>
              <w:t>0,6</w:t>
            </w:r>
          </w:p>
        </w:tc>
        <w:tc>
          <w:tcPr>
            <w:tcW w:w="822" w:type="dxa"/>
          </w:tcPr>
          <w:p w:rsidRPr="00E66A9C" w:rsidR="00CF21A4" w:rsidP="00EA0D73" w:rsidRDefault="00CF21A4" w14:paraId="46CC0B17" w14:textId="77777777">
            <w:pPr>
              <w:spacing w:line="240" w:lineRule="exact"/>
              <w:jc w:val="center"/>
              <w:rPr>
                <w:sz w:val="16"/>
                <w:szCs w:val="16"/>
              </w:rPr>
            </w:pPr>
            <w:r>
              <w:rPr>
                <w:sz w:val="16"/>
                <w:szCs w:val="16"/>
              </w:rPr>
              <w:t>0,7</w:t>
            </w:r>
          </w:p>
        </w:tc>
        <w:tc>
          <w:tcPr>
            <w:tcW w:w="822" w:type="dxa"/>
            <w:shd w:val="clear" w:color="auto" w:fill="DEEAF6"/>
          </w:tcPr>
          <w:p w:rsidRPr="00E66A9C" w:rsidR="00CF21A4" w:rsidP="00EA0D73" w:rsidRDefault="00CF21A4" w14:paraId="1CD25A08" w14:textId="77777777">
            <w:pPr>
              <w:spacing w:line="240" w:lineRule="exact"/>
              <w:jc w:val="center"/>
              <w:rPr>
                <w:sz w:val="16"/>
                <w:szCs w:val="16"/>
              </w:rPr>
            </w:pPr>
            <w:r>
              <w:rPr>
                <w:sz w:val="16"/>
                <w:szCs w:val="16"/>
              </w:rPr>
              <w:t>1,1</w:t>
            </w:r>
          </w:p>
        </w:tc>
      </w:tr>
      <w:tr w:rsidRPr="00E66A9C" w:rsidR="00CF21A4" w:rsidTr="00CF282A" w14:paraId="1C1EA1F7" w14:textId="77777777">
        <w:tc>
          <w:tcPr>
            <w:tcW w:w="2552" w:type="dxa"/>
          </w:tcPr>
          <w:p w:rsidRPr="00E66A9C" w:rsidR="00CF21A4" w:rsidP="00CF21A4" w:rsidRDefault="00CF21A4" w14:paraId="1739677C" w14:textId="77777777">
            <w:pPr>
              <w:spacing w:line="240" w:lineRule="exact"/>
              <w:rPr>
                <w:sz w:val="16"/>
                <w:szCs w:val="16"/>
              </w:rPr>
            </w:pPr>
            <w:r w:rsidRPr="00E66A9C">
              <w:rPr>
                <w:sz w:val="16"/>
                <w:szCs w:val="16"/>
              </w:rPr>
              <w:t>Koopkracht: werkenden</w:t>
            </w:r>
          </w:p>
        </w:tc>
        <w:tc>
          <w:tcPr>
            <w:tcW w:w="822" w:type="dxa"/>
          </w:tcPr>
          <w:p w:rsidRPr="00E66A9C" w:rsidR="00CF21A4" w:rsidP="00EA0D73" w:rsidRDefault="00CF21A4" w14:paraId="1043CBBA" w14:textId="77777777">
            <w:pPr>
              <w:spacing w:line="240" w:lineRule="exact"/>
              <w:jc w:val="center"/>
              <w:rPr>
                <w:sz w:val="16"/>
                <w:szCs w:val="16"/>
              </w:rPr>
            </w:pPr>
            <w:r>
              <w:rPr>
                <w:sz w:val="16"/>
                <w:szCs w:val="16"/>
              </w:rPr>
              <w:t>2,8</w:t>
            </w:r>
          </w:p>
        </w:tc>
        <w:tc>
          <w:tcPr>
            <w:tcW w:w="822" w:type="dxa"/>
            <w:shd w:val="clear" w:color="auto" w:fill="DEEAF6"/>
          </w:tcPr>
          <w:p w:rsidRPr="00E66A9C" w:rsidR="00CF21A4" w:rsidP="00EA0D73" w:rsidRDefault="00CF21A4" w14:paraId="13EB6395" w14:textId="77777777">
            <w:pPr>
              <w:spacing w:line="240" w:lineRule="exact"/>
              <w:jc w:val="center"/>
              <w:rPr>
                <w:sz w:val="16"/>
                <w:szCs w:val="16"/>
              </w:rPr>
            </w:pPr>
            <w:r>
              <w:rPr>
                <w:sz w:val="16"/>
                <w:szCs w:val="16"/>
              </w:rPr>
              <w:t>3,2</w:t>
            </w:r>
          </w:p>
        </w:tc>
        <w:tc>
          <w:tcPr>
            <w:tcW w:w="822" w:type="dxa"/>
          </w:tcPr>
          <w:p w:rsidRPr="00E66A9C" w:rsidR="00CF21A4" w:rsidP="00EA0D73" w:rsidRDefault="00CF21A4" w14:paraId="485809C5" w14:textId="77777777">
            <w:pPr>
              <w:spacing w:line="240" w:lineRule="exact"/>
              <w:jc w:val="center"/>
              <w:rPr>
                <w:sz w:val="16"/>
                <w:szCs w:val="16"/>
              </w:rPr>
            </w:pPr>
            <w:r w:rsidRPr="00E66A9C">
              <w:rPr>
                <w:sz w:val="16"/>
                <w:szCs w:val="16"/>
              </w:rPr>
              <w:t>0,7</w:t>
            </w:r>
          </w:p>
        </w:tc>
        <w:tc>
          <w:tcPr>
            <w:tcW w:w="822" w:type="dxa"/>
            <w:shd w:val="clear" w:color="auto" w:fill="DEEAF6"/>
          </w:tcPr>
          <w:p w:rsidRPr="00E66A9C" w:rsidR="00CF21A4" w:rsidP="00EA0D73" w:rsidRDefault="00CF21A4" w14:paraId="747B9EB5" w14:textId="77777777">
            <w:pPr>
              <w:spacing w:line="240" w:lineRule="exact"/>
              <w:jc w:val="center"/>
              <w:rPr>
                <w:sz w:val="16"/>
                <w:szCs w:val="16"/>
              </w:rPr>
            </w:pPr>
            <w:r>
              <w:rPr>
                <w:sz w:val="16"/>
                <w:szCs w:val="16"/>
              </w:rPr>
              <w:t>0,8</w:t>
            </w:r>
          </w:p>
        </w:tc>
        <w:tc>
          <w:tcPr>
            <w:tcW w:w="822" w:type="dxa"/>
          </w:tcPr>
          <w:p w:rsidRPr="00E66A9C" w:rsidR="00CF21A4" w:rsidP="00EA0D73" w:rsidRDefault="00CF21A4" w14:paraId="45848548" w14:textId="77777777">
            <w:pPr>
              <w:spacing w:line="240" w:lineRule="exact"/>
              <w:jc w:val="center"/>
              <w:rPr>
                <w:sz w:val="16"/>
                <w:szCs w:val="16"/>
              </w:rPr>
            </w:pPr>
            <w:r>
              <w:rPr>
                <w:sz w:val="16"/>
                <w:szCs w:val="16"/>
              </w:rPr>
              <w:t>0,6</w:t>
            </w:r>
          </w:p>
        </w:tc>
        <w:tc>
          <w:tcPr>
            <w:tcW w:w="822" w:type="dxa"/>
            <w:shd w:val="clear" w:color="auto" w:fill="DEEAF6"/>
          </w:tcPr>
          <w:p w:rsidRPr="00E66A9C" w:rsidR="00CF21A4" w:rsidP="00EA0D73" w:rsidRDefault="00CF21A4" w14:paraId="07F9FAFE" w14:textId="77777777">
            <w:pPr>
              <w:spacing w:line="240" w:lineRule="exact"/>
              <w:jc w:val="center"/>
              <w:rPr>
                <w:sz w:val="16"/>
                <w:szCs w:val="16"/>
              </w:rPr>
            </w:pPr>
            <w:r>
              <w:rPr>
                <w:sz w:val="16"/>
                <w:szCs w:val="16"/>
              </w:rPr>
              <w:t>1,0</w:t>
            </w:r>
          </w:p>
        </w:tc>
      </w:tr>
      <w:tr w:rsidRPr="00E66A9C" w:rsidR="00CF21A4" w:rsidTr="00CF282A" w14:paraId="3E87434C" w14:textId="77777777">
        <w:trPr>
          <w:trHeight w:val="70"/>
        </w:trPr>
        <w:tc>
          <w:tcPr>
            <w:tcW w:w="2552" w:type="dxa"/>
          </w:tcPr>
          <w:p w:rsidRPr="00E66A9C" w:rsidR="00CF21A4" w:rsidP="00CF21A4" w:rsidRDefault="00CF21A4" w14:paraId="5E384357" w14:textId="77777777">
            <w:pPr>
              <w:spacing w:line="240" w:lineRule="exact"/>
              <w:rPr>
                <w:sz w:val="16"/>
                <w:szCs w:val="16"/>
              </w:rPr>
            </w:pPr>
            <w:r w:rsidRPr="00E66A9C">
              <w:rPr>
                <w:sz w:val="16"/>
                <w:szCs w:val="16"/>
              </w:rPr>
              <w:t>Koopkracht: uitkeringsgerechtigden</w:t>
            </w:r>
          </w:p>
        </w:tc>
        <w:tc>
          <w:tcPr>
            <w:tcW w:w="822" w:type="dxa"/>
          </w:tcPr>
          <w:p w:rsidRPr="00E66A9C" w:rsidR="00CF21A4" w:rsidP="00EA0D73" w:rsidRDefault="00CF21A4" w14:paraId="2F7C4CCE" w14:textId="77777777">
            <w:pPr>
              <w:spacing w:line="240" w:lineRule="exact"/>
              <w:jc w:val="center"/>
              <w:rPr>
                <w:sz w:val="16"/>
                <w:szCs w:val="16"/>
              </w:rPr>
            </w:pPr>
            <w:r>
              <w:rPr>
                <w:sz w:val="16"/>
                <w:szCs w:val="16"/>
              </w:rPr>
              <w:t>1,1</w:t>
            </w:r>
          </w:p>
        </w:tc>
        <w:tc>
          <w:tcPr>
            <w:tcW w:w="822" w:type="dxa"/>
            <w:shd w:val="clear" w:color="auto" w:fill="DEEAF6"/>
          </w:tcPr>
          <w:p w:rsidRPr="00E66A9C" w:rsidR="00CF21A4" w:rsidP="00EA0D73" w:rsidRDefault="00CF21A4" w14:paraId="4E9B3967" w14:textId="77777777">
            <w:pPr>
              <w:spacing w:line="240" w:lineRule="exact"/>
              <w:jc w:val="center"/>
              <w:rPr>
                <w:sz w:val="16"/>
                <w:szCs w:val="16"/>
              </w:rPr>
            </w:pPr>
            <w:r>
              <w:rPr>
                <w:sz w:val="16"/>
                <w:szCs w:val="16"/>
              </w:rPr>
              <w:t>0,9</w:t>
            </w:r>
          </w:p>
        </w:tc>
        <w:tc>
          <w:tcPr>
            <w:tcW w:w="822" w:type="dxa"/>
          </w:tcPr>
          <w:p w:rsidRPr="00E66A9C" w:rsidR="00CF21A4" w:rsidP="00EA0D73" w:rsidRDefault="00CF21A4" w14:paraId="33F5F198" w14:textId="77777777">
            <w:pPr>
              <w:spacing w:line="240" w:lineRule="exact"/>
              <w:jc w:val="center"/>
              <w:rPr>
                <w:sz w:val="16"/>
                <w:szCs w:val="16"/>
              </w:rPr>
            </w:pPr>
            <w:r w:rsidRPr="00E66A9C">
              <w:rPr>
                <w:sz w:val="16"/>
                <w:szCs w:val="16"/>
              </w:rPr>
              <w:t>0,9</w:t>
            </w:r>
          </w:p>
        </w:tc>
        <w:tc>
          <w:tcPr>
            <w:tcW w:w="822" w:type="dxa"/>
            <w:shd w:val="clear" w:color="auto" w:fill="DEEAF6"/>
          </w:tcPr>
          <w:p w:rsidRPr="00E66A9C" w:rsidR="00CF21A4" w:rsidP="00EA0D73" w:rsidRDefault="00CF21A4" w14:paraId="7D423180" w14:textId="77777777">
            <w:pPr>
              <w:spacing w:line="240" w:lineRule="exact"/>
              <w:jc w:val="center"/>
              <w:rPr>
                <w:sz w:val="16"/>
                <w:szCs w:val="16"/>
              </w:rPr>
            </w:pPr>
            <w:r>
              <w:rPr>
                <w:sz w:val="16"/>
                <w:szCs w:val="16"/>
              </w:rPr>
              <w:t>1,0</w:t>
            </w:r>
          </w:p>
        </w:tc>
        <w:tc>
          <w:tcPr>
            <w:tcW w:w="822" w:type="dxa"/>
          </w:tcPr>
          <w:p w:rsidRPr="00E66A9C" w:rsidR="00CF21A4" w:rsidP="00EA0D73" w:rsidRDefault="00CF21A4" w14:paraId="6F72012B" w14:textId="77777777">
            <w:pPr>
              <w:spacing w:line="240" w:lineRule="exact"/>
              <w:jc w:val="center"/>
              <w:rPr>
                <w:sz w:val="16"/>
                <w:szCs w:val="16"/>
              </w:rPr>
            </w:pPr>
            <w:r>
              <w:rPr>
                <w:sz w:val="16"/>
                <w:szCs w:val="16"/>
              </w:rPr>
              <w:t>0,8</w:t>
            </w:r>
          </w:p>
        </w:tc>
        <w:tc>
          <w:tcPr>
            <w:tcW w:w="822" w:type="dxa"/>
            <w:shd w:val="clear" w:color="auto" w:fill="DEEAF6"/>
          </w:tcPr>
          <w:p w:rsidRPr="00E66A9C" w:rsidR="00CF21A4" w:rsidP="00EA0D73" w:rsidRDefault="00CF21A4" w14:paraId="03A3D0A0" w14:textId="77777777">
            <w:pPr>
              <w:spacing w:line="240" w:lineRule="exact"/>
              <w:jc w:val="center"/>
              <w:rPr>
                <w:sz w:val="16"/>
                <w:szCs w:val="16"/>
              </w:rPr>
            </w:pPr>
            <w:r>
              <w:rPr>
                <w:sz w:val="16"/>
                <w:szCs w:val="16"/>
              </w:rPr>
              <w:t>1,1</w:t>
            </w:r>
          </w:p>
        </w:tc>
      </w:tr>
      <w:tr w:rsidRPr="00E66A9C" w:rsidR="00CF21A4" w:rsidTr="00CF282A" w14:paraId="05BD7ED9" w14:textId="77777777">
        <w:trPr>
          <w:trHeight w:val="50"/>
        </w:trPr>
        <w:tc>
          <w:tcPr>
            <w:tcW w:w="2552" w:type="dxa"/>
          </w:tcPr>
          <w:p w:rsidRPr="00E66A9C" w:rsidR="00CF21A4" w:rsidP="00CF21A4" w:rsidRDefault="00CF21A4" w14:paraId="662D84C9" w14:textId="77777777">
            <w:pPr>
              <w:spacing w:line="240" w:lineRule="exact"/>
              <w:rPr>
                <w:sz w:val="16"/>
                <w:szCs w:val="16"/>
              </w:rPr>
            </w:pPr>
            <w:r w:rsidRPr="00E66A9C">
              <w:rPr>
                <w:sz w:val="16"/>
                <w:szCs w:val="16"/>
              </w:rPr>
              <w:t>Koopkracht: gepensioneerden</w:t>
            </w:r>
          </w:p>
        </w:tc>
        <w:tc>
          <w:tcPr>
            <w:tcW w:w="822" w:type="dxa"/>
          </w:tcPr>
          <w:p w:rsidRPr="00E66A9C" w:rsidR="00CF21A4" w:rsidP="00EA0D73" w:rsidRDefault="00CF21A4" w14:paraId="7B4C0C7A" w14:textId="77777777">
            <w:pPr>
              <w:spacing w:line="240" w:lineRule="exact"/>
              <w:jc w:val="center"/>
              <w:rPr>
                <w:sz w:val="16"/>
                <w:szCs w:val="16"/>
              </w:rPr>
            </w:pPr>
            <w:r>
              <w:rPr>
                <w:sz w:val="16"/>
                <w:szCs w:val="16"/>
              </w:rPr>
              <w:t>1,5</w:t>
            </w:r>
          </w:p>
        </w:tc>
        <w:tc>
          <w:tcPr>
            <w:tcW w:w="822" w:type="dxa"/>
            <w:shd w:val="clear" w:color="auto" w:fill="DEEAF6"/>
          </w:tcPr>
          <w:p w:rsidRPr="00E66A9C" w:rsidR="00CF21A4" w:rsidP="00EA0D73" w:rsidRDefault="00CF21A4" w14:paraId="2F878F05" w14:textId="77777777">
            <w:pPr>
              <w:spacing w:line="240" w:lineRule="exact"/>
              <w:jc w:val="center"/>
              <w:rPr>
                <w:sz w:val="16"/>
                <w:szCs w:val="16"/>
              </w:rPr>
            </w:pPr>
            <w:r>
              <w:rPr>
                <w:sz w:val="16"/>
                <w:szCs w:val="16"/>
              </w:rPr>
              <w:t>1,7</w:t>
            </w:r>
          </w:p>
        </w:tc>
        <w:tc>
          <w:tcPr>
            <w:tcW w:w="822" w:type="dxa"/>
          </w:tcPr>
          <w:p w:rsidRPr="00E66A9C" w:rsidR="00CF21A4" w:rsidP="00EA0D73" w:rsidRDefault="00CF21A4" w14:paraId="7E867F77" w14:textId="77777777">
            <w:pPr>
              <w:spacing w:line="240" w:lineRule="exact"/>
              <w:jc w:val="center"/>
              <w:rPr>
                <w:sz w:val="16"/>
                <w:szCs w:val="16"/>
              </w:rPr>
            </w:pPr>
            <w:r w:rsidRPr="00E66A9C">
              <w:rPr>
                <w:sz w:val="16"/>
                <w:szCs w:val="16"/>
              </w:rPr>
              <w:t>0,6</w:t>
            </w:r>
          </w:p>
        </w:tc>
        <w:tc>
          <w:tcPr>
            <w:tcW w:w="822" w:type="dxa"/>
            <w:shd w:val="clear" w:color="auto" w:fill="DEEAF6"/>
          </w:tcPr>
          <w:p w:rsidRPr="00E66A9C" w:rsidR="00CF21A4" w:rsidP="00EA0D73" w:rsidRDefault="00CF21A4" w14:paraId="08D4F178" w14:textId="77777777">
            <w:pPr>
              <w:spacing w:line="240" w:lineRule="exact"/>
              <w:jc w:val="center"/>
              <w:rPr>
                <w:sz w:val="16"/>
                <w:szCs w:val="16"/>
              </w:rPr>
            </w:pPr>
            <w:r>
              <w:rPr>
                <w:sz w:val="16"/>
                <w:szCs w:val="16"/>
              </w:rPr>
              <w:t>0,1</w:t>
            </w:r>
          </w:p>
        </w:tc>
        <w:tc>
          <w:tcPr>
            <w:tcW w:w="822" w:type="dxa"/>
          </w:tcPr>
          <w:p w:rsidRPr="00E66A9C" w:rsidR="00CF21A4" w:rsidP="00EA0D73" w:rsidRDefault="00CF21A4" w14:paraId="6C40382C" w14:textId="77777777">
            <w:pPr>
              <w:spacing w:line="240" w:lineRule="exact"/>
              <w:jc w:val="center"/>
              <w:rPr>
                <w:sz w:val="16"/>
                <w:szCs w:val="16"/>
              </w:rPr>
            </w:pPr>
            <w:r>
              <w:rPr>
                <w:sz w:val="16"/>
                <w:szCs w:val="16"/>
              </w:rPr>
              <w:t>1,2</w:t>
            </w:r>
          </w:p>
        </w:tc>
        <w:tc>
          <w:tcPr>
            <w:tcW w:w="822" w:type="dxa"/>
            <w:shd w:val="clear" w:color="auto" w:fill="DEEAF6"/>
          </w:tcPr>
          <w:p w:rsidRPr="00E66A9C" w:rsidR="00CF21A4" w:rsidP="00EA0D73" w:rsidRDefault="00CF21A4" w14:paraId="76B7D6EF" w14:textId="77777777">
            <w:pPr>
              <w:spacing w:line="240" w:lineRule="exact"/>
              <w:jc w:val="center"/>
              <w:rPr>
                <w:sz w:val="16"/>
                <w:szCs w:val="16"/>
              </w:rPr>
            </w:pPr>
            <w:r>
              <w:rPr>
                <w:sz w:val="16"/>
                <w:szCs w:val="16"/>
              </w:rPr>
              <w:t>1,1</w:t>
            </w:r>
          </w:p>
        </w:tc>
      </w:tr>
    </w:tbl>
    <w:p w:rsidRPr="00E360FC" w:rsidR="00E16285" w:rsidP="00E66A9C" w:rsidRDefault="00E360FC" w14:paraId="51B7ED39" w14:textId="77777777">
      <w:pPr>
        <w:autoSpaceDN/>
        <w:spacing w:after="160" w:line="259" w:lineRule="auto"/>
        <w:textAlignment w:val="auto"/>
        <w:rPr>
          <w:rFonts w:eastAsia="Calibri" w:cs="Times New Roman"/>
          <w:color w:val="auto"/>
          <w:sz w:val="14"/>
          <w:szCs w:val="14"/>
          <w:lang w:eastAsia="en-US"/>
        </w:rPr>
      </w:pPr>
      <w:r w:rsidRPr="00E360FC">
        <w:rPr>
          <w:rFonts w:eastAsia="Calibri" w:cs="Times New Roman"/>
          <w:color w:val="auto"/>
          <w:sz w:val="14"/>
          <w:szCs w:val="14"/>
          <w:lang w:eastAsia="en-US"/>
        </w:rPr>
        <w:t>Bron: CPB (2024) en (2025)</w:t>
      </w:r>
    </w:p>
    <w:p w:rsidRPr="00686552" w:rsidR="00AC1674" w:rsidP="00280709" w:rsidRDefault="00E66A9C" w14:paraId="18148BDC" w14:textId="77777777">
      <w:pPr>
        <w:autoSpaceDN/>
        <w:spacing w:after="160" w:line="259" w:lineRule="auto"/>
        <w:textAlignment w:val="auto"/>
        <w:rPr>
          <w:rFonts w:eastAsia="Calibri" w:cs="Times New Roman"/>
          <w:b/>
          <w:bCs/>
          <w:noProof/>
          <w:color w:val="auto"/>
          <w:lang w:eastAsia="en-US"/>
        </w:rPr>
      </w:pPr>
      <w:r w:rsidRPr="00E66A9C">
        <w:rPr>
          <w:rFonts w:eastAsia="Calibri" w:cs="Times New Roman"/>
          <w:b/>
          <w:bCs/>
          <w:noProof/>
          <w:color w:val="auto"/>
          <w:lang w:eastAsia="en-US"/>
        </w:rPr>
        <w:t xml:space="preserve">Nadere </w:t>
      </w:r>
      <w:r w:rsidR="00370A4B">
        <w:rPr>
          <w:rFonts w:eastAsia="Calibri" w:cs="Times New Roman"/>
          <w:b/>
          <w:bCs/>
          <w:noProof/>
          <w:color w:val="auto"/>
          <w:lang w:eastAsia="en-US"/>
        </w:rPr>
        <w:t xml:space="preserve">duiding bij </w:t>
      </w:r>
      <w:r w:rsidRPr="00E66A9C">
        <w:rPr>
          <w:rFonts w:eastAsia="Calibri" w:cs="Times New Roman"/>
          <w:b/>
          <w:bCs/>
          <w:noProof/>
          <w:color w:val="auto"/>
          <w:lang w:eastAsia="en-US"/>
        </w:rPr>
        <w:t>de inflatie</w:t>
      </w:r>
    </w:p>
    <w:p w:rsidR="00280709" w:rsidP="00E66A9C" w:rsidRDefault="00280709" w14:paraId="67463CD4" w14:textId="77777777">
      <w:pPr>
        <w:autoSpaceDN/>
        <w:spacing w:after="160" w:line="259" w:lineRule="auto"/>
        <w:textAlignment w:val="auto"/>
        <w:rPr>
          <w:rFonts w:eastAsia="Calibri" w:cs="Times New Roman"/>
          <w:color w:val="auto"/>
          <w:u w:val="single"/>
          <w:lang w:eastAsia="en-US"/>
        </w:rPr>
      </w:pPr>
      <w:r>
        <w:rPr>
          <w:rFonts w:eastAsia="Calibri" w:cs="Times New Roman"/>
          <w:color w:val="auto"/>
          <w:lang w:eastAsia="en-US"/>
        </w:rPr>
        <w:t>Eind vorig jaar is veel aandacht uitgegaan naar het verschil van de Nederlandse inflatie met die in de eurozone als geheel.</w:t>
      </w:r>
      <w:r w:rsidR="0040071C">
        <w:rPr>
          <w:rFonts w:eastAsia="Calibri" w:cs="Times New Roman"/>
          <w:color w:val="auto"/>
          <w:lang w:eastAsia="en-US"/>
        </w:rPr>
        <w:t xml:space="preserve"> In de tweede helft van 2024 bereikte dat verschil zo’n 1,3%-punt.</w:t>
      </w:r>
      <w:r>
        <w:rPr>
          <w:rFonts w:eastAsia="Calibri" w:cs="Times New Roman"/>
          <w:color w:val="auto"/>
          <w:lang w:eastAsia="en-US"/>
        </w:rPr>
        <w:t xml:space="preserve"> </w:t>
      </w:r>
      <w:r w:rsidRPr="00E66A9C">
        <w:rPr>
          <w:rFonts w:eastAsia="Calibri" w:cs="Times New Roman"/>
          <w:color w:val="auto"/>
          <w:lang w:eastAsia="en-US"/>
        </w:rPr>
        <w:t xml:space="preserve">Volgens DNB valt het inflatieverschil </w:t>
      </w:r>
      <w:r w:rsidR="002D0F7B">
        <w:rPr>
          <w:rFonts w:eastAsia="Calibri" w:cs="Times New Roman"/>
          <w:color w:val="auto"/>
          <w:lang w:eastAsia="en-US"/>
        </w:rPr>
        <w:t>ten opzichte van</w:t>
      </w:r>
      <w:r w:rsidRPr="00E66A9C">
        <w:rPr>
          <w:rFonts w:eastAsia="Calibri" w:cs="Times New Roman"/>
          <w:color w:val="auto"/>
          <w:lang w:eastAsia="en-US"/>
        </w:rPr>
        <w:t xml:space="preserve"> de eurozone </w:t>
      </w:r>
      <w:r>
        <w:rPr>
          <w:rFonts w:eastAsia="Calibri" w:cs="Times New Roman"/>
          <w:color w:val="auto"/>
          <w:lang w:eastAsia="en-US"/>
        </w:rPr>
        <w:t xml:space="preserve">in 2024 </w:t>
      </w:r>
      <w:r w:rsidRPr="00E66A9C">
        <w:rPr>
          <w:rFonts w:eastAsia="Calibri" w:cs="Times New Roman"/>
          <w:color w:val="auto"/>
          <w:lang w:eastAsia="en-US"/>
        </w:rPr>
        <w:t xml:space="preserve">te verklaren vanuit drie effecten. De diensteninflatie (excl. huisvesting) verklaart een groot deel (gemiddeld </w:t>
      </w:r>
      <w:r w:rsidRPr="00C219A7">
        <w:rPr>
          <w:rFonts w:eastAsia="Calibri" w:cs="Times New Roman"/>
          <w:color w:val="auto"/>
          <w:lang w:eastAsia="en-US"/>
        </w:rPr>
        <w:t xml:space="preserve">ongeveer </w:t>
      </w:r>
      <w:r w:rsidRPr="00C219A7" w:rsidR="0040071C">
        <w:rPr>
          <w:rFonts w:eastAsia="Calibri" w:cs="Times New Roman"/>
          <w:color w:val="auto"/>
          <w:lang w:eastAsia="en-US"/>
        </w:rPr>
        <w:t>0,5</w:t>
      </w:r>
      <w:r w:rsidRPr="00C219A7">
        <w:rPr>
          <w:rFonts w:eastAsia="Calibri" w:cs="Times New Roman"/>
          <w:color w:val="auto"/>
          <w:lang w:eastAsia="en-US"/>
        </w:rPr>
        <w:t xml:space="preserve">%-punt) van het inflatieverschil. Dit komt door de </w:t>
      </w:r>
      <w:r w:rsidR="00E360FC">
        <w:rPr>
          <w:rFonts w:eastAsia="Calibri" w:cs="Times New Roman"/>
          <w:color w:val="auto"/>
          <w:lang w:eastAsia="en-US"/>
        </w:rPr>
        <w:t xml:space="preserve">sterkere conjunctuur, loongroei en </w:t>
      </w:r>
      <w:r w:rsidRPr="00C219A7">
        <w:rPr>
          <w:rFonts w:eastAsia="Calibri" w:cs="Times New Roman"/>
          <w:color w:val="auto"/>
          <w:lang w:eastAsia="en-US"/>
        </w:rPr>
        <w:t>krappe arbeidsmarkt</w:t>
      </w:r>
      <w:r w:rsidR="00E360FC">
        <w:rPr>
          <w:rFonts w:eastAsia="Calibri" w:cs="Times New Roman"/>
          <w:color w:val="auto"/>
          <w:lang w:eastAsia="en-US"/>
        </w:rPr>
        <w:t xml:space="preserve">. </w:t>
      </w:r>
      <w:r w:rsidRPr="00C219A7">
        <w:rPr>
          <w:rFonts w:eastAsia="Calibri" w:cs="Times New Roman"/>
          <w:color w:val="auto"/>
          <w:lang w:eastAsia="en-US"/>
        </w:rPr>
        <w:t xml:space="preserve">Ook de diensteninflatie in verband met huisvesting is hoger (gemiddeld </w:t>
      </w:r>
      <w:r w:rsidR="00CF282A">
        <w:rPr>
          <w:rFonts w:eastAsia="Calibri" w:cs="Times New Roman"/>
          <w:color w:val="auto"/>
          <w:lang w:eastAsia="en-US"/>
        </w:rPr>
        <w:t>zo’n</w:t>
      </w:r>
      <w:r w:rsidRPr="00C219A7">
        <w:rPr>
          <w:rFonts w:eastAsia="Calibri" w:cs="Times New Roman"/>
          <w:color w:val="auto"/>
          <w:lang w:eastAsia="en-US"/>
        </w:rPr>
        <w:t xml:space="preserve"> </w:t>
      </w:r>
      <w:r w:rsidRPr="00C219A7" w:rsidR="0040071C">
        <w:rPr>
          <w:rFonts w:eastAsia="Calibri" w:cs="Times New Roman"/>
          <w:color w:val="auto"/>
          <w:lang w:eastAsia="en-US"/>
        </w:rPr>
        <w:t>0,3</w:t>
      </w:r>
      <w:r w:rsidRPr="00C219A7">
        <w:rPr>
          <w:rFonts w:eastAsia="Calibri" w:cs="Times New Roman"/>
          <w:color w:val="auto"/>
          <w:lang w:eastAsia="en-US"/>
        </w:rPr>
        <w:t xml:space="preserve">%-punt) doordat de maximaal toegestane stijging van de huurprijzen is gekoppeld aan de loonontwikkeling. Daarnaast spelen indirecte belastingen een rol (gemiddeld </w:t>
      </w:r>
      <w:r w:rsidR="00CF282A">
        <w:rPr>
          <w:rFonts w:eastAsia="Calibri" w:cs="Times New Roman"/>
          <w:color w:val="auto"/>
          <w:lang w:eastAsia="en-US"/>
        </w:rPr>
        <w:t>zo’n</w:t>
      </w:r>
      <w:r w:rsidRPr="00C219A7">
        <w:rPr>
          <w:rFonts w:eastAsia="Calibri" w:cs="Times New Roman"/>
          <w:color w:val="auto"/>
          <w:lang w:eastAsia="en-US"/>
        </w:rPr>
        <w:t xml:space="preserve"> </w:t>
      </w:r>
      <w:r w:rsidRPr="00C219A7" w:rsidR="0040071C">
        <w:rPr>
          <w:rFonts w:eastAsia="Calibri" w:cs="Times New Roman"/>
          <w:color w:val="auto"/>
          <w:lang w:eastAsia="en-US"/>
        </w:rPr>
        <w:t>0,5</w:t>
      </w:r>
      <w:r w:rsidRPr="00C219A7">
        <w:rPr>
          <w:rFonts w:eastAsia="Calibri" w:cs="Times New Roman"/>
          <w:color w:val="auto"/>
          <w:lang w:eastAsia="en-US"/>
        </w:rPr>
        <w:t xml:space="preserve">%-punt), met name de verhoging van accijnzen op tabak. Het overige verschil wordt verklaard door </w:t>
      </w:r>
      <w:r w:rsidR="00E360FC">
        <w:rPr>
          <w:rFonts w:eastAsia="Calibri" w:cs="Times New Roman"/>
          <w:color w:val="auto"/>
          <w:lang w:eastAsia="en-US"/>
        </w:rPr>
        <w:t xml:space="preserve">energie </w:t>
      </w:r>
      <w:r w:rsidRPr="00C219A7">
        <w:rPr>
          <w:rFonts w:eastAsia="Calibri" w:cs="Times New Roman"/>
          <w:color w:val="auto"/>
          <w:lang w:eastAsia="en-US"/>
        </w:rPr>
        <w:t xml:space="preserve">(gemiddeld zo’n </w:t>
      </w:r>
      <w:r w:rsidRPr="00C219A7" w:rsidR="0040071C">
        <w:rPr>
          <w:rFonts w:eastAsia="Calibri" w:cs="Times New Roman"/>
          <w:color w:val="auto"/>
          <w:lang w:eastAsia="en-US"/>
        </w:rPr>
        <w:t>0,2</w:t>
      </w:r>
      <w:r w:rsidRPr="00C219A7">
        <w:rPr>
          <w:rFonts w:eastAsia="Calibri" w:cs="Times New Roman"/>
          <w:color w:val="auto"/>
          <w:lang w:eastAsia="en-US"/>
        </w:rPr>
        <w:t>%-punt).</w:t>
      </w:r>
      <w:r w:rsidR="0040071C">
        <w:rPr>
          <w:rFonts w:eastAsia="Calibri" w:cs="Times New Roman"/>
          <w:color w:val="auto"/>
          <w:lang w:eastAsia="en-US"/>
        </w:rPr>
        <w:t xml:space="preserve"> De voedselprijsontwikkeling (excl. belastingen) verkleinde het verschil (-0,1%-punt).</w:t>
      </w:r>
    </w:p>
    <w:p w:rsidRPr="00E66A9C" w:rsidR="00E66A9C" w:rsidP="00E66A9C" w:rsidRDefault="00E66A9C" w14:paraId="0C987CEA" w14:textId="77777777">
      <w:pPr>
        <w:autoSpaceDN/>
        <w:spacing w:after="160" w:line="259" w:lineRule="auto"/>
        <w:textAlignment w:val="auto"/>
        <w:rPr>
          <w:rFonts w:eastAsia="Calibri" w:cs="Times New Roman"/>
          <w:color w:val="auto"/>
          <w:u w:val="single"/>
          <w:lang w:eastAsia="en-US"/>
        </w:rPr>
      </w:pPr>
      <w:r w:rsidRPr="00E66A9C">
        <w:rPr>
          <w:rFonts w:eastAsia="Calibri" w:cs="Times New Roman"/>
          <w:color w:val="auto"/>
          <w:u w:val="single"/>
          <w:lang w:eastAsia="en-US"/>
        </w:rPr>
        <w:t>Lonen</w:t>
      </w:r>
      <w:r w:rsidRPr="00E66A9C">
        <w:rPr>
          <w:rFonts w:eastAsia="Calibri" w:cs="Times New Roman"/>
          <w:noProof/>
          <w:color w:val="auto"/>
          <w:u w:val="single"/>
          <w:lang w:eastAsia="en-US"/>
        </w:rPr>
        <w:t xml:space="preserve"> en</w:t>
      </w:r>
      <w:r w:rsidRPr="00E66A9C">
        <w:rPr>
          <w:rFonts w:eastAsia="Calibri" w:cs="Times New Roman"/>
          <w:color w:val="auto"/>
          <w:u w:val="single"/>
          <w:lang w:eastAsia="en-US"/>
        </w:rPr>
        <w:t xml:space="preserve"> winsten</w:t>
      </w:r>
    </w:p>
    <w:p w:rsidRPr="00E66A9C" w:rsidR="00E66A9C" w:rsidP="00E66A9C" w:rsidRDefault="00E66A9C" w14:paraId="50FCE610" w14:textId="77777777">
      <w:pPr>
        <w:autoSpaceDN/>
        <w:spacing w:after="160" w:line="259" w:lineRule="auto"/>
        <w:textAlignment w:val="auto"/>
        <w:rPr>
          <w:rFonts w:eastAsia="Calibri" w:cs="Times New Roman"/>
          <w:color w:val="auto"/>
          <w:lang w:eastAsia="en-US"/>
        </w:rPr>
      </w:pPr>
      <w:r w:rsidRPr="00E66A9C">
        <w:rPr>
          <w:rFonts w:eastAsia="Calibri" w:cs="Times New Roman"/>
          <w:color w:val="auto"/>
          <w:lang w:eastAsia="en-US"/>
        </w:rPr>
        <w:t xml:space="preserve">Het verschil in de diensteninflatie tussen Nederland en de rest van de eurozone komt met name door de relatief hoge loongroei in Nederland, die de prijsontwikkeling van diensten grotendeels bepaalt. Medio 2024 piekte de jaarlijkse cao-loongroei op </w:t>
      </w:r>
      <w:r w:rsidR="00EF38DB">
        <w:rPr>
          <w:rFonts w:eastAsia="Calibri" w:cs="Times New Roman"/>
          <w:color w:val="auto"/>
          <w:lang w:eastAsia="en-US"/>
        </w:rPr>
        <w:t xml:space="preserve">bijna </w:t>
      </w:r>
      <w:r w:rsidRPr="00EF38DB">
        <w:rPr>
          <w:rFonts w:eastAsia="Calibri" w:cs="Times New Roman"/>
          <w:color w:val="auto"/>
          <w:lang w:eastAsia="en-US"/>
        </w:rPr>
        <w:t>7%,</w:t>
      </w:r>
      <w:r w:rsidRPr="00E66A9C">
        <w:rPr>
          <w:rFonts w:eastAsia="Calibri" w:cs="Times New Roman"/>
          <w:color w:val="auto"/>
          <w:lang w:eastAsia="en-US"/>
        </w:rPr>
        <w:t xml:space="preserve"> tegenover circa 4% aan loongroei gemiddeld in andere eurolanden</w:t>
      </w:r>
      <w:r w:rsidR="00E360FC">
        <w:rPr>
          <w:rFonts w:eastAsia="Calibri" w:cs="Times New Roman"/>
          <w:color w:val="auto"/>
          <w:lang w:eastAsia="en-US"/>
        </w:rPr>
        <w:t>.</w:t>
      </w:r>
      <w:r w:rsidRPr="00E66A9C">
        <w:rPr>
          <w:rFonts w:eastAsia="Calibri" w:cs="Times New Roman"/>
          <w:color w:val="auto"/>
          <w:lang w:eastAsia="en-US"/>
        </w:rPr>
        <w:t xml:space="preserve"> De recent hoge loongroei volgt na een periode van dalende reële lonen, terwijl winsten stegen.</w:t>
      </w:r>
      <w:r w:rsidR="006B68FF">
        <w:rPr>
          <w:rFonts w:eastAsia="Calibri" w:cs="Times New Roman"/>
          <w:color w:val="auto"/>
          <w:lang w:eastAsia="en-US"/>
        </w:rPr>
        <w:t xml:space="preserve"> Met als uitschieter 2022, toen de CPI-inflatie 10% bedroeg en de cao-loongroei ongeveer 3%. </w:t>
      </w:r>
      <w:r w:rsidRPr="00E66A9C">
        <w:rPr>
          <w:rFonts w:eastAsia="Calibri" w:cs="Times New Roman"/>
          <w:color w:val="auto"/>
          <w:lang w:eastAsia="en-US"/>
        </w:rPr>
        <w:t>In het verlede</w:t>
      </w:r>
      <w:r w:rsidR="00CF282A">
        <w:rPr>
          <w:rFonts w:eastAsia="Calibri" w:cs="Times New Roman"/>
          <w:color w:val="auto"/>
          <w:lang w:eastAsia="en-US"/>
        </w:rPr>
        <w:t>n</w:t>
      </w:r>
      <w:r w:rsidRPr="00E66A9C">
        <w:rPr>
          <w:rFonts w:eastAsia="Calibri" w:cs="Times New Roman"/>
          <w:color w:val="auto"/>
          <w:lang w:eastAsia="en-US"/>
        </w:rPr>
        <w:t xml:space="preserve"> en ook recentelijk</w:t>
      </w:r>
      <w:r w:rsidR="00CF282A">
        <w:rPr>
          <w:rFonts w:eastAsia="Calibri" w:cs="Times New Roman"/>
          <w:color w:val="auto"/>
          <w:vertAlign w:val="superscript"/>
          <w:lang w:eastAsia="en-US"/>
        </w:rPr>
        <w:t xml:space="preserve"> </w:t>
      </w:r>
      <w:r w:rsidRPr="00E66A9C">
        <w:rPr>
          <w:rFonts w:eastAsia="Calibri" w:cs="Times New Roman"/>
          <w:color w:val="auto"/>
          <w:lang w:eastAsia="en-US"/>
        </w:rPr>
        <w:t xml:space="preserve">heeft dit de vraag opgeroepen of lonen dan wel winsten hebben bijgedragen aan de inflatie. Immers, bij inflatie kan gedacht worden aan bedrijven die hun prijzen van goederen en diensten verhogen om de winsten te verhogen, of aan werknemers die hogere lonen uitonderhandelen bij werkgevers. Bedrijven rekenen hogere lonen op hun beurt weer door in een hogere prijs, om op deze manier de winstmarges in stand te houden. </w:t>
      </w:r>
    </w:p>
    <w:p w:rsidR="00AE34FF" w:rsidP="00DA7423" w:rsidRDefault="00E66A9C" w14:paraId="1112D17A" w14:textId="01CCEEC1">
      <w:pPr>
        <w:autoSpaceDN/>
        <w:spacing w:after="160" w:line="259" w:lineRule="auto"/>
        <w:textAlignment w:val="auto"/>
        <w:rPr>
          <w:rFonts w:eastAsia="Calibri" w:cs="Times New Roman"/>
          <w:color w:val="auto"/>
          <w:lang w:eastAsia="en-US"/>
        </w:rPr>
      </w:pPr>
      <w:r w:rsidRPr="00E66A9C">
        <w:rPr>
          <w:rFonts w:eastAsia="Calibri" w:cs="Times New Roman"/>
          <w:color w:val="auto"/>
          <w:lang w:eastAsia="en-US"/>
        </w:rPr>
        <w:t>DNB heeft vorig jaar onderzoek gedaan naar de relatieve bijdrage van winsten en lonen aan de binnenlandse gecreëerde inflatie. Hieruit blijkt dat zowel de lonen als de winsten hebben bijgedragen aan de inflatie.</w:t>
      </w:r>
      <w:r w:rsidRPr="00E66A9C">
        <w:rPr>
          <w:rFonts w:eastAsia="Calibri" w:cs="Times New Roman"/>
          <w:color w:val="auto"/>
          <w:vertAlign w:val="superscript"/>
          <w:lang w:eastAsia="en-US"/>
        </w:rPr>
        <w:footnoteReference w:id="6"/>
      </w:r>
      <w:r w:rsidRPr="00E66A9C">
        <w:rPr>
          <w:rFonts w:eastAsia="Calibri" w:cs="Times New Roman"/>
          <w:color w:val="auto"/>
          <w:lang w:eastAsia="en-US"/>
        </w:rPr>
        <w:t xml:space="preserve"> Deze analyse keek uitsluitend naar de binnenlandse inflatie, en hield geen rekening met geïmporteerde inflatie via bijvoorbeeld energie. Uit het onderzoek blijkt dat in 2021 met name de winsten positief bijdroegen aan het inflatiecijfer. In 2022 begon de loongroei </w:t>
      </w:r>
      <w:proofErr w:type="gramStart"/>
      <w:r w:rsidRPr="00E66A9C">
        <w:rPr>
          <w:rFonts w:eastAsia="Calibri" w:cs="Times New Roman"/>
          <w:color w:val="auto"/>
          <w:lang w:eastAsia="en-US"/>
        </w:rPr>
        <w:t>langzaam aan</w:t>
      </w:r>
      <w:proofErr w:type="gramEnd"/>
      <w:r w:rsidRPr="00E66A9C">
        <w:rPr>
          <w:rFonts w:eastAsia="Calibri" w:cs="Times New Roman"/>
          <w:color w:val="auto"/>
          <w:lang w:eastAsia="en-US"/>
        </w:rPr>
        <w:t xml:space="preserve"> te trekken en werd het verschil tussen beide bijdragen een stuk kleiner. In 2023 </w:t>
      </w:r>
      <w:r w:rsidR="00EF38DB">
        <w:rPr>
          <w:rFonts w:eastAsia="Calibri" w:cs="Times New Roman"/>
          <w:color w:val="auto"/>
          <w:lang w:eastAsia="en-US"/>
        </w:rPr>
        <w:t xml:space="preserve">en de eerste drie kwartalen van 2024 </w:t>
      </w:r>
      <w:r w:rsidRPr="00E66A9C">
        <w:rPr>
          <w:rFonts w:eastAsia="Calibri" w:cs="Times New Roman"/>
          <w:color w:val="auto"/>
          <w:lang w:eastAsia="en-US"/>
        </w:rPr>
        <w:t xml:space="preserve">leverden de lonen de </w:t>
      </w:r>
      <w:r w:rsidRPr="00E66A9C">
        <w:rPr>
          <w:rFonts w:eastAsia="Calibri" w:cs="Times New Roman"/>
          <w:color w:val="auto"/>
          <w:lang w:eastAsia="en-US"/>
        </w:rPr>
        <w:lastRenderedPageBreak/>
        <w:t>grootste bijdrage.</w:t>
      </w:r>
      <w:r w:rsidR="00EF38DB">
        <w:rPr>
          <w:rStyle w:val="Voetnootmarkering"/>
          <w:rFonts w:eastAsia="Calibri" w:cs="Times New Roman"/>
          <w:color w:val="auto"/>
          <w:lang w:eastAsia="en-US"/>
        </w:rPr>
        <w:footnoteReference w:id="7"/>
      </w:r>
      <w:r w:rsidRPr="00E66A9C">
        <w:rPr>
          <w:rFonts w:eastAsia="Calibri" w:cs="Times New Roman"/>
          <w:color w:val="auto"/>
          <w:lang w:eastAsia="en-US"/>
        </w:rPr>
        <w:t xml:space="preserve"> Lonen droegen voor ruim de helft bij aan de binnenlandse inflatie, terwijl de bijdrage van netto bedrijfswinsten toen minder dan 10% was. CPB kwam in een ander onderzoek op </w:t>
      </w:r>
      <w:r w:rsidR="00AB6CA2">
        <w:rPr>
          <w:rFonts w:eastAsia="Calibri" w:cs="Times New Roman"/>
          <w:color w:val="auto"/>
          <w:lang w:eastAsia="en-US"/>
        </w:rPr>
        <w:t>de</w:t>
      </w:r>
      <w:r w:rsidRPr="00E66A9C">
        <w:rPr>
          <w:rFonts w:eastAsia="Calibri" w:cs="Times New Roman"/>
          <w:color w:val="auto"/>
          <w:lang w:eastAsia="en-US"/>
        </w:rPr>
        <w:t xml:space="preserve"> soortgelijke conclusie.</w:t>
      </w:r>
      <w:r w:rsidRPr="00E66A9C">
        <w:rPr>
          <w:rFonts w:eastAsia="Calibri" w:cs="Times New Roman"/>
          <w:color w:val="auto"/>
          <w:vertAlign w:val="superscript"/>
          <w:lang w:eastAsia="en-US"/>
        </w:rPr>
        <w:footnoteReference w:id="8"/>
      </w:r>
      <w:r w:rsidRPr="00E66A9C">
        <w:rPr>
          <w:rFonts w:eastAsia="Calibri" w:cs="Times New Roman"/>
          <w:color w:val="auto"/>
          <w:lang w:eastAsia="en-US"/>
        </w:rPr>
        <w:t xml:space="preserve"> </w:t>
      </w:r>
    </w:p>
    <w:p w:rsidRPr="00E360FC" w:rsidR="00E0477B" w:rsidP="00AE34FF" w:rsidRDefault="00E0477B" w14:paraId="19FAEABF" w14:textId="77777777">
      <w:pPr>
        <w:autoSpaceDN/>
        <w:spacing w:line="259" w:lineRule="auto"/>
        <w:textAlignment w:val="auto"/>
        <w:rPr>
          <w:rFonts w:eastAsia="Calibri" w:cs="Times New Roman"/>
          <w:i/>
          <w:iCs/>
          <w:color w:val="auto"/>
          <w:lang w:eastAsia="en-US"/>
        </w:rPr>
      </w:pPr>
      <w:r w:rsidRPr="00E360FC">
        <w:rPr>
          <w:rFonts w:eastAsia="Calibri" w:cs="Times New Roman"/>
          <w:i/>
          <w:iCs/>
          <w:color w:val="auto"/>
          <w:lang w:eastAsia="en-US"/>
        </w:rPr>
        <w:t>Figuur 3. Decompositie van inflatie (</w:t>
      </w:r>
      <w:r w:rsidR="002D0F7B">
        <w:rPr>
          <w:rFonts w:eastAsia="Calibri" w:cs="Times New Roman"/>
          <w:i/>
          <w:iCs/>
          <w:color w:val="auto"/>
          <w:lang w:eastAsia="en-US"/>
        </w:rPr>
        <w:t>j-o-j</w:t>
      </w:r>
      <w:r w:rsidRPr="00E360FC">
        <w:rPr>
          <w:rFonts w:eastAsia="Calibri" w:cs="Times New Roman"/>
          <w:i/>
          <w:iCs/>
          <w:color w:val="auto"/>
          <w:lang w:eastAsia="en-US"/>
        </w:rPr>
        <w:t xml:space="preserve"> en bijdragen in %-punten)</w:t>
      </w:r>
    </w:p>
    <w:p w:rsidR="00E16285" w:rsidP="00DA7423" w:rsidRDefault="00E16285" w14:paraId="4A0C686B" w14:textId="77777777">
      <w:pPr>
        <w:autoSpaceDN/>
        <w:spacing w:line="259" w:lineRule="auto"/>
        <w:textAlignment w:val="auto"/>
        <w:rPr>
          <w:rFonts w:eastAsia="Calibri" w:cs="Times New Roman"/>
          <w:color w:val="auto"/>
          <w:lang w:eastAsia="en-US"/>
        </w:rPr>
      </w:pPr>
      <w:r>
        <w:rPr>
          <w:noProof/>
        </w:rPr>
        <w:drawing>
          <wp:inline distT="0" distB="0" distL="0" distR="0" wp14:anchorId="7C265DA9" wp14:editId="66E40A2A">
            <wp:extent cx="4438892" cy="2139315"/>
            <wp:effectExtent l="0" t="0" r="0" b="0"/>
            <wp:docPr id="651198987" name="Grafiek 1">
              <a:extLst xmlns:a="http://schemas.openxmlformats.org/drawingml/2006/main">
                <a:ext uri="{FF2B5EF4-FFF2-40B4-BE49-F238E27FC236}">
                  <a16:creationId xmlns:a16="http://schemas.microsoft.com/office/drawing/2014/main" id="{9B753BDA-0C83-4064-9691-8C165EA841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DA7423" w:rsidR="002D0F7B" w:rsidP="00E66A9C" w:rsidRDefault="002D0F7B" w14:paraId="590EB234" w14:textId="77777777">
      <w:pPr>
        <w:autoSpaceDN/>
        <w:spacing w:after="160" w:line="259" w:lineRule="auto"/>
        <w:textAlignment w:val="auto"/>
        <w:rPr>
          <w:rFonts w:eastAsia="Calibri" w:cs="Times New Roman"/>
          <w:color w:val="auto"/>
          <w:sz w:val="14"/>
          <w:szCs w:val="14"/>
          <w:lang w:eastAsia="en-US"/>
        </w:rPr>
      </w:pPr>
      <w:r w:rsidRPr="00DA7423">
        <w:rPr>
          <w:rFonts w:eastAsia="Calibri" w:cs="Times New Roman"/>
          <w:color w:val="auto"/>
          <w:sz w:val="14"/>
          <w:szCs w:val="14"/>
          <w:lang w:eastAsia="en-US"/>
        </w:rPr>
        <w:t>Bron: DNB</w:t>
      </w:r>
    </w:p>
    <w:p w:rsidR="00740C88" w:rsidP="00E66A9C" w:rsidRDefault="00E66A9C" w14:paraId="23D74CDC" w14:textId="77777777">
      <w:pPr>
        <w:autoSpaceDN/>
        <w:spacing w:after="160" w:line="259" w:lineRule="auto"/>
        <w:textAlignment w:val="auto"/>
        <w:rPr>
          <w:rFonts w:eastAsia="Calibri" w:cs="Times New Roman"/>
          <w:color w:val="auto"/>
          <w:lang w:eastAsia="en-US"/>
        </w:rPr>
      </w:pPr>
      <w:bookmarkStart w:name="_Hlk192496290" w:id="11"/>
      <w:r w:rsidRPr="00E66A9C">
        <w:rPr>
          <w:rFonts w:eastAsia="Calibri" w:cs="Times New Roman"/>
          <w:color w:val="auto"/>
          <w:lang w:eastAsia="en-US"/>
        </w:rPr>
        <w:t>De ontwikkeling van eerst hogere winsten en daarna hogere lonen is economisch goed verklaarbaar. Bij een stijgende vraag in een overspannen economie zullen de prijzen en daardoor de winsten zich direct aanpassen, terwijl lonen al vaststaan in afgesproken cao’s en daardoor vertraagd reageren.</w:t>
      </w:r>
      <w:r w:rsidR="00C219A7">
        <w:rPr>
          <w:rFonts w:eastAsia="Calibri" w:cs="Times New Roman"/>
          <w:color w:val="auto"/>
          <w:lang w:eastAsia="en-US"/>
        </w:rPr>
        <w:t xml:space="preserve"> </w:t>
      </w:r>
      <w:r w:rsidR="008609CB">
        <w:rPr>
          <w:rFonts w:eastAsia="Calibri" w:cs="Times New Roman"/>
          <w:color w:val="auto"/>
          <w:lang w:eastAsia="en-US"/>
        </w:rPr>
        <w:t>D</w:t>
      </w:r>
      <w:r w:rsidR="00C219A7">
        <w:rPr>
          <w:rFonts w:eastAsia="Calibri" w:cs="Times New Roman"/>
          <w:color w:val="auto"/>
          <w:lang w:eastAsia="en-US"/>
        </w:rPr>
        <w:t xml:space="preserve">e winstgevendheid van het Nederlandse bedrijfsleven </w:t>
      </w:r>
      <w:r w:rsidR="008609CB">
        <w:rPr>
          <w:rFonts w:eastAsia="Calibri" w:cs="Times New Roman"/>
          <w:color w:val="auto"/>
          <w:lang w:eastAsia="en-US"/>
        </w:rPr>
        <w:t xml:space="preserve">is </w:t>
      </w:r>
      <w:r w:rsidR="00C219A7">
        <w:rPr>
          <w:rFonts w:eastAsia="Calibri" w:cs="Times New Roman"/>
          <w:color w:val="auto"/>
          <w:lang w:eastAsia="en-US"/>
        </w:rPr>
        <w:t xml:space="preserve">sinds het begin van de coronacrisis meer toegenomen dan in de rest van </w:t>
      </w:r>
      <w:r w:rsidR="00F75A1B">
        <w:rPr>
          <w:rFonts w:eastAsia="Calibri" w:cs="Times New Roman"/>
          <w:color w:val="auto"/>
          <w:lang w:eastAsia="en-US"/>
        </w:rPr>
        <w:t>de eurozone</w:t>
      </w:r>
      <w:r w:rsidR="00C219A7">
        <w:rPr>
          <w:rFonts w:eastAsia="Calibri" w:cs="Times New Roman"/>
          <w:color w:val="auto"/>
          <w:lang w:eastAsia="en-US"/>
        </w:rPr>
        <w:t xml:space="preserve"> en sindsdien ook hoger gebleven.</w:t>
      </w:r>
      <w:r w:rsidR="00740C88">
        <w:rPr>
          <w:rFonts w:eastAsia="Calibri" w:cs="Times New Roman"/>
          <w:color w:val="auto"/>
          <w:lang w:eastAsia="en-US"/>
        </w:rPr>
        <w:t xml:space="preserve"> D</w:t>
      </w:r>
      <w:r w:rsidR="00904D02">
        <w:rPr>
          <w:rFonts w:eastAsia="Calibri" w:cs="Times New Roman"/>
          <w:color w:val="auto"/>
          <w:lang w:eastAsia="en-US"/>
        </w:rPr>
        <w:t xml:space="preserve">e </w:t>
      </w:r>
      <w:r w:rsidR="00740C88">
        <w:rPr>
          <w:rFonts w:eastAsia="Calibri" w:cs="Times New Roman"/>
          <w:color w:val="auto"/>
          <w:lang w:eastAsia="en-US"/>
        </w:rPr>
        <w:t xml:space="preserve">winsten </w:t>
      </w:r>
      <w:r w:rsidR="00904D02">
        <w:rPr>
          <w:rFonts w:eastAsia="Calibri" w:cs="Times New Roman"/>
          <w:color w:val="auto"/>
          <w:lang w:eastAsia="en-US"/>
        </w:rPr>
        <w:t xml:space="preserve">hebben </w:t>
      </w:r>
      <w:r w:rsidR="00740C88">
        <w:rPr>
          <w:rFonts w:eastAsia="Calibri" w:cs="Times New Roman"/>
          <w:color w:val="auto"/>
          <w:lang w:eastAsia="en-US"/>
        </w:rPr>
        <w:t xml:space="preserve">zich </w:t>
      </w:r>
      <w:r w:rsidR="00904D02">
        <w:rPr>
          <w:rFonts w:eastAsia="Calibri" w:cs="Times New Roman"/>
          <w:color w:val="auto"/>
          <w:lang w:eastAsia="en-US"/>
        </w:rPr>
        <w:t xml:space="preserve">daarbij </w:t>
      </w:r>
      <w:r w:rsidR="00740C88">
        <w:rPr>
          <w:rFonts w:eastAsia="Calibri" w:cs="Times New Roman"/>
          <w:color w:val="auto"/>
          <w:lang w:eastAsia="en-US"/>
        </w:rPr>
        <w:t>wisselend ontwikkeld in de verschillende sectoren</w:t>
      </w:r>
      <w:r w:rsidR="00904D02">
        <w:rPr>
          <w:rFonts w:eastAsia="Calibri" w:cs="Times New Roman"/>
          <w:color w:val="auto"/>
          <w:lang w:eastAsia="en-US"/>
        </w:rPr>
        <w:t>.</w:t>
      </w:r>
      <w:r w:rsidR="00904D02">
        <w:rPr>
          <w:rStyle w:val="Voetnootmarkering"/>
          <w:rFonts w:eastAsia="Calibri" w:cs="Times New Roman"/>
          <w:color w:val="auto"/>
          <w:lang w:eastAsia="en-US"/>
        </w:rPr>
        <w:footnoteReference w:id="9"/>
      </w:r>
      <w:r w:rsidR="008609CB">
        <w:rPr>
          <w:rFonts w:eastAsia="Calibri" w:cs="Times New Roman"/>
          <w:color w:val="auto"/>
          <w:lang w:eastAsia="en-US"/>
        </w:rPr>
        <w:t xml:space="preserve"> De toegenomen winsten gaan waarschijnlijk samen met de goed presenterende Nederlandse economie.</w:t>
      </w:r>
    </w:p>
    <w:bookmarkEnd w:id="11"/>
    <w:p w:rsidRPr="00E66A9C" w:rsidR="00E66A9C" w:rsidP="00E66A9C" w:rsidRDefault="00E66A9C" w14:paraId="15AC50D7" w14:textId="77777777">
      <w:pPr>
        <w:autoSpaceDN/>
        <w:spacing w:after="160" w:line="259" w:lineRule="auto"/>
        <w:textAlignment w:val="auto"/>
        <w:rPr>
          <w:rFonts w:eastAsia="Calibri" w:cs="Times New Roman"/>
          <w:color w:val="auto"/>
          <w:lang w:eastAsia="en-US"/>
        </w:rPr>
      </w:pPr>
      <w:r w:rsidRPr="00E66A9C">
        <w:rPr>
          <w:rFonts w:eastAsia="Calibri" w:cs="Times New Roman"/>
          <w:color w:val="auto"/>
          <w:lang w:eastAsia="en-US"/>
        </w:rPr>
        <w:t>Daarnaast zorgt de krappe arbeidsmarkt voor een goede onderhandelingspositie van werknemers en vakbonden in loononderhandelingen. De Nederlandse arbeidsmarkt is ook in Europees opzicht erg krap: Nederland heeft een van de laagste werkloosheidspercentages bij een van de hoogste vacaturegraden in de eurozone.</w:t>
      </w:r>
      <w:r w:rsidRPr="00E66A9C">
        <w:rPr>
          <w:rFonts w:eastAsia="Calibri" w:cs="Times New Roman"/>
          <w:color w:val="auto"/>
          <w:vertAlign w:val="superscript"/>
          <w:lang w:eastAsia="en-US"/>
        </w:rPr>
        <w:footnoteReference w:id="10"/>
      </w:r>
      <w:r w:rsidRPr="00E66A9C">
        <w:rPr>
          <w:rFonts w:eastAsia="Calibri" w:cs="Times New Roman"/>
          <w:color w:val="auto"/>
          <w:lang w:eastAsia="en-US"/>
        </w:rPr>
        <w:t xml:space="preserve"> Loonstijgingen kunnen helpen om het evenwicht tussen vraag en aanbod in een krappe arbeidsmarkt te herstellen.</w:t>
      </w:r>
      <w:r w:rsidR="004F3E1C">
        <w:rPr>
          <w:rFonts w:eastAsia="Calibri" w:cs="Times New Roman"/>
          <w:color w:val="auto"/>
          <w:lang w:eastAsia="en-US"/>
        </w:rPr>
        <w:t xml:space="preserve"> Daarnaast zijn lonen een aanpassingsmechanisme</w:t>
      </w:r>
      <w:r w:rsidRPr="004F3E1C" w:rsidR="004F3E1C">
        <w:rPr>
          <w:rFonts w:eastAsia="Calibri" w:cs="Times New Roman"/>
          <w:color w:val="auto"/>
          <w:lang w:eastAsia="en-US"/>
        </w:rPr>
        <w:t xml:space="preserve"> </w:t>
      </w:r>
      <w:r w:rsidR="004F3E1C">
        <w:rPr>
          <w:rFonts w:eastAsia="Calibri" w:cs="Times New Roman"/>
          <w:color w:val="auto"/>
          <w:lang w:eastAsia="en-US"/>
        </w:rPr>
        <w:t xml:space="preserve">voor economische verschillen </w:t>
      </w:r>
      <w:r w:rsidRPr="004F3E1C" w:rsidR="004F3E1C">
        <w:rPr>
          <w:rFonts w:eastAsia="Calibri" w:cs="Times New Roman"/>
          <w:color w:val="auto"/>
          <w:lang w:eastAsia="en-US"/>
        </w:rPr>
        <w:t>tussen Eurolanden</w:t>
      </w:r>
      <w:r w:rsidR="00D8200D">
        <w:rPr>
          <w:rFonts w:eastAsia="Calibri" w:cs="Times New Roman"/>
          <w:color w:val="auto"/>
          <w:lang w:eastAsia="en-US"/>
        </w:rPr>
        <w:t xml:space="preserve"> en kunnen hogere lonen een kanaal van aanpassing en afkoeling zijn</w:t>
      </w:r>
      <w:r w:rsidRPr="004F3E1C" w:rsidR="004F3E1C">
        <w:rPr>
          <w:rFonts w:eastAsia="Calibri" w:cs="Times New Roman"/>
          <w:color w:val="auto"/>
          <w:lang w:eastAsia="en-US"/>
        </w:rPr>
        <w:t>.</w:t>
      </w:r>
      <w:r w:rsidR="00133386">
        <w:rPr>
          <w:rFonts w:eastAsia="Calibri" w:cs="Times New Roman"/>
          <w:color w:val="auto"/>
          <w:lang w:eastAsia="en-US"/>
        </w:rPr>
        <w:t xml:space="preserve"> De reële cao-lonen zitten </w:t>
      </w:r>
      <w:r w:rsidR="00F75A1B">
        <w:rPr>
          <w:rFonts w:eastAsia="Calibri" w:cs="Times New Roman"/>
          <w:color w:val="auto"/>
          <w:lang w:eastAsia="en-US"/>
        </w:rPr>
        <w:t xml:space="preserve">in Nederland </w:t>
      </w:r>
      <w:r w:rsidR="00133386">
        <w:rPr>
          <w:rFonts w:eastAsia="Calibri" w:cs="Times New Roman"/>
          <w:color w:val="auto"/>
          <w:lang w:eastAsia="en-US"/>
        </w:rPr>
        <w:t>nu pas ongeveer op het niveau van de pandemie.</w:t>
      </w:r>
      <w:r w:rsidRPr="004F3E1C" w:rsidR="004F3E1C">
        <w:rPr>
          <w:rFonts w:eastAsia="Calibri" w:cs="Times New Roman"/>
          <w:color w:val="auto"/>
          <w:lang w:eastAsia="en-US"/>
        </w:rPr>
        <w:t xml:space="preserve"> </w:t>
      </w:r>
      <w:r w:rsidRPr="00E66A9C">
        <w:rPr>
          <w:rFonts w:eastAsia="Calibri" w:cs="Times New Roman"/>
          <w:color w:val="auto"/>
          <w:lang w:eastAsia="en-US"/>
        </w:rPr>
        <w:t xml:space="preserve">De reële lonen zijn ten opzichte van de arbeidsproductiviteitsgroei echter </w:t>
      </w:r>
      <w:r w:rsidR="00133386">
        <w:rPr>
          <w:rFonts w:eastAsia="Calibri" w:cs="Times New Roman"/>
          <w:color w:val="auto"/>
          <w:lang w:eastAsia="en-US"/>
        </w:rPr>
        <w:t>achtergebleven</w:t>
      </w:r>
      <w:r w:rsidRPr="00E66A9C">
        <w:rPr>
          <w:rFonts w:eastAsia="Calibri" w:cs="Times New Roman"/>
          <w:color w:val="auto"/>
          <w:lang w:eastAsia="en-US"/>
        </w:rPr>
        <w:t xml:space="preserve">. </w:t>
      </w:r>
      <w:r w:rsidR="00133386">
        <w:rPr>
          <w:rFonts w:eastAsia="Calibri" w:cs="Times New Roman"/>
          <w:color w:val="auto"/>
          <w:lang w:eastAsia="en-US"/>
        </w:rPr>
        <w:t>Verdere</w:t>
      </w:r>
      <w:r w:rsidRPr="00E66A9C" w:rsidR="00133386">
        <w:rPr>
          <w:rFonts w:eastAsia="Calibri" w:cs="Times New Roman"/>
          <w:color w:val="auto"/>
          <w:lang w:eastAsia="en-US"/>
        </w:rPr>
        <w:t xml:space="preserve"> </w:t>
      </w:r>
      <w:r w:rsidRPr="00E66A9C">
        <w:rPr>
          <w:rFonts w:eastAsia="Calibri" w:cs="Times New Roman"/>
          <w:color w:val="auto"/>
          <w:lang w:eastAsia="en-US"/>
        </w:rPr>
        <w:t>inhaalgroei van de lonen is dan ook een positieve ontwikkeling. Daarbij is het risico op een loon-prijsspiraal vooralsnog beperkt. Uit onderzoek van DNB blijkt dat een schok in de loongroei in een periode van vijf jaar voor ongeveer de helft doorwerkt in de prijzen (gemeten middels de kerninflatie).</w:t>
      </w:r>
      <w:r w:rsidRPr="00E66A9C">
        <w:rPr>
          <w:rFonts w:eastAsia="Calibri" w:cs="Times New Roman"/>
          <w:color w:val="auto"/>
          <w:vertAlign w:val="superscript"/>
          <w:lang w:eastAsia="en-US"/>
        </w:rPr>
        <w:footnoteReference w:id="11"/>
      </w:r>
      <w:r w:rsidRPr="00E66A9C">
        <w:rPr>
          <w:rFonts w:eastAsia="Calibri" w:cs="Times New Roman"/>
          <w:color w:val="auto"/>
          <w:lang w:eastAsia="en-US"/>
        </w:rPr>
        <w:t xml:space="preserve"> Hogere lonen werken dus niet volledig door in hogere prijzen, doordat arbeidskosten niet de enige kosten zijn voor bedrijven en daardoor niet volledig prijsbepalend zijn.</w:t>
      </w:r>
      <w:r w:rsidRPr="00E66A9C">
        <w:rPr>
          <w:rFonts w:eastAsia="Calibri" w:cs="Times New Roman"/>
          <w:color w:val="auto"/>
          <w:vertAlign w:val="superscript"/>
          <w:lang w:eastAsia="en-US"/>
        </w:rPr>
        <w:footnoteReference w:id="12"/>
      </w:r>
    </w:p>
    <w:p w:rsidRPr="00E66A9C" w:rsidR="00E66A9C" w:rsidP="00E66A9C" w:rsidRDefault="00E66A9C" w14:paraId="0EA6156F" w14:textId="77777777">
      <w:pPr>
        <w:autoSpaceDN/>
        <w:spacing w:after="160" w:line="259" w:lineRule="auto"/>
        <w:textAlignment w:val="auto"/>
        <w:rPr>
          <w:rFonts w:eastAsia="Calibri" w:cs="Times New Roman"/>
          <w:color w:val="auto"/>
          <w:u w:val="single"/>
          <w:lang w:eastAsia="en-US"/>
        </w:rPr>
      </w:pPr>
      <w:proofErr w:type="spellStart"/>
      <w:r w:rsidRPr="00E66A9C">
        <w:rPr>
          <w:rFonts w:eastAsia="Calibri" w:cs="Times New Roman"/>
          <w:color w:val="auto"/>
          <w:u w:val="single"/>
          <w:lang w:eastAsia="en-US"/>
        </w:rPr>
        <w:lastRenderedPageBreak/>
        <w:t>Productgebonden</w:t>
      </w:r>
      <w:proofErr w:type="spellEnd"/>
      <w:r w:rsidRPr="00E66A9C">
        <w:rPr>
          <w:rFonts w:eastAsia="Calibri" w:cs="Times New Roman"/>
          <w:color w:val="auto"/>
          <w:u w:val="single"/>
          <w:lang w:eastAsia="en-US"/>
        </w:rPr>
        <w:t xml:space="preserve"> belastingen en subsidies</w:t>
      </w:r>
    </w:p>
    <w:p w:rsidR="00E66A9C" w:rsidP="00E66A9C" w:rsidRDefault="00E66A9C" w14:paraId="14910830" w14:textId="77777777">
      <w:pPr>
        <w:autoSpaceDN/>
        <w:spacing w:after="160" w:line="259" w:lineRule="auto"/>
        <w:textAlignment w:val="auto"/>
        <w:rPr>
          <w:rFonts w:eastAsia="Verdana" w:cs="Verdana"/>
          <w:color w:val="auto"/>
          <w:lang w:eastAsia="en-US"/>
        </w:rPr>
      </w:pPr>
      <w:r w:rsidRPr="00E66A9C">
        <w:rPr>
          <w:rFonts w:eastAsia="Verdana" w:cs="Verdana"/>
          <w:color w:val="auto"/>
          <w:lang w:eastAsia="en-US"/>
        </w:rPr>
        <w:t xml:space="preserve">Ook </w:t>
      </w:r>
      <w:proofErr w:type="spellStart"/>
      <w:r w:rsidRPr="00E66A9C">
        <w:rPr>
          <w:rFonts w:eastAsia="Verdana" w:cs="Verdana"/>
          <w:color w:val="auto"/>
          <w:lang w:eastAsia="en-US"/>
        </w:rPr>
        <w:t>productgebonden</w:t>
      </w:r>
      <w:proofErr w:type="spellEnd"/>
      <w:r w:rsidRPr="00E66A9C">
        <w:rPr>
          <w:rFonts w:eastAsia="Verdana" w:cs="Verdana"/>
          <w:color w:val="auto"/>
          <w:lang w:eastAsia="en-US"/>
        </w:rPr>
        <w:t xml:space="preserve"> belastingen en subsidies zoals de energiebelasting, btw, accijnzen en verbruiksbelasting kunnen een impact hebben op de inflatie</w:t>
      </w:r>
      <w:r w:rsidR="00F75A1B">
        <w:rPr>
          <w:rFonts w:eastAsia="Verdana" w:cs="Verdana"/>
          <w:color w:val="auto"/>
          <w:lang w:eastAsia="en-US"/>
        </w:rPr>
        <w:t xml:space="preserve">. </w:t>
      </w:r>
      <w:r w:rsidRPr="00E66A9C">
        <w:rPr>
          <w:rFonts w:eastAsia="Verdana" w:cs="Verdana"/>
          <w:color w:val="auto"/>
          <w:lang w:eastAsia="en-US"/>
        </w:rPr>
        <w:t xml:space="preserve">Deze impact kan prijsopdrijvend werken, maar dat verschilt per jaar. In 2022 was deze bijdrage </w:t>
      </w:r>
      <w:r w:rsidR="00A05BB7">
        <w:rPr>
          <w:rFonts w:eastAsia="Verdana" w:cs="Verdana"/>
          <w:color w:val="auto"/>
          <w:lang w:eastAsia="en-US"/>
        </w:rPr>
        <w:t xml:space="preserve">fors </w:t>
      </w:r>
      <w:proofErr w:type="spellStart"/>
      <w:r w:rsidRPr="00E66A9C">
        <w:rPr>
          <w:rFonts w:eastAsia="Verdana" w:cs="Verdana"/>
          <w:color w:val="auto"/>
          <w:lang w:eastAsia="en-US"/>
        </w:rPr>
        <w:t>inflatieverlagend</w:t>
      </w:r>
      <w:proofErr w:type="spellEnd"/>
      <w:r w:rsidRPr="00E66A9C">
        <w:rPr>
          <w:rFonts w:eastAsia="Verdana" w:cs="Verdana"/>
          <w:color w:val="auto"/>
          <w:lang w:eastAsia="en-US"/>
        </w:rPr>
        <w:t xml:space="preserve">. Zo is bijvoorbeeld de energiebelasting op elektriciteit verlaagd om huishoudens te ondersteunen tijdens de energiecrisis, wat zorgde voor lagere inflatie. </w:t>
      </w:r>
      <w:r w:rsidR="00836274">
        <w:rPr>
          <w:rFonts w:eastAsia="Verdana" w:cs="Verdana"/>
          <w:color w:val="auto"/>
          <w:lang w:eastAsia="en-US"/>
        </w:rPr>
        <w:t>Het effect van d</w:t>
      </w:r>
      <w:r w:rsidRPr="00E66A9C">
        <w:rPr>
          <w:rFonts w:eastAsia="Verdana" w:cs="Verdana"/>
          <w:color w:val="auto"/>
          <w:lang w:eastAsia="en-US"/>
        </w:rPr>
        <w:t xml:space="preserve">it soort maatregelen </w:t>
      </w:r>
      <w:r w:rsidR="00836274">
        <w:rPr>
          <w:rFonts w:eastAsia="Verdana" w:cs="Verdana"/>
          <w:color w:val="auto"/>
          <w:lang w:eastAsia="en-US"/>
        </w:rPr>
        <w:t xml:space="preserve">verdwijnt uiteindelijk grotendeels uit het inflatiecijfer, </w:t>
      </w:r>
      <w:r w:rsidRPr="00E66A9C">
        <w:rPr>
          <w:rFonts w:eastAsia="Verdana" w:cs="Verdana"/>
          <w:color w:val="auto"/>
          <w:lang w:eastAsia="en-US"/>
        </w:rPr>
        <w:t>aangezien prijzen steeds worden vergeleken met het vorige jaar. Na 2022 werden veel van deze ondersteunende maatregelen weer teruggedraaid, wat een verhogend effect had op de inflatie.</w:t>
      </w:r>
      <w:r w:rsidR="008B69ED">
        <w:rPr>
          <w:rFonts w:eastAsia="Verdana" w:cs="Verdana"/>
          <w:color w:val="auto"/>
          <w:lang w:eastAsia="en-US"/>
        </w:rPr>
        <w:t xml:space="preserve"> Ook werden bepaalde </w:t>
      </w:r>
      <w:proofErr w:type="spellStart"/>
      <w:r w:rsidR="008B69ED">
        <w:rPr>
          <w:rFonts w:eastAsia="Verdana" w:cs="Verdana"/>
          <w:color w:val="auto"/>
          <w:lang w:eastAsia="en-US"/>
        </w:rPr>
        <w:t>productgebonden</w:t>
      </w:r>
      <w:proofErr w:type="spellEnd"/>
      <w:r w:rsidR="008B69ED">
        <w:rPr>
          <w:rFonts w:eastAsia="Verdana" w:cs="Verdana"/>
          <w:color w:val="auto"/>
          <w:lang w:eastAsia="en-US"/>
        </w:rPr>
        <w:t xml:space="preserve"> belastingen verhoogd, zoals de tabaksaccijns.</w:t>
      </w:r>
      <w:r w:rsidRPr="00E66A9C">
        <w:rPr>
          <w:rFonts w:eastAsia="Verdana" w:cs="Verdana"/>
          <w:color w:val="auto"/>
          <w:lang w:eastAsia="en-US"/>
        </w:rPr>
        <w:t xml:space="preserve"> </w:t>
      </w:r>
      <w:r w:rsidR="008B69ED">
        <w:rPr>
          <w:rFonts w:eastAsia="Verdana" w:cs="Verdana"/>
          <w:color w:val="auto"/>
          <w:lang w:eastAsia="en-US"/>
        </w:rPr>
        <w:t xml:space="preserve">Voor 2025 en 2026 verwacht het CPB </w:t>
      </w:r>
      <w:r w:rsidR="006D0695">
        <w:rPr>
          <w:rFonts w:eastAsia="Verdana" w:cs="Verdana"/>
          <w:color w:val="auto"/>
          <w:lang w:eastAsia="en-US"/>
        </w:rPr>
        <w:t xml:space="preserve">dat het aandeel van </w:t>
      </w:r>
      <w:proofErr w:type="spellStart"/>
      <w:r w:rsidR="006D0695">
        <w:rPr>
          <w:rFonts w:eastAsia="Verdana" w:cs="Verdana"/>
          <w:color w:val="auto"/>
          <w:lang w:eastAsia="en-US"/>
        </w:rPr>
        <w:t>productgebonden</w:t>
      </w:r>
      <w:proofErr w:type="spellEnd"/>
      <w:r w:rsidR="006D0695">
        <w:rPr>
          <w:rFonts w:eastAsia="Verdana" w:cs="Verdana"/>
          <w:color w:val="auto"/>
          <w:lang w:eastAsia="en-US"/>
        </w:rPr>
        <w:t xml:space="preserve"> belastingen in de inflatie afneemt</w:t>
      </w:r>
      <w:r w:rsidRPr="00AC7B0C" w:rsidR="00AC7B0C">
        <w:rPr>
          <w:rFonts w:eastAsia="Verdana" w:cs="Verdana"/>
          <w:color w:val="auto"/>
          <w:lang w:eastAsia="en-US"/>
        </w:rPr>
        <w:t xml:space="preserve"> </w:t>
      </w:r>
      <w:r w:rsidR="00AC7B0C">
        <w:rPr>
          <w:rFonts w:eastAsia="Verdana" w:cs="Verdana"/>
          <w:color w:val="auto"/>
          <w:lang w:eastAsia="en-US"/>
        </w:rPr>
        <w:t>met een bijdrage van respectievelijk 0,4%-punt en 0,6%-punt</w:t>
      </w:r>
      <w:r w:rsidR="006D0695">
        <w:rPr>
          <w:rFonts w:eastAsia="Verdana" w:cs="Verdana"/>
          <w:color w:val="auto"/>
          <w:lang w:eastAsia="en-US"/>
        </w:rPr>
        <w:t xml:space="preserve"> ten opzichte van </w:t>
      </w:r>
      <w:r w:rsidR="00AC7B0C">
        <w:rPr>
          <w:rFonts w:eastAsia="Verdana" w:cs="Verdana"/>
          <w:color w:val="auto"/>
          <w:lang w:eastAsia="en-US"/>
        </w:rPr>
        <w:t xml:space="preserve">0,9%-punt in </w:t>
      </w:r>
      <w:r w:rsidR="006D0695">
        <w:rPr>
          <w:rFonts w:eastAsia="Verdana" w:cs="Verdana"/>
          <w:color w:val="auto"/>
          <w:lang w:eastAsia="en-US"/>
        </w:rPr>
        <w:t>2024</w:t>
      </w:r>
      <w:r w:rsidR="00AC7B0C">
        <w:rPr>
          <w:rFonts w:eastAsia="Verdana" w:cs="Verdana"/>
          <w:color w:val="auto"/>
          <w:lang w:eastAsia="en-US"/>
        </w:rPr>
        <w:t>.</w:t>
      </w:r>
      <w:r w:rsidR="008B69ED">
        <w:rPr>
          <w:rFonts w:eastAsia="Verdana" w:cs="Verdana"/>
          <w:color w:val="auto"/>
          <w:lang w:eastAsia="en-US"/>
        </w:rPr>
        <w:t xml:space="preserve"> </w:t>
      </w:r>
    </w:p>
    <w:p w:rsidRPr="000E2927" w:rsidR="00E66A9C" w:rsidP="000E2927" w:rsidRDefault="002D0F7B" w14:paraId="1AF3CA25" w14:textId="77777777">
      <w:pPr>
        <w:autoSpaceDN/>
        <w:spacing w:after="160" w:line="259" w:lineRule="auto"/>
        <w:textAlignment w:val="auto"/>
        <w:rPr>
          <w:rFonts w:eastAsia="Verdana" w:cs="Verdana"/>
          <w:i/>
          <w:iCs/>
          <w:color w:val="auto"/>
          <w:lang w:eastAsia="en-US"/>
        </w:rPr>
      </w:pPr>
      <w:r w:rsidRPr="002D0F7B">
        <w:rPr>
          <w:rFonts w:eastAsia="Verdana" w:cs="Verdana"/>
          <w:i/>
          <w:iCs/>
          <w:color w:val="auto"/>
          <w:lang w:eastAsia="en-US"/>
        </w:rPr>
        <w:t xml:space="preserve">Figuur 4. Bijdrage </w:t>
      </w:r>
      <w:proofErr w:type="spellStart"/>
      <w:r w:rsidRPr="002D0F7B">
        <w:rPr>
          <w:rFonts w:eastAsia="Verdana" w:cs="Verdana"/>
          <w:i/>
          <w:iCs/>
          <w:color w:val="auto"/>
          <w:lang w:eastAsia="en-US"/>
        </w:rPr>
        <w:t>productgebonden</w:t>
      </w:r>
      <w:proofErr w:type="spellEnd"/>
      <w:r w:rsidRPr="002D0F7B">
        <w:rPr>
          <w:rFonts w:eastAsia="Verdana" w:cs="Verdana"/>
          <w:i/>
          <w:iCs/>
          <w:color w:val="auto"/>
          <w:lang w:eastAsia="en-US"/>
        </w:rPr>
        <w:t xml:space="preserve"> belastingen -en subsidies aan inflatie</w:t>
      </w:r>
    </w:p>
    <w:p w:rsidR="000E2927" w:rsidP="00F75A1B" w:rsidRDefault="000E2927" w14:paraId="159EA378" w14:textId="77777777">
      <w:pPr>
        <w:autoSpaceDN/>
        <w:spacing w:line="259" w:lineRule="auto"/>
        <w:textAlignment w:val="auto"/>
        <w:rPr>
          <w:rFonts w:eastAsia="Verdana" w:cs="Verdana"/>
          <w:color w:val="auto"/>
          <w:sz w:val="14"/>
          <w:szCs w:val="14"/>
          <w:lang w:eastAsia="en-US"/>
        </w:rPr>
      </w:pPr>
      <w:r>
        <w:rPr>
          <w:noProof/>
        </w:rPr>
        <w:drawing>
          <wp:inline distT="0" distB="0" distL="0" distR="0" wp14:anchorId="5566CB24" wp14:editId="638C14C5">
            <wp:extent cx="5185410" cy="1643606"/>
            <wp:effectExtent l="0" t="0" r="0" b="0"/>
            <wp:docPr id="181466122" name="Grafiek 1">
              <a:extLst xmlns:a="http://schemas.openxmlformats.org/drawingml/2006/main">
                <a:ext uri="{FF2B5EF4-FFF2-40B4-BE49-F238E27FC236}">
                  <a16:creationId xmlns:a16="http://schemas.microsoft.com/office/drawing/2014/main" id="{55D6D38E-CD06-9501-2061-241E2E2C99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2D0F7B" w:rsidR="002D0F7B" w:rsidP="00F75A1B" w:rsidRDefault="002D0F7B" w14:paraId="01F1E4A6" w14:textId="77777777">
      <w:pPr>
        <w:autoSpaceDN/>
        <w:spacing w:line="259" w:lineRule="auto"/>
        <w:textAlignment w:val="auto"/>
        <w:rPr>
          <w:rFonts w:eastAsia="Verdana" w:cs="Verdana"/>
          <w:color w:val="auto"/>
          <w:sz w:val="14"/>
          <w:szCs w:val="14"/>
          <w:lang w:eastAsia="en-US"/>
        </w:rPr>
      </w:pPr>
      <w:r w:rsidRPr="002D0F7B">
        <w:rPr>
          <w:rFonts w:eastAsia="Verdana" w:cs="Verdana"/>
          <w:color w:val="auto"/>
          <w:sz w:val="14"/>
          <w:szCs w:val="14"/>
          <w:lang w:eastAsia="en-US"/>
        </w:rPr>
        <w:t>Bron: CBS en Ministerie van Financiën</w:t>
      </w:r>
    </w:p>
    <w:p w:rsidRPr="00E66A9C" w:rsidR="002D0F7B" w:rsidP="00F75A1B" w:rsidRDefault="002D0F7B" w14:paraId="37DD74AB" w14:textId="77777777">
      <w:pPr>
        <w:autoSpaceDN/>
        <w:spacing w:line="259" w:lineRule="auto"/>
        <w:textAlignment w:val="auto"/>
        <w:rPr>
          <w:rFonts w:eastAsia="Verdana" w:cs="Verdana"/>
          <w:color w:val="auto"/>
          <w:lang w:eastAsia="en-US"/>
        </w:rPr>
      </w:pPr>
    </w:p>
    <w:p w:rsidR="00E66A9C" w:rsidP="00E66A9C" w:rsidRDefault="00E66A9C" w14:paraId="45D19F16" w14:textId="77777777">
      <w:pPr>
        <w:autoSpaceDN/>
        <w:spacing w:after="160" w:line="259" w:lineRule="auto"/>
        <w:textAlignment w:val="auto"/>
        <w:rPr>
          <w:rFonts w:eastAsia="Verdana" w:cs="Verdana"/>
          <w:color w:val="auto"/>
          <w:lang w:eastAsia="en-US"/>
        </w:rPr>
      </w:pPr>
      <w:r w:rsidRPr="00E66A9C">
        <w:rPr>
          <w:rFonts w:eastAsia="Verdana" w:cs="Verdana"/>
          <w:color w:val="auto"/>
          <w:lang w:eastAsia="en-US"/>
        </w:rPr>
        <w:t xml:space="preserve">In </w:t>
      </w:r>
      <w:r w:rsidR="00F75A1B">
        <w:rPr>
          <w:rFonts w:eastAsia="Verdana" w:cs="Verdana"/>
          <w:color w:val="auto"/>
          <w:lang w:eastAsia="en-US"/>
        </w:rPr>
        <w:t>figuur 5</w:t>
      </w:r>
      <w:r w:rsidRPr="00E66A9C">
        <w:rPr>
          <w:rFonts w:eastAsia="Verdana" w:cs="Verdana"/>
          <w:color w:val="auto"/>
          <w:lang w:eastAsia="en-US"/>
        </w:rPr>
        <w:t xml:space="preserve"> is de bijdrage van </w:t>
      </w:r>
      <w:proofErr w:type="spellStart"/>
      <w:r w:rsidRPr="00E66A9C">
        <w:rPr>
          <w:rFonts w:eastAsia="Verdana" w:cs="Verdana"/>
          <w:color w:val="auto"/>
          <w:lang w:eastAsia="en-US"/>
        </w:rPr>
        <w:t>productgebonden</w:t>
      </w:r>
      <w:proofErr w:type="spellEnd"/>
      <w:r w:rsidRPr="00E66A9C">
        <w:rPr>
          <w:rFonts w:eastAsia="Verdana" w:cs="Verdana"/>
          <w:color w:val="auto"/>
          <w:lang w:eastAsia="en-US"/>
        </w:rPr>
        <w:t xml:space="preserve"> belastingen en subsidies aan de inflatie in 2024 uitgesplitst. De verhoging van de accijns op tabak heeft het grootste effect gehad. Daarnaast is te zien dat ook brandstofaccijnzen hebben bijgedragen. De bijdrage van de brandstofaccijnzen is geen gevolg van hogere belastingen in 2024 (die zijn gelijk gebleven), maar een statistisch effect. Halverwege 2023 is namelijk besloten om de verlaging van de brandstofaccijns gedeeltelijk terug te draaien. Het effect op de prijzen hiervan heeft zich al in 2023 gemanifesteerd maar doordat het jaargemiddelde in 2023 lager ligt dan in 2024 loopt dit over in het inflatiecijfer van 2024.</w:t>
      </w:r>
    </w:p>
    <w:p w:rsidR="004C299F" w:rsidP="00E66A9C" w:rsidRDefault="000E2927" w14:paraId="15D0ED1B" w14:textId="77777777">
      <w:pPr>
        <w:autoSpaceDN/>
        <w:spacing w:after="160" w:line="259" w:lineRule="auto"/>
        <w:textAlignment w:val="auto"/>
        <w:rPr>
          <w:rFonts w:eastAsia="Verdana" w:cs="Verdana"/>
          <w:color w:val="auto"/>
          <w:lang w:eastAsia="en-US"/>
        </w:rPr>
      </w:pPr>
      <w:r>
        <w:rPr>
          <w:rFonts w:ascii="Calibri" w:hAnsi="Calibri" w:eastAsia="Calibri" w:cs="Times New Roman"/>
          <w:noProof/>
          <w:color w:val="auto"/>
          <w:sz w:val="22"/>
          <w:szCs w:val="22"/>
          <w:lang w:eastAsia="en-US"/>
        </w:rPr>
        <mc:AlternateContent>
          <mc:Choice Requires="wps">
            <w:drawing>
              <wp:anchor distT="0" distB="0" distL="114300" distR="114300" simplePos="0" relativeHeight="251660288" behindDoc="0" locked="0" layoutInCell="1" allowOverlap="1" wp14:editId="446E920A" wp14:anchorId="1005AA9A">
                <wp:simplePos x="0" y="0"/>
                <wp:positionH relativeFrom="column">
                  <wp:posOffset>158975</wp:posOffset>
                </wp:positionH>
                <wp:positionV relativeFrom="paragraph">
                  <wp:posOffset>40350</wp:posOffset>
                </wp:positionV>
                <wp:extent cx="2994025" cy="381000"/>
                <wp:effectExtent l="0" t="0" r="0" b="0"/>
                <wp:wrapNone/>
                <wp:docPr id="1850407167" name="Tekstvak 1"/>
                <wp:cNvGraphicFramePr/>
                <a:graphic xmlns:a="http://schemas.openxmlformats.org/drawingml/2006/main">
                  <a:graphicData uri="http://schemas.microsoft.com/office/word/2010/wordprocessingShape">
                    <wps:wsp>
                      <wps:cNvSpPr txBox="1"/>
                      <wps:spPr>
                        <a:xfrm>
                          <a:off x="0" y="0"/>
                          <a:ext cx="2994025" cy="381000"/>
                        </a:xfrm>
                        <a:prstGeom prst="rect">
                          <a:avLst/>
                        </a:prstGeom>
                        <a:solidFill>
                          <a:schemeClr val="lt1"/>
                        </a:solidFill>
                        <a:ln w="6350">
                          <a:noFill/>
                        </a:ln>
                      </wps:spPr>
                      <wps:txbx>
                        <w:txbxContent>
                          <w:p w:rsidRPr="007E212F" w:rsidR="00F75A1B" w:rsidRDefault="00F75A1B" w14:paraId="26D4DCBE" w14:textId="77777777">
                            <w:pPr>
                              <w:rPr>
                                <w:i/>
                                <w:iCs/>
                                <w:sz w:val="16"/>
                                <w:szCs w:val="16"/>
                              </w:rPr>
                            </w:pPr>
                            <w:r w:rsidRPr="007E212F">
                              <w:rPr>
                                <w:i/>
                                <w:iCs/>
                                <w:sz w:val="16"/>
                                <w:szCs w:val="16"/>
                              </w:rPr>
                              <w:t>Figuur 5. Uitsplitsing CPI-inflatie 2024 naar belasting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7" style="position:absolute;margin-left:12.5pt;margin-top:3.2pt;width:235.75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" w14:anchorId="1005AA9A">
                <v:textbox>
                  <w:txbxContent>
                    <w:p w:rsidRPr="007E212F" w:rsidR="00F75A1B" w:rsidRDefault="00F75A1B" w14:paraId="26D4DCBE" w14:textId="77777777">
                      <w:pPr>
                        <w:rPr>
                          <w:i/>
                          <w:iCs/>
                          <w:sz w:val="16"/>
                          <w:szCs w:val="16"/>
                        </w:rPr>
                      </w:pPr>
                      <w:r w:rsidRPr="007E212F">
                        <w:rPr>
                          <w:i/>
                          <w:iCs/>
                          <w:sz w:val="16"/>
                          <w:szCs w:val="16"/>
                        </w:rPr>
                        <w:t>Figuur 5. Uitsplitsing CPI-inflatie 2024 naar belasting</w:t>
                      </w:r>
                    </w:p>
                  </w:txbxContent>
                </v:textbox>
              </v:shape>
            </w:pict>
          </mc:Fallback>
        </mc:AlternateContent>
      </w:r>
      <w:r>
        <w:rPr>
          <w:noProof/>
        </w:rPr>
        <w:drawing>
          <wp:inline distT="0" distB="0" distL="0" distR="0" wp14:anchorId="60E55708" wp14:editId="5948C019">
            <wp:extent cx="3437681" cy="2213088"/>
            <wp:effectExtent l="0" t="0" r="0" b="0"/>
            <wp:docPr id="16652264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26463" name=""/>
                    <pic:cNvPicPr/>
                  </pic:nvPicPr>
                  <pic:blipFill>
                    <a:blip r:embed="rId11"/>
                    <a:stretch>
                      <a:fillRect/>
                    </a:stretch>
                  </pic:blipFill>
                  <pic:spPr>
                    <a:xfrm>
                      <a:off x="0" y="0"/>
                      <a:ext cx="3502948" cy="2255105"/>
                    </a:xfrm>
                    <a:prstGeom prst="rect">
                      <a:avLst/>
                    </a:prstGeom>
                  </pic:spPr>
                </pic:pic>
              </a:graphicData>
            </a:graphic>
          </wp:inline>
        </w:drawing>
      </w:r>
      <w:r w:rsidRPr="003936CA" w:rsidR="003936CA">
        <w:rPr>
          <w:rFonts w:eastAsia="Verdana" w:cs="Verdana"/>
          <w:color w:val="auto"/>
          <w:sz w:val="12"/>
          <w:szCs w:val="12"/>
          <w:lang w:eastAsia="en-US"/>
        </w:rPr>
        <w:t>Bron: Ministerie van Financiën</w:t>
      </w:r>
    </w:p>
    <w:p w:rsidRPr="00E66A9C" w:rsidR="00E66A9C" w:rsidP="00E66A9C" w:rsidRDefault="00E66A9C" w14:paraId="0B24DDAF" w14:textId="77777777">
      <w:pPr>
        <w:autoSpaceDN/>
        <w:spacing w:after="160" w:line="259" w:lineRule="auto"/>
        <w:textAlignment w:val="auto"/>
        <w:rPr>
          <w:rFonts w:eastAsia="Verdana" w:cs="Verdana"/>
          <w:color w:val="auto"/>
          <w:lang w:eastAsia="en-US"/>
        </w:rPr>
      </w:pPr>
      <w:r w:rsidRPr="00E66A9C">
        <w:rPr>
          <w:rFonts w:eastAsia="Verdana" w:cs="Verdana"/>
          <w:color w:val="auto"/>
          <w:u w:val="single"/>
          <w:lang w:eastAsia="en-US"/>
        </w:rPr>
        <w:lastRenderedPageBreak/>
        <w:t>Diensten in verband met huisvesting</w:t>
      </w:r>
    </w:p>
    <w:p w:rsidRPr="00E66A9C" w:rsidR="00E66A9C" w:rsidP="00E66A9C" w:rsidRDefault="002734E9" w14:paraId="205930E2" w14:textId="77777777">
      <w:pPr>
        <w:autoSpaceDN/>
        <w:spacing w:line="240" w:lineRule="auto"/>
        <w:textAlignment w:val="auto"/>
        <w:rPr>
          <w:rFonts w:eastAsia="Calibri" w:cs="Times New Roman"/>
          <w:iCs/>
          <w:color w:val="auto"/>
          <w:kern w:val="2"/>
          <w:lang w:eastAsia="en-US"/>
          <w14:ligatures w14:val="standardContextual"/>
        </w:rPr>
      </w:pPr>
      <w:r w:rsidRPr="002734E9">
        <w:rPr>
          <w:rFonts w:eastAsia="Calibri" w:cs="Times New Roman"/>
          <w:color w:val="auto"/>
          <w:kern w:val="2"/>
          <w:lang w:eastAsia="en-US"/>
          <w14:ligatures w14:val="standardContextual"/>
        </w:rPr>
        <w:t xml:space="preserve">Mede door de regulering van de huren zijn de huurprijzen in de periode 2021-2024 aanmerkelijk minder hard gestegen dan het algemene prijspeil. Het algemene prijspeil lag op 1 januari 2025 22% hoger dan 1 januari 2021. De huurprijzen namen in dezelfde periode met 11,6% toe. Sinds medio 2022 maakten diensten in verband met huisvesting zo’n 0,75 %-punt uit van de inflatie. Sinds juli 2024 is dit toegenomen tot circa 1,1 %-punt (zie figuur 2). Dit cijfer bevat zowel de werkelijke woninghuurprijzen, als de toegerekende huur voor de eigen woning. De afgelopen maanden was het aandeel van de werkelijke woninghuur in de inflatie 0,37%-punt in de inflatie en het aandeel van de toegerekende huur 0,66%-punt. </w:t>
      </w:r>
      <w:r w:rsidRPr="00E66A9C" w:rsidR="00E66A9C">
        <w:rPr>
          <w:rFonts w:eastAsia="Calibri" w:cs="Times New Roman"/>
          <w:color w:val="auto"/>
          <w:kern w:val="2"/>
          <w:lang w:eastAsia="en-US"/>
          <w14:ligatures w14:val="standardContextual"/>
        </w:rPr>
        <w:t xml:space="preserve">De aankoop van een eigen woning is economische gezien geen consumptie, maar een investering. Daarom zitten transactieprijzen van koopwoningen niet in het inflatiecijfer. Het </w:t>
      </w:r>
      <w:r w:rsidRPr="00E66A9C" w:rsidR="00E66A9C">
        <w:rPr>
          <w:rFonts w:eastAsia="Calibri" w:cs="Times New Roman"/>
          <w:i/>
          <w:color w:val="auto"/>
          <w:kern w:val="2"/>
          <w:lang w:eastAsia="en-US"/>
          <w14:ligatures w14:val="standardContextual"/>
        </w:rPr>
        <w:t>gebruik</w:t>
      </w:r>
      <w:r w:rsidRPr="00E66A9C" w:rsidR="00E66A9C">
        <w:rPr>
          <w:rFonts w:eastAsia="Calibri" w:cs="Times New Roman"/>
          <w:color w:val="auto"/>
          <w:kern w:val="2"/>
          <w:lang w:eastAsia="en-US"/>
          <w14:ligatures w14:val="standardContextual"/>
        </w:rPr>
        <w:t xml:space="preserve"> van de eigen woning is wel consumptie en is daarom wél onderdeel van het inflatiecijfer, via een toegerekende huur. De toegerekende huur is gelijk aan de huur voor een vergelijkbare woning. </w:t>
      </w:r>
    </w:p>
    <w:p w:rsidRPr="00E66A9C" w:rsidR="00E66A9C" w:rsidP="00E66A9C" w:rsidRDefault="00E66A9C" w14:paraId="18B50B52" w14:textId="77777777">
      <w:pPr>
        <w:autoSpaceDN/>
        <w:spacing w:line="240" w:lineRule="auto"/>
        <w:textAlignment w:val="auto"/>
        <w:rPr>
          <w:rFonts w:eastAsia="Calibri" w:cs="Times New Roman"/>
          <w:iCs/>
          <w:color w:val="auto"/>
          <w:kern w:val="2"/>
          <w:lang w:eastAsia="en-US"/>
          <w14:ligatures w14:val="standardContextual"/>
        </w:rPr>
      </w:pPr>
    </w:p>
    <w:p w:rsidRPr="003D42CD" w:rsidR="00A10F28" w:rsidP="003D42CD" w:rsidRDefault="00E66A9C" w14:paraId="74800B9F" w14:textId="77777777">
      <w:pPr>
        <w:autoSpaceDN/>
        <w:spacing w:line="240" w:lineRule="auto"/>
        <w:textAlignment w:val="auto"/>
        <w:rPr>
          <w:rFonts w:eastAsia="Calibri" w:cs="Times New Roman"/>
          <w:color w:val="auto"/>
          <w:kern w:val="2"/>
          <w:lang w:eastAsia="en-US"/>
          <w14:ligatures w14:val="standardContextual"/>
        </w:rPr>
      </w:pPr>
      <w:r w:rsidRPr="00E66A9C">
        <w:rPr>
          <w:rFonts w:eastAsia="Calibri" w:cs="Times New Roman"/>
          <w:color w:val="auto"/>
          <w:kern w:val="2"/>
          <w:lang w:eastAsia="en-US"/>
          <w14:ligatures w14:val="standardContextual"/>
        </w:rPr>
        <w:t xml:space="preserve">Huurprijzen worden voor een belangrijk deel van de huurmarkt wettelijk gereguleerd. Het segment van de markt waar huurprijsregulering plaatsvindt bevat ruim 2,5 miljoen van de in totaal circa 3,5 miljoen huurwoningen in de hele huurmarkt. </w:t>
      </w:r>
      <w:r w:rsidR="00383BAE">
        <w:rPr>
          <w:rFonts w:eastAsia="Calibri" w:cs="Times New Roman"/>
          <w:color w:val="auto"/>
          <w:kern w:val="2"/>
          <w:lang w:eastAsia="en-US"/>
          <w14:ligatures w14:val="standardContextual"/>
        </w:rPr>
        <w:t>Hiervan word</w:t>
      </w:r>
      <w:r w:rsidR="001A777D">
        <w:rPr>
          <w:rFonts w:eastAsia="Calibri" w:cs="Times New Roman"/>
          <w:color w:val="auto"/>
          <w:kern w:val="2"/>
          <w:lang w:eastAsia="en-US"/>
          <w14:ligatures w14:val="standardContextual"/>
        </w:rPr>
        <w:t>en</w:t>
      </w:r>
      <w:r w:rsidRPr="00E66A9C">
        <w:rPr>
          <w:rFonts w:eastAsia="Calibri" w:cs="Times New Roman"/>
          <w:color w:val="auto"/>
          <w:kern w:val="2"/>
          <w:lang w:eastAsia="en-US"/>
          <w14:ligatures w14:val="standardContextual"/>
        </w:rPr>
        <w:t xml:space="preserve"> 2,3 miljoen </w:t>
      </w:r>
      <w:r w:rsidR="001A777D">
        <w:rPr>
          <w:rFonts w:eastAsia="Calibri" w:cs="Times New Roman"/>
          <w:color w:val="auto"/>
          <w:kern w:val="2"/>
          <w:lang w:eastAsia="en-US"/>
          <w14:ligatures w14:val="standardContextual"/>
        </w:rPr>
        <w:t xml:space="preserve">woningen </w:t>
      </w:r>
      <w:r w:rsidRPr="00E66A9C">
        <w:rPr>
          <w:rFonts w:eastAsia="Calibri" w:cs="Times New Roman"/>
          <w:color w:val="auto"/>
          <w:kern w:val="2"/>
          <w:lang w:eastAsia="en-US"/>
          <w14:ligatures w14:val="standardContextual"/>
        </w:rPr>
        <w:t xml:space="preserve">verhuurd door woningcorporaties. </w:t>
      </w:r>
      <w:r w:rsidR="00383BAE">
        <w:rPr>
          <w:rFonts w:eastAsia="Calibri" w:cs="Times New Roman"/>
          <w:color w:val="auto"/>
          <w:kern w:val="2"/>
          <w:lang w:eastAsia="en-US"/>
          <w14:ligatures w14:val="standardContextual"/>
        </w:rPr>
        <w:t>Daarnaast bestaat het geliberaliseerde segment waar huurprijzen niet gereguleerd zijn.</w:t>
      </w:r>
      <w:r w:rsidRPr="00E66A9C">
        <w:rPr>
          <w:rFonts w:eastAsia="Calibri" w:cs="Times New Roman"/>
          <w:color w:val="auto"/>
          <w:kern w:val="2"/>
          <w:lang w:eastAsia="en-US"/>
          <w14:ligatures w14:val="standardContextual"/>
        </w:rPr>
        <w:t xml:space="preserve"> Met de Wet betaalbare huur is de huurprijsregulering op 1 juli 2024 meer dwingend gemaakt en uitgebreid naar het zogenaamde middensegment. Daarmee is er sprake van een laag gereguleerd, midden gereguleerd en hoog/vrij segment</w:t>
      </w:r>
      <w:r w:rsidR="002734E9">
        <w:rPr>
          <w:rFonts w:eastAsia="Calibri" w:cs="Times New Roman"/>
          <w:color w:val="auto"/>
          <w:kern w:val="2"/>
          <w:lang w:eastAsia="en-US"/>
          <w14:ligatures w14:val="standardContextual"/>
        </w:rPr>
        <w:t xml:space="preserve">. </w:t>
      </w:r>
      <w:r w:rsidRPr="00E66A9C">
        <w:rPr>
          <w:rFonts w:eastAsia="Calibri" w:cs="Times New Roman"/>
          <w:iCs/>
          <w:color w:val="auto"/>
          <w:kern w:val="2"/>
          <w:lang w:eastAsia="en-US"/>
          <w14:ligatures w14:val="standardContextual"/>
        </w:rPr>
        <w:t>In 2021 zijn de huren van zittende huurders met een gereguleerd huurcontract bevroren. Ook de huurverhoging van zittende huurders met een geliberaliseerd contract werd gemaximeerd. In 2022 was de maximale huurverhoging voor zittende huurders met een gereguleerd contract gelijk aan de inflatie over 2021 en daarmee met 1,9% ruim 8 %-punt lager dan de inflatie over 2022 (10%). Voor 2023, 2024 en 2025 is voor woningcorporaties afgesproken dat de maximale toegestane huurverhoging gelijk is aan de cao-loonontwikkeling (t-1) +0,5%</w:t>
      </w:r>
      <w:r w:rsidR="002734E9">
        <w:rPr>
          <w:rFonts w:eastAsia="Calibri" w:cs="Times New Roman"/>
          <w:iCs/>
          <w:color w:val="auto"/>
          <w:kern w:val="2"/>
          <w:lang w:eastAsia="en-US"/>
          <w14:ligatures w14:val="standardContextual"/>
        </w:rPr>
        <w:t xml:space="preserve">. </w:t>
      </w:r>
      <w:r w:rsidRPr="00E66A9C">
        <w:rPr>
          <w:rFonts w:eastAsia="Calibri" w:cs="Times New Roman"/>
          <w:iCs/>
          <w:color w:val="auto"/>
          <w:kern w:val="2"/>
          <w:lang w:eastAsia="en-US"/>
          <w14:ligatures w14:val="standardContextual"/>
        </w:rPr>
        <w:t xml:space="preserve">In 2023 lag de huurprijsontwikkeling met 2,5% lager dan de inflatie van 3,8%. In 2024 was de huurprijsontwikkeling in de gereguleerde huursector 5,6%. De totale huurprijsontwikkeling was 3,7% in 2024 en daarmee hoger dan de inflatie. In 2025 mag de totale huursom van een woningcorporatie met maximaal 4,5% toenemen. </w:t>
      </w:r>
    </w:p>
    <w:p w:rsidRPr="00E66A9C" w:rsidR="00674458" w:rsidP="003D42CD" w:rsidRDefault="008B69ED" w14:paraId="6F4AD3DC" w14:textId="77777777">
      <w:pPr>
        <w:autoSpaceDN/>
        <w:spacing w:before="240" w:after="160" w:line="259" w:lineRule="auto"/>
        <w:textAlignment w:val="auto"/>
        <w:rPr>
          <w:rFonts w:eastAsia="Calibri" w:cs="Times New Roman"/>
          <w:b/>
          <w:bCs/>
          <w:noProof/>
          <w:color w:val="auto"/>
          <w:lang w:eastAsia="en-US"/>
        </w:rPr>
      </w:pPr>
      <w:r>
        <w:rPr>
          <w:rFonts w:eastAsia="Calibri" w:cs="Times New Roman"/>
          <w:b/>
          <w:bCs/>
          <w:noProof/>
          <w:color w:val="auto"/>
          <w:lang w:eastAsia="en-US"/>
        </w:rPr>
        <w:t>Ontwikkeling en vooruitzichten voor de koopkracht</w:t>
      </w:r>
    </w:p>
    <w:p w:rsidR="002734E9" w:rsidP="002734E9" w:rsidRDefault="00674458" w14:paraId="24AE9DED" w14:textId="77777777">
      <w:pPr>
        <w:autoSpaceDN/>
        <w:spacing w:line="259" w:lineRule="auto"/>
        <w:textAlignment w:val="auto"/>
        <w:rPr>
          <w:rFonts w:eastAsia="Calibri" w:cs="Times New Roman"/>
          <w:color w:val="auto"/>
          <w:lang w:eastAsia="en-US"/>
        </w:rPr>
      </w:pPr>
      <w:r w:rsidRPr="00E66A9C">
        <w:rPr>
          <w:rFonts w:eastAsia="Calibri" w:cs="Times New Roman"/>
          <w:color w:val="auto"/>
          <w:lang w:eastAsia="en-US"/>
        </w:rPr>
        <w:t>De inflatie van de afgelopen jaren is voelbaar in de portemonnee</w:t>
      </w:r>
      <w:r w:rsidR="002734E9">
        <w:rPr>
          <w:rFonts w:eastAsia="Calibri" w:cs="Times New Roman"/>
          <w:color w:val="auto"/>
          <w:lang w:eastAsia="en-US"/>
        </w:rPr>
        <w:t xml:space="preserve">, </w:t>
      </w:r>
      <w:r w:rsidRPr="00E66A9C">
        <w:rPr>
          <w:rFonts w:eastAsia="Calibri" w:cs="Times New Roman"/>
          <w:color w:val="auto"/>
          <w:lang w:eastAsia="en-US"/>
        </w:rPr>
        <w:t>terwijl de lonen en pensioenen niet voldoende meestegen om daarvoor te compenseren. Daardoor konden veel huishoudens met hun maandelijks primaire inkomen in 2022 en 2023 minder goederen en diensten kopen</w:t>
      </w:r>
      <w:r>
        <w:rPr>
          <w:rFonts w:eastAsia="Calibri" w:cs="Times New Roman"/>
          <w:color w:val="auto"/>
          <w:lang w:eastAsia="en-US"/>
        </w:rPr>
        <w:t xml:space="preserve"> dan daarvoor</w:t>
      </w:r>
      <w:r w:rsidRPr="00E66A9C">
        <w:rPr>
          <w:rFonts w:eastAsia="Calibri" w:cs="Times New Roman"/>
          <w:color w:val="auto"/>
          <w:lang w:eastAsia="en-US"/>
        </w:rPr>
        <w:t>. Maatregelen van de overheid om de gevolgen van de hoge inflatie te beperken en forse inzet van koopkrachtmaatregelen hebben dit effect enigszins gedempt. Lagere inkomensgroepen zijn in die periode het meest ondersteund in de portemonnee</w:t>
      </w:r>
      <w:r w:rsidR="00133386">
        <w:rPr>
          <w:rFonts w:eastAsia="Calibri" w:cs="Times New Roman"/>
          <w:color w:val="auto"/>
          <w:lang w:eastAsia="en-US"/>
        </w:rPr>
        <w:t xml:space="preserve"> om te voorkomen dat deze groep door het ijs zakte terwijl de inflatie opliep</w:t>
      </w:r>
      <w:r w:rsidRPr="00E66A9C">
        <w:rPr>
          <w:rFonts w:eastAsia="Calibri" w:cs="Times New Roman"/>
          <w:color w:val="auto"/>
          <w:lang w:eastAsia="en-US"/>
        </w:rPr>
        <w:t xml:space="preserve">. </w:t>
      </w:r>
    </w:p>
    <w:p w:rsidR="002734E9" w:rsidP="002734E9" w:rsidRDefault="002734E9" w14:paraId="59ED6271" w14:textId="77777777">
      <w:pPr>
        <w:autoSpaceDN/>
        <w:spacing w:line="259" w:lineRule="auto"/>
        <w:textAlignment w:val="auto"/>
        <w:rPr>
          <w:rFonts w:eastAsia="Calibri" w:cs="Times New Roman"/>
          <w:color w:val="auto"/>
          <w:lang w:eastAsia="en-US"/>
        </w:rPr>
      </w:pPr>
    </w:p>
    <w:p w:rsidR="008D5A86" w:rsidP="002734E9" w:rsidRDefault="00594466" w14:paraId="02E65E9F" w14:textId="77777777">
      <w:pPr>
        <w:autoSpaceDN/>
        <w:spacing w:line="259" w:lineRule="auto"/>
        <w:textAlignment w:val="auto"/>
        <w:rPr>
          <w:rFonts w:eastAsia="Calibri" w:cs="Times New Roman"/>
          <w:color w:val="auto"/>
          <w:lang w:eastAsia="en-US"/>
        </w:rPr>
      </w:pPr>
      <w:r>
        <w:rPr>
          <w:rFonts w:eastAsia="Calibri" w:cs="Times New Roman"/>
          <w:color w:val="auto"/>
          <w:lang w:eastAsia="en-US"/>
        </w:rPr>
        <w:t xml:space="preserve">De koopkracht daalde in de mediaan met 2,5% in 2022 en met 0,6% in 2023. </w:t>
      </w:r>
      <w:r w:rsidRPr="00E66A9C" w:rsidR="00674458">
        <w:rPr>
          <w:rFonts w:eastAsia="Calibri" w:cs="Times New Roman"/>
          <w:color w:val="auto"/>
          <w:lang w:eastAsia="en-US"/>
        </w:rPr>
        <w:t>Door de stijging van de loongroei (en daaraan gekoppelde uitkeringen) en koopkrachtmaatregelen door het kabinet – zoals de verhoging van toeslagen en de arbeidskorting – steeg de koopkracht in 2024 in de mediaan met 2,</w:t>
      </w:r>
      <w:r w:rsidR="0082652A">
        <w:rPr>
          <w:rFonts w:eastAsia="Calibri" w:cs="Times New Roman"/>
          <w:color w:val="auto"/>
          <w:lang w:eastAsia="en-US"/>
        </w:rPr>
        <w:t>9</w:t>
      </w:r>
      <w:r w:rsidRPr="00E66A9C" w:rsidR="00674458">
        <w:rPr>
          <w:rFonts w:eastAsia="Calibri" w:cs="Times New Roman"/>
          <w:color w:val="auto"/>
          <w:lang w:eastAsia="en-US"/>
        </w:rPr>
        <w:t xml:space="preserve">% en voor werkenden met </w:t>
      </w:r>
      <w:r w:rsidR="0082652A">
        <w:rPr>
          <w:rFonts w:eastAsia="Calibri" w:cs="Times New Roman"/>
          <w:color w:val="auto"/>
          <w:lang w:eastAsia="en-US"/>
        </w:rPr>
        <w:t>3,2</w:t>
      </w:r>
      <w:r w:rsidRPr="00E66A9C" w:rsidR="00674458">
        <w:rPr>
          <w:rFonts w:eastAsia="Calibri" w:cs="Times New Roman"/>
          <w:color w:val="auto"/>
          <w:lang w:eastAsia="en-US"/>
        </w:rPr>
        <w:t>%</w:t>
      </w:r>
      <w:r w:rsidR="00A10F28">
        <w:rPr>
          <w:rFonts w:eastAsia="Calibri" w:cs="Times New Roman"/>
          <w:color w:val="auto"/>
          <w:lang w:eastAsia="en-US"/>
        </w:rPr>
        <w:t>.</w:t>
      </w:r>
      <w:r w:rsidRPr="00E66A9C" w:rsidR="00674458">
        <w:rPr>
          <w:rFonts w:eastAsia="Calibri" w:cs="Times New Roman"/>
          <w:color w:val="auto"/>
          <w:vertAlign w:val="superscript"/>
          <w:lang w:eastAsia="en-US"/>
        </w:rPr>
        <w:footnoteReference w:id="13"/>
      </w:r>
      <w:r w:rsidRPr="00E66A9C" w:rsidR="00674458">
        <w:rPr>
          <w:rFonts w:eastAsia="Calibri" w:cs="Times New Roman"/>
          <w:color w:val="auto"/>
          <w:lang w:eastAsia="en-US"/>
        </w:rPr>
        <w:t xml:space="preserve"> </w:t>
      </w:r>
      <w:r w:rsidR="00D8200D">
        <w:rPr>
          <w:rFonts w:eastAsia="Calibri" w:cs="Times New Roman"/>
          <w:color w:val="auto"/>
          <w:lang w:eastAsia="en-US"/>
        </w:rPr>
        <w:t xml:space="preserve">Op dit moment wijkt de verwachting voor de koopkrachtontwikkeling in 2025 van het CPB zeer beperkt af van de </w:t>
      </w:r>
      <w:r w:rsidR="00D8200D">
        <w:rPr>
          <w:rFonts w:eastAsia="Calibri" w:cs="Times New Roman"/>
          <w:color w:val="auto"/>
          <w:lang w:eastAsia="en-US"/>
        </w:rPr>
        <w:lastRenderedPageBreak/>
        <w:t xml:space="preserve">verwachtingen in de Miljoenennota 2025. </w:t>
      </w:r>
      <w:r w:rsidR="006932EB">
        <w:rPr>
          <w:rFonts w:eastAsia="Calibri" w:cs="Times New Roman"/>
          <w:color w:val="auto"/>
          <w:lang w:eastAsia="en-US"/>
        </w:rPr>
        <w:t>N</w:t>
      </w:r>
      <w:r w:rsidRPr="00E66A9C" w:rsidR="00674458">
        <w:rPr>
          <w:rFonts w:eastAsia="Calibri" w:cs="Times New Roman"/>
          <w:color w:val="auto"/>
          <w:lang w:eastAsia="en-US"/>
        </w:rPr>
        <w:t xml:space="preserve">aar verwachting is er de komende jaren sprake van bescheiden reële loongroei en een verdere stijging van de koopkracht. </w:t>
      </w:r>
      <w:r w:rsidRPr="006B16AE" w:rsidR="006B16AE">
        <w:rPr>
          <w:rFonts w:eastAsia="Calibri" w:cs="Times New Roman"/>
          <w:color w:val="auto"/>
          <w:lang w:eastAsia="en-US"/>
        </w:rPr>
        <w:t xml:space="preserve">Daarnaast heeft het kabinet een extra schijf in de inkomstenbelasting geïntroduceerd met een lager tarief, wat doorwerkt in een hoger </w:t>
      </w:r>
      <w:proofErr w:type="gramStart"/>
      <w:r w:rsidRPr="006B16AE" w:rsidR="006B16AE">
        <w:rPr>
          <w:rFonts w:eastAsia="Calibri" w:cs="Times New Roman"/>
          <w:color w:val="auto"/>
          <w:lang w:eastAsia="en-US"/>
        </w:rPr>
        <w:t>netto inkomen</w:t>
      </w:r>
      <w:proofErr w:type="gramEnd"/>
      <w:r w:rsidRPr="006B16AE" w:rsidR="006B16AE">
        <w:rPr>
          <w:rFonts w:eastAsia="Calibri" w:cs="Times New Roman"/>
          <w:color w:val="auto"/>
          <w:lang w:eastAsia="en-US"/>
        </w:rPr>
        <w:t xml:space="preserve"> en hogere netto uitkeringen. Bovendien verhoogt het kabinet de huurtoeslag en het </w:t>
      </w:r>
      <w:proofErr w:type="spellStart"/>
      <w:r w:rsidRPr="006B16AE" w:rsidR="006B16AE">
        <w:rPr>
          <w:rFonts w:eastAsia="Calibri" w:cs="Times New Roman"/>
          <w:color w:val="auto"/>
          <w:lang w:eastAsia="en-US"/>
        </w:rPr>
        <w:t>kindgebonden</w:t>
      </w:r>
      <w:proofErr w:type="spellEnd"/>
      <w:r w:rsidRPr="006B16AE" w:rsidR="006B16AE">
        <w:rPr>
          <w:rFonts w:eastAsia="Calibri" w:cs="Times New Roman"/>
          <w:color w:val="auto"/>
          <w:lang w:eastAsia="en-US"/>
        </w:rPr>
        <w:t xml:space="preserve"> budget. </w:t>
      </w:r>
      <w:r w:rsidRPr="00E66A9C" w:rsidR="00674458">
        <w:rPr>
          <w:rFonts w:eastAsia="Calibri" w:cs="Times New Roman"/>
          <w:color w:val="auto"/>
          <w:lang w:eastAsia="en-US"/>
        </w:rPr>
        <w:t>Daardoor zal de koopkracht voor huishoudens in de mediaan naar verwachting dit jaar weer terug zijn op het niveau van 2021, en de jaren erna verder stijgen.</w:t>
      </w:r>
    </w:p>
    <w:p w:rsidRPr="002734E9" w:rsidR="002734E9" w:rsidP="002734E9" w:rsidRDefault="002734E9" w14:paraId="5AC8BDDF" w14:textId="77777777">
      <w:pPr>
        <w:autoSpaceDN/>
        <w:spacing w:line="259" w:lineRule="auto"/>
        <w:textAlignment w:val="auto"/>
        <w:rPr>
          <w:rFonts w:eastAsia="Calibri" w:cs="Times New Roman"/>
          <w:color w:val="auto"/>
          <w:lang w:eastAsia="en-US"/>
        </w:rPr>
      </w:pPr>
    </w:p>
    <w:p w:rsidRPr="00E66A9C" w:rsidR="00E66A9C" w:rsidP="00E66A9C" w:rsidRDefault="00E66A9C" w14:paraId="6228F21F" w14:textId="77777777">
      <w:pPr>
        <w:autoSpaceDN/>
        <w:spacing w:after="160" w:line="259" w:lineRule="auto"/>
        <w:textAlignment w:val="auto"/>
        <w:rPr>
          <w:rFonts w:ascii="Calibri" w:hAnsi="Calibri" w:eastAsia="Calibri" w:cs="Times New Roman"/>
          <w:color w:val="auto"/>
          <w:sz w:val="22"/>
          <w:szCs w:val="22"/>
          <w:lang w:eastAsia="en-US"/>
        </w:rPr>
      </w:pPr>
      <w:r w:rsidRPr="00E66A9C">
        <w:rPr>
          <w:rFonts w:eastAsia="Calibri" w:cs="Times New Roman"/>
          <w:b/>
          <w:bCs/>
          <w:color w:val="auto"/>
          <w:lang w:eastAsia="en-US"/>
        </w:rPr>
        <w:t>Handelingsperspectief</w:t>
      </w:r>
    </w:p>
    <w:p w:rsidRPr="00E66A9C" w:rsidR="00E66A9C" w:rsidP="00E66A9C" w:rsidRDefault="00E66A9C" w14:paraId="57DD857F" w14:textId="77777777">
      <w:pPr>
        <w:autoSpaceDN/>
        <w:spacing w:after="160" w:line="259" w:lineRule="auto"/>
        <w:textAlignment w:val="auto"/>
        <w:rPr>
          <w:rFonts w:eastAsia="Calibri" w:cs="Times New Roman"/>
          <w:color w:val="auto"/>
          <w:kern w:val="2"/>
          <w:u w:val="single"/>
          <w:lang w:eastAsia="en-US"/>
          <w14:ligatures w14:val="standardContextual"/>
        </w:rPr>
      </w:pPr>
      <w:r w:rsidRPr="00E66A9C">
        <w:rPr>
          <w:rFonts w:eastAsia="Calibri" w:cs="Times New Roman"/>
          <w:color w:val="auto"/>
          <w:kern w:val="2"/>
          <w:u w:val="single"/>
          <w:lang w:eastAsia="en-US"/>
          <w14:ligatures w14:val="standardContextual"/>
        </w:rPr>
        <w:t>De rol van de centrale bank</w:t>
      </w:r>
    </w:p>
    <w:p w:rsidRPr="00E66A9C" w:rsidR="00E66A9C" w:rsidP="00D7056C" w:rsidRDefault="00E66A9C" w14:paraId="68574B1A" w14:textId="77777777">
      <w:pPr>
        <w:autoSpaceDN/>
        <w:spacing w:after="160" w:line="259" w:lineRule="auto"/>
        <w:textAlignment w:val="auto"/>
        <w:rPr>
          <w:rFonts w:eastAsia="Calibri" w:cs="Times New Roman"/>
          <w:color w:val="auto"/>
          <w:kern w:val="2"/>
          <w:lang w:eastAsia="en-US"/>
          <w14:ligatures w14:val="standardContextual"/>
        </w:rPr>
      </w:pPr>
      <w:r w:rsidRPr="00E66A9C">
        <w:rPr>
          <w:rFonts w:eastAsia="Calibri" w:cs="Times New Roman"/>
          <w:color w:val="auto"/>
          <w:kern w:val="2"/>
          <w:lang w:eastAsia="en-US"/>
          <w14:ligatures w14:val="standardContextual"/>
        </w:rPr>
        <w:t>Het bewaken van de prijsstabiliteit is belegd bij de Europese Centrale Bank (ECB), die dit als primair mandaat heeft. De onafhankelijkheid van de centrale bank is een groot goed, en cruciaal om prijsstabiliteit op de middellange termijn te handhaven.</w:t>
      </w:r>
      <w:r w:rsidR="00463B5C">
        <w:rPr>
          <w:rFonts w:eastAsia="Calibri" w:cs="Times New Roman"/>
          <w:color w:val="auto"/>
          <w:kern w:val="2"/>
          <w:lang w:eastAsia="en-US"/>
          <w14:ligatures w14:val="standardContextual"/>
        </w:rPr>
        <w:t xml:space="preserve"> </w:t>
      </w:r>
      <w:r w:rsidR="00F57A5D">
        <w:rPr>
          <w:rFonts w:eastAsia="Calibri" w:cs="Times New Roman"/>
          <w:color w:val="auto"/>
          <w:kern w:val="2"/>
          <w:lang w:eastAsia="en-US"/>
          <w14:ligatures w14:val="standardContextual"/>
        </w:rPr>
        <w:t xml:space="preserve">Omdat de ECB zich op de eurozone richt is voor een verdere daling van het inflatieverschil nodig dat de Nederlandse economie via andere wegen dan het monetaire beleid </w:t>
      </w:r>
      <w:r w:rsidR="003A5CD1">
        <w:rPr>
          <w:rFonts w:eastAsia="Calibri" w:cs="Times New Roman"/>
          <w:color w:val="auto"/>
          <w:kern w:val="2"/>
          <w:lang w:eastAsia="en-US"/>
          <w14:ligatures w14:val="standardContextual"/>
        </w:rPr>
        <w:t>verder afkoelt.</w:t>
      </w:r>
    </w:p>
    <w:p w:rsidRPr="00E66A9C" w:rsidR="00E66A9C" w:rsidP="00E66A9C" w:rsidRDefault="00E66A9C" w14:paraId="77E908D9" w14:textId="77777777">
      <w:pPr>
        <w:autoSpaceDN/>
        <w:spacing w:after="160" w:line="259" w:lineRule="auto"/>
        <w:textAlignment w:val="auto"/>
        <w:rPr>
          <w:rFonts w:eastAsia="Calibri" w:cs="Times New Roman"/>
          <w:color w:val="auto"/>
          <w:kern w:val="2"/>
          <w:u w:val="single"/>
          <w:lang w:eastAsia="en-US"/>
          <w14:ligatures w14:val="standardContextual"/>
        </w:rPr>
      </w:pPr>
      <w:r w:rsidRPr="00E66A9C">
        <w:rPr>
          <w:rFonts w:eastAsia="Calibri" w:cs="Times New Roman"/>
          <w:color w:val="auto"/>
          <w:kern w:val="2"/>
          <w:u w:val="single"/>
          <w:lang w:eastAsia="en-US"/>
          <w14:ligatures w14:val="standardContextual"/>
        </w:rPr>
        <w:t>Begrotingsbeleid</w:t>
      </w:r>
    </w:p>
    <w:p w:rsidRPr="00E66A9C" w:rsidR="00E66A9C" w:rsidP="00E66A9C" w:rsidRDefault="00E05E0A" w14:paraId="420555F5" w14:textId="77777777">
      <w:pPr>
        <w:autoSpaceDN/>
        <w:spacing w:after="160" w:line="259" w:lineRule="auto"/>
        <w:textAlignment w:val="auto"/>
        <w:rPr>
          <w:rFonts w:eastAsia="Calibri" w:cs="Times New Roman"/>
          <w:color w:val="auto"/>
          <w:kern w:val="2"/>
          <w:lang w:eastAsia="en-US"/>
          <w14:ligatures w14:val="standardContextual"/>
        </w:rPr>
      </w:pPr>
      <w:r>
        <w:rPr>
          <w:rFonts w:eastAsia="Calibri" w:cs="Times New Roman"/>
          <w:color w:val="auto"/>
          <w:kern w:val="2"/>
          <w:lang w:eastAsia="en-US"/>
          <w14:ligatures w14:val="standardContextual"/>
        </w:rPr>
        <w:t>Terwijl de centrale bank indirect via het beïnvloeden van de marktrentes</w:t>
      </w:r>
      <w:r w:rsidR="00133386">
        <w:rPr>
          <w:rFonts w:eastAsia="Calibri" w:cs="Times New Roman"/>
          <w:color w:val="auto"/>
          <w:kern w:val="2"/>
          <w:lang w:eastAsia="en-US"/>
          <w14:ligatures w14:val="standardContextual"/>
        </w:rPr>
        <w:t xml:space="preserve"> en de maatschappelijke geldhoeveelheid</w:t>
      </w:r>
      <w:r>
        <w:rPr>
          <w:rFonts w:eastAsia="Calibri" w:cs="Times New Roman"/>
          <w:color w:val="auto"/>
          <w:kern w:val="2"/>
          <w:lang w:eastAsia="en-US"/>
          <w14:ligatures w14:val="standardContextual"/>
        </w:rPr>
        <w:t xml:space="preserve"> de vraag in de economie af kan remmen om de inflatie terug te dringen</w:t>
      </w:r>
      <w:r w:rsidR="006E0E63">
        <w:rPr>
          <w:rFonts w:eastAsia="Calibri" w:cs="Times New Roman"/>
          <w:color w:val="auto"/>
          <w:kern w:val="2"/>
          <w:lang w:eastAsia="en-US"/>
          <w14:ligatures w14:val="standardContextual"/>
        </w:rPr>
        <w:t>,</w:t>
      </w:r>
      <w:r>
        <w:rPr>
          <w:rFonts w:eastAsia="Calibri" w:cs="Times New Roman"/>
          <w:color w:val="auto"/>
          <w:kern w:val="2"/>
          <w:lang w:eastAsia="en-US"/>
          <w14:ligatures w14:val="standardContextual"/>
        </w:rPr>
        <w:t xml:space="preserve"> </w:t>
      </w:r>
      <w:r w:rsidRPr="00E66A9C" w:rsidR="00E66A9C">
        <w:rPr>
          <w:rFonts w:eastAsia="Calibri" w:cs="Times New Roman"/>
          <w:color w:val="auto"/>
          <w:kern w:val="2"/>
          <w:lang w:eastAsia="en-US"/>
          <w14:ligatures w14:val="standardContextual"/>
        </w:rPr>
        <w:t xml:space="preserve">kan de overheid </w:t>
      </w:r>
      <w:r>
        <w:rPr>
          <w:rFonts w:eastAsia="Calibri" w:cs="Times New Roman"/>
          <w:color w:val="auto"/>
          <w:kern w:val="2"/>
          <w:lang w:eastAsia="en-US"/>
          <w14:ligatures w14:val="standardContextual"/>
        </w:rPr>
        <w:t xml:space="preserve">direct en indirect </w:t>
      </w:r>
      <w:r w:rsidRPr="00E66A9C" w:rsidR="00E66A9C">
        <w:rPr>
          <w:rFonts w:eastAsia="Calibri" w:cs="Times New Roman"/>
          <w:color w:val="auto"/>
          <w:kern w:val="2"/>
          <w:lang w:eastAsia="en-US"/>
          <w14:ligatures w14:val="standardContextual"/>
        </w:rPr>
        <w:t xml:space="preserve">via haar begrotingsbeleid de vraag in de economie stimuleren dan wel afremmen. </w:t>
      </w:r>
      <w:bookmarkStart w:name="_Hlk192058427" w:id="12"/>
      <w:r w:rsidR="008937F8">
        <w:rPr>
          <w:rFonts w:eastAsia="Calibri" w:cs="Times New Roman"/>
          <w:color w:val="auto"/>
          <w:kern w:val="2"/>
          <w:lang w:eastAsia="en-US"/>
          <w14:ligatures w14:val="standardContextual"/>
        </w:rPr>
        <w:t>In welke mate</w:t>
      </w:r>
      <w:r w:rsidR="00FC2206">
        <w:rPr>
          <w:rFonts w:eastAsia="Calibri" w:cs="Times New Roman"/>
          <w:color w:val="auto"/>
          <w:kern w:val="2"/>
          <w:lang w:eastAsia="en-US"/>
          <w14:ligatures w14:val="standardContextual"/>
        </w:rPr>
        <w:t xml:space="preserve"> begrotingsbeleid inflatie</w:t>
      </w:r>
      <w:r w:rsidR="008937F8">
        <w:rPr>
          <w:rFonts w:eastAsia="Calibri" w:cs="Times New Roman"/>
          <w:color w:val="auto"/>
          <w:kern w:val="2"/>
          <w:lang w:eastAsia="en-US"/>
          <w14:ligatures w14:val="standardContextual"/>
        </w:rPr>
        <w:t xml:space="preserve"> beïnvloed</w:t>
      </w:r>
      <w:r w:rsidR="006E0E63">
        <w:rPr>
          <w:rFonts w:eastAsia="Calibri" w:cs="Times New Roman"/>
          <w:color w:val="auto"/>
          <w:kern w:val="2"/>
          <w:lang w:eastAsia="en-US"/>
          <w14:ligatures w14:val="standardContextual"/>
        </w:rPr>
        <w:t>t</w:t>
      </w:r>
      <w:r w:rsidR="008D5A86">
        <w:rPr>
          <w:rFonts w:eastAsia="Calibri" w:cs="Times New Roman"/>
          <w:color w:val="auto"/>
          <w:kern w:val="2"/>
          <w:lang w:eastAsia="en-US"/>
          <w14:ligatures w14:val="standardContextual"/>
        </w:rPr>
        <w:t>, waaronder inflatieverschillen binnen de eurozone,</w:t>
      </w:r>
      <w:r w:rsidR="00FC2206">
        <w:rPr>
          <w:rFonts w:eastAsia="Calibri" w:cs="Times New Roman"/>
          <w:color w:val="auto"/>
          <w:kern w:val="2"/>
          <w:lang w:eastAsia="en-US"/>
          <w14:ligatures w14:val="standardContextual"/>
        </w:rPr>
        <w:t xml:space="preserve"> blijkt niet eenduidig uit de </w:t>
      </w:r>
      <w:r w:rsidR="0099233A">
        <w:rPr>
          <w:rFonts w:eastAsia="Calibri" w:cs="Times New Roman"/>
          <w:color w:val="auto"/>
          <w:kern w:val="2"/>
          <w:lang w:eastAsia="en-US"/>
          <w14:ligatures w14:val="standardContextual"/>
        </w:rPr>
        <w:t xml:space="preserve">empirische </w:t>
      </w:r>
      <w:r w:rsidR="00FC2206">
        <w:rPr>
          <w:rFonts w:eastAsia="Calibri" w:cs="Times New Roman"/>
          <w:color w:val="auto"/>
          <w:kern w:val="2"/>
          <w:lang w:eastAsia="en-US"/>
          <w14:ligatures w14:val="standardContextual"/>
        </w:rPr>
        <w:t>literatuur.</w:t>
      </w:r>
      <w:r w:rsidR="008D5A86">
        <w:rPr>
          <w:rStyle w:val="Voetnootmarkering"/>
          <w:rFonts w:eastAsia="Calibri" w:cs="Times New Roman"/>
          <w:color w:val="auto"/>
          <w:kern w:val="2"/>
          <w:lang w:eastAsia="en-US"/>
          <w14:ligatures w14:val="standardContextual"/>
        </w:rPr>
        <w:footnoteReference w:id="14"/>
      </w:r>
      <w:r w:rsidR="00FC2206">
        <w:rPr>
          <w:rFonts w:eastAsia="Calibri" w:cs="Times New Roman"/>
          <w:color w:val="auto"/>
          <w:kern w:val="2"/>
          <w:lang w:eastAsia="en-US"/>
          <w14:ligatures w14:val="standardContextual"/>
        </w:rPr>
        <w:t xml:space="preserve"> </w:t>
      </w:r>
      <w:r w:rsidR="00E950FB">
        <w:rPr>
          <w:rFonts w:eastAsia="Calibri" w:cs="Times New Roman"/>
          <w:color w:val="auto"/>
          <w:kern w:val="2"/>
          <w:lang w:eastAsia="en-US"/>
          <w14:ligatures w14:val="standardContextual"/>
        </w:rPr>
        <w:t>E</w:t>
      </w:r>
      <w:r w:rsidR="00BB61D8">
        <w:rPr>
          <w:rFonts w:eastAsia="Calibri" w:cs="Times New Roman"/>
          <w:color w:val="auto"/>
          <w:kern w:val="2"/>
          <w:lang w:eastAsia="en-US"/>
          <w14:ligatures w14:val="standardContextual"/>
        </w:rPr>
        <w:t xml:space="preserve">r </w:t>
      </w:r>
      <w:r w:rsidR="00A34F2B">
        <w:rPr>
          <w:rFonts w:eastAsia="Calibri" w:cs="Times New Roman"/>
          <w:color w:val="auto"/>
          <w:kern w:val="2"/>
          <w:lang w:eastAsia="en-US"/>
          <w14:ligatures w14:val="standardContextual"/>
        </w:rPr>
        <w:t xml:space="preserve">zijn </w:t>
      </w:r>
      <w:r w:rsidR="008937F8">
        <w:rPr>
          <w:rFonts w:eastAsia="Calibri" w:cs="Times New Roman"/>
          <w:color w:val="auto"/>
          <w:kern w:val="2"/>
          <w:lang w:eastAsia="en-US"/>
          <w14:ligatures w14:val="standardContextual"/>
        </w:rPr>
        <w:t xml:space="preserve">wel </w:t>
      </w:r>
      <w:r w:rsidR="006E0E63">
        <w:rPr>
          <w:rFonts w:eastAsia="Calibri" w:cs="Times New Roman"/>
          <w:color w:val="auto"/>
          <w:kern w:val="2"/>
          <w:lang w:eastAsia="en-US"/>
          <w14:ligatures w14:val="standardContextual"/>
        </w:rPr>
        <w:t>aanwijzingen dat de effecten mogelijk groter zijn tijdens hoogconjunctuur en dat de samenstelling van de begroting uitmaakt</w:t>
      </w:r>
      <w:r w:rsidR="00FC2206">
        <w:rPr>
          <w:rFonts w:eastAsia="Calibri" w:cs="Times New Roman"/>
          <w:color w:val="auto"/>
          <w:kern w:val="2"/>
          <w:lang w:eastAsia="en-US"/>
          <w14:ligatures w14:val="standardContextual"/>
        </w:rPr>
        <w:t>.</w:t>
      </w:r>
      <w:r w:rsidR="00FC2206">
        <w:rPr>
          <w:rStyle w:val="Voetnootmarkering"/>
          <w:rFonts w:eastAsia="Calibri" w:cs="Times New Roman"/>
          <w:color w:val="auto"/>
          <w:kern w:val="2"/>
          <w:lang w:eastAsia="en-US"/>
          <w14:ligatures w14:val="standardContextual"/>
        </w:rPr>
        <w:footnoteReference w:id="15"/>
      </w:r>
      <w:r w:rsidR="00162B1F">
        <w:rPr>
          <w:rFonts w:eastAsia="Calibri" w:cs="Times New Roman"/>
          <w:color w:val="auto"/>
          <w:kern w:val="2"/>
          <w:lang w:eastAsia="en-US"/>
          <w14:ligatures w14:val="standardContextual"/>
        </w:rPr>
        <w:t xml:space="preserve"> </w:t>
      </w:r>
      <w:r w:rsidRPr="00A311AF" w:rsidR="00162B1F">
        <w:rPr>
          <w:rFonts w:eastAsia="Calibri" w:cs="Times New Roman"/>
          <w:color w:val="auto"/>
          <w:kern w:val="2"/>
          <w:lang w:eastAsia="en-US"/>
          <w14:ligatures w14:val="standardContextual"/>
        </w:rPr>
        <w:t>Zo blijkt uit een recente studie van DNB</w:t>
      </w:r>
      <w:r w:rsidRPr="00A311AF" w:rsidR="00162B1F">
        <w:rPr>
          <w:rStyle w:val="Voetnootmarkering"/>
          <w:rFonts w:eastAsia="Calibri" w:cs="Times New Roman"/>
          <w:color w:val="auto"/>
          <w:kern w:val="2"/>
          <w:lang w:eastAsia="en-US"/>
          <w14:ligatures w14:val="standardContextual"/>
        </w:rPr>
        <w:footnoteReference w:id="16"/>
      </w:r>
      <w:r w:rsidRPr="00A311AF" w:rsidR="00E1165B">
        <w:rPr>
          <w:rFonts w:eastAsia="Calibri" w:cs="Times New Roman"/>
          <w:color w:val="auto"/>
          <w:kern w:val="2"/>
          <w:lang w:eastAsia="en-US"/>
          <w14:ligatures w14:val="standardContextual"/>
        </w:rPr>
        <w:t xml:space="preserve"> waarbij gebruik gemaakt is van een modelschatting</w:t>
      </w:r>
      <w:r w:rsidRPr="00A311AF" w:rsidR="00162B1F">
        <w:rPr>
          <w:rFonts w:eastAsia="Calibri" w:cs="Times New Roman"/>
          <w:color w:val="auto"/>
          <w:kern w:val="2"/>
          <w:lang w:eastAsia="en-US"/>
          <w14:ligatures w14:val="standardContextual"/>
        </w:rPr>
        <w:t xml:space="preserve"> dat het effect van </w:t>
      </w:r>
      <w:r w:rsidRPr="00A311AF" w:rsidR="00AC11A8">
        <w:rPr>
          <w:rFonts w:eastAsia="Calibri" w:cs="Times New Roman"/>
          <w:color w:val="auto"/>
          <w:kern w:val="2"/>
          <w:lang w:eastAsia="en-US"/>
          <w14:ligatures w14:val="standardContextual"/>
        </w:rPr>
        <w:t xml:space="preserve">indirecte belastingen, uitgaven aan overheidspersoneel of materiële overheidsconsumptie </w:t>
      </w:r>
      <w:r w:rsidRPr="00A311AF" w:rsidR="00162B1F">
        <w:rPr>
          <w:rFonts w:eastAsia="Calibri" w:cs="Times New Roman"/>
          <w:color w:val="auto"/>
          <w:kern w:val="2"/>
          <w:lang w:eastAsia="en-US"/>
          <w14:ligatures w14:val="standardContextual"/>
        </w:rPr>
        <w:t>mogelijk groter is op de inflatie dan het effect van</w:t>
      </w:r>
      <w:r w:rsidRPr="00A311AF" w:rsidR="00AC11A8">
        <w:rPr>
          <w:rFonts w:eastAsia="Calibri" w:cs="Times New Roman"/>
          <w:color w:val="auto"/>
          <w:kern w:val="2"/>
          <w:lang w:eastAsia="en-US"/>
          <w14:ligatures w14:val="standardContextual"/>
        </w:rPr>
        <w:t xml:space="preserve"> investeringen</w:t>
      </w:r>
      <w:r w:rsidRPr="00A311AF" w:rsidR="00ED0B3E">
        <w:rPr>
          <w:rFonts w:eastAsia="Calibri" w:cs="Times New Roman"/>
          <w:color w:val="auto"/>
          <w:kern w:val="2"/>
          <w:lang w:eastAsia="en-US"/>
          <w14:ligatures w14:val="standardContextual"/>
        </w:rPr>
        <w:t xml:space="preserve"> en </w:t>
      </w:r>
      <w:r w:rsidRPr="00A311AF" w:rsidR="00AC11A8">
        <w:rPr>
          <w:rFonts w:eastAsia="Calibri" w:cs="Times New Roman"/>
          <w:color w:val="auto"/>
          <w:kern w:val="2"/>
          <w:lang w:eastAsia="en-US"/>
          <w14:ligatures w14:val="standardContextual"/>
        </w:rPr>
        <w:t>directe belastingen</w:t>
      </w:r>
      <w:r w:rsidRPr="00A311AF" w:rsidR="00162B1F">
        <w:rPr>
          <w:rFonts w:eastAsia="Calibri" w:cs="Times New Roman"/>
          <w:color w:val="auto"/>
          <w:kern w:val="2"/>
          <w:lang w:eastAsia="en-US"/>
          <w14:ligatures w14:val="standardContextual"/>
        </w:rPr>
        <w:t xml:space="preserve">. </w:t>
      </w:r>
      <w:r w:rsidRPr="00A311AF" w:rsidR="00E1165B">
        <w:rPr>
          <w:rFonts w:eastAsia="Calibri" w:cs="Times New Roman"/>
          <w:color w:val="auto"/>
          <w:kern w:val="2"/>
          <w:lang w:eastAsia="en-US"/>
          <w14:ligatures w14:val="standardContextual"/>
        </w:rPr>
        <w:t>Deze</w:t>
      </w:r>
      <w:r w:rsidRPr="00A311AF" w:rsidR="00162B1F">
        <w:rPr>
          <w:rFonts w:eastAsia="Calibri" w:cs="Times New Roman"/>
          <w:color w:val="auto"/>
          <w:kern w:val="2"/>
          <w:lang w:eastAsia="en-US"/>
          <w14:ligatures w14:val="standardContextual"/>
        </w:rPr>
        <w:t xml:space="preserve"> modelinschatting </w:t>
      </w:r>
      <w:r w:rsidRPr="00A311AF" w:rsidR="00E1165B">
        <w:rPr>
          <w:rFonts w:eastAsia="Calibri" w:cs="Times New Roman"/>
          <w:color w:val="auto"/>
          <w:kern w:val="2"/>
          <w:lang w:eastAsia="en-US"/>
          <w14:ligatures w14:val="standardContextual"/>
        </w:rPr>
        <w:t>is op</w:t>
      </w:r>
      <w:r w:rsidRPr="00A311AF" w:rsidR="00162B1F">
        <w:rPr>
          <w:rFonts w:eastAsia="Calibri" w:cs="Times New Roman"/>
          <w:color w:val="auto"/>
          <w:kern w:val="2"/>
          <w:lang w:eastAsia="en-US"/>
          <w14:ligatures w14:val="standardContextual"/>
        </w:rPr>
        <w:t xml:space="preserve"> verscheidene aannames</w:t>
      </w:r>
      <w:r w:rsidRPr="00A311AF" w:rsidR="00E1165B">
        <w:rPr>
          <w:rFonts w:eastAsia="Calibri" w:cs="Times New Roman"/>
          <w:color w:val="auto"/>
          <w:kern w:val="2"/>
          <w:lang w:eastAsia="en-US"/>
          <w14:ligatures w14:val="standardContextual"/>
        </w:rPr>
        <w:t xml:space="preserve"> gebaseerd,</w:t>
      </w:r>
      <w:r w:rsidRPr="00A311AF" w:rsidR="00162B1F">
        <w:rPr>
          <w:rFonts w:eastAsia="Calibri" w:cs="Times New Roman"/>
          <w:color w:val="auto"/>
          <w:kern w:val="2"/>
          <w:lang w:eastAsia="en-US"/>
          <w14:ligatures w14:val="standardContextual"/>
        </w:rPr>
        <w:t xml:space="preserve"> waardoor de werkelijke </w:t>
      </w:r>
      <w:r w:rsidRPr="00A311AF" w:rsidR="00D67C7A">
        <w:rPr>
          <w:rFonts w:eastAsia="Calibri" w:cs="Times New Roman"/>
          <w:color w:val="auto"/>
          <w:kern w:val="2"/>
          <w:lang w:eastAsia="en-US"/>
          <w14:ligatures w14:val="standardContextual"/>
        </w:rPr>
        <w:t xml:space="preserve">inflatiegevolgen </w:t>
      </w:r>
      <w:r w:rsidRPr="00A311AF" w:rsidR="00162B1F">
        <w:rPr>
          <w:rFonts w:eastAsia="Calibri" w:cs="Times New Roman"/>
          <w:color w:val="auto"/>
          <w:kern w:val="2"/>
          <w:lang w:eastAsia="en-US"/>
          <w14:ligatures w14:val="standardContextual"/>
        </w:rPr>
        <w:t xml:space="preserve">kunnen afwijken. </w:t>
      </w:r>
      <w:r w:rsidRPr="00A311AF" w:rsidR="00AE6A74">
        <w:rPr>
          <w:rFonts w:eastAsia="Calibri" w:cs="Times New Roman"/>
          <w:color w:val="auto"/>
          <w:kern w:val="2"/>
          <w:lang w:eastAsia="en-US"/>
          <w14:ligatures w14:val="standardContextual"/>
        </w:rPr>
        <w:t>DNB benadrukt dat er substantiële onzekerheid bestaat over de omvang van het effect van specifieke budgettaire maatregelen op de inflatie.</w:t>
      </w:r>
      <w:r w:rsidR="00AE6A74">
        <w:rPr>
          <w:rFonts w:eastAsia="Calibri" w:cs="Times New Roman"/>
          <w:color w:val="auto"/>
          <w:kern w:val="2"/>
          <w:lang w:eastAsia="en-US"/>
          <w14:ligatures w14:val="standardContextual"/>
        </w:rPr>
        <w:t xml:space="preserve"> </w:t>
      </w:r>
      <w:r w:rsidRPr="00E66A9C" w:rsidR="00E66A9C">
        <w:rPr>
          <w:rFonts w:eastAsia="Calibri" w:cs="Times New Roman"/>
          <w:color w:val="auto"/>
          <w:kern w:val="2"/>
          <w:lang w:eastAsia="en-US"/>
          <w14:ligatures w14:val="standardContextual"/>
        </w:rPr>
        <w:t xml:space="preserve">In de huidige oververhitte economie is </w:t>
      </w:r>
      <w:r>
        <w:rPr>
          <w:rFonts w:eastAsia="Calibri" w:cs="Times New Roman"/>
          <w:color w:val="auto"/>
          <w:kern w:val="2"/>
          <w:lang w:eastAsia="en-US"/>
          <w14:ligatures w14:val="standardContextual"/>
        </w:rPr>
        <w:t>prudent</w:t>
      </w:r>
      <w:r w:rsidRPr="00E66A9C" w:rsidR="00E66A9C">
        <w:rPr>
          <w:rFonts w:eastAsia="Calibri" w:cs="Times New Roman"/>
          <w:color w:val="auto"/>
          <w:kern w:val="2"/>
          <w:lang w:eastAsia="en-US"/>
          <w14:ligatures w14:val="standardContextual"/>
        </w:rPr>
        <w:t xml:space="preserve"> begrotingsbeleid </w:t>
      </w:r>
      <w:r w:rsidR="006E0E63">
        <w:rPr>
          <w:rFonts w:eastAsia="Calibri" w:cs="Times New Roman"/>
          <w:color w:val="auto"/>
          <w:kern w:val="2"/>
          <w:lang w:eastAsia="en-US"/>
          <w14:ligatures w14:val="standardContextual"/>
        </w:rPr>
        <w:t xml:space="preserve">daarom </w:t>
      </w:r>
      <w:r w:rsidR="00FC2206">
        <w:rPr>
          <w:rFonts w:eastAsia="Calibri" w:cs="Times New Roman"/>
          <w:color w:val="auto"/>
          <w:kern w:val="2"/>
          <w:lang w:eastAsia="en-US"/>
          <w14:ligatures w14:val="standardContextual"/>
        </w:rPr>
        <w:t>verstandig</w:t>
      </w:r>
      <w:r w:rsidRPr="00E66A9C" w:rsidR="00E66A9C">
        <w:rPr>
          <w:rFonts w:eastAsia="Calibri" w:cs="Times New Roman"/>
          <w:color w:val="auto"/>
          <w:kern w:val="2"/>
          <w:lang w:eastAsia="en-US"/>
          <w14:ligatures w14:val="standardContextual"/>
        </w:rPr>
        <w:t xml:space="preserve">. Bij begrotingsbeleid spelen </w:t>
      </w:r>
      <w:r>
        <w:rPr>
          <w:rFonts w:eastAsia="Calibri" w:cs="Times New Roman"/>
          <w:color w:val="auto"/>
          <w:kern w:val="2"/>
          <w:lang w:eastAsia="en-US"/>
          <w14:ligatures w14:val="standardContextual"/>
        </w:rPr>
        <w:t>natuurlijk</w:t>
      </w:r>
      <w:r w:rsidRPr="00E66A9C" w:rsidR="00E66A9C">
        <w:rPr>
          <w:rFonts w:eastAsia="Calibri" w:cs="Times New Roman"/>
          <w:color w:val="auto"/>
          <w:kern w:val="2"/>
          <w:lang w:eastAsia="en-US"/>
          <w14:ligatures w14:val="standardContextual"/>
        </w:rPr>
        <w:t xml:space="preserve"> ook andere afwegingen een rol en streeft de overheid ook andere doelstellingen na. </w:t>
      </w:r>
      <w:bookmarkEnd w:id="12"/>
    </w:p>
    <w:p w:rsidRPr="00E66A9C" w:rsidR="00E66A9C" w:rsidP="00E66A9C" w:rsidRDefault="00E66A9C" w14:paraId="61BF6BD9" w14:textId="77777777">
      <w:pPr>
        <w:autoSpaceDN/>
        <w:spacing w:after="160" w:line="259" w:lineRule="auto"/>
        <w:textAlignment w:val="auto"/>
        <w:rPr>
          <w:rFonts w:eastAsia="Calibri" w:cs="Times New Roman"/>
          <w:color w:val="auto"/>
          <w:kern w:val="2"/>
          <w:lang w:eastAsia="en-US"/>
          <w14:ligatures w14:val="standardContextual"/>
        </w:rPr>
      </w:pPr>
      <w:r w:rsidRPr="00E66A9C">
        <w:rPr>
          <w:rFonts w:eastAsia="Calibri" w:cs="Times New Roman"/>
          <w:color w:val="auto"/>
          <w:kern w:val="2"/>
          <w:lang w:eastAsia="en-US"/>
          <w14:ligatures w14:val="standardContextual"/>
        </w:rPr>
        <w:t>Het kabinet is van mening dat actief begrotingsbeleid</w:t>
      </w:r>
      <w:r w:rsidR="0099233A">
        <w:rPr>
          <w:rFonts w:eastAsia="Calibri" w:cs="Times New Roman"/>
          <w:color w:val="auto"/>
          <w:kern w:val="2"/>
          <w:lang w:eastAsia="en-US"/>
          <w14:ligatures w14:val="standardContextual"/>
        </w:rPr>
        <w:t xml:space="preserve"> vooral nadelen kent</w:t>
      </w:r>
      <w:r w:rsidRPr="00E66A9C">
        <w:rPr>
          <w:rFonts w:eastAsia="Calibri" w:cs="Times New Roman"/>
          <w:color w:val="auto"/>
          <w:kern w:val="2"/>
          <w:lang w:eastAsia="en-US"/>
          <w14:ligatures w14:val="standardContextual"/>
        </w:rPr>
        <w:t xml:space="preserve">. Een goede timing van actief anticyclisch begrotingsbeleid is namelijk vrijwel onmogelijk. Daarom voeren we in Nederland trendmatig begrotingsbeleid. Een belangrijk onderdeel van het trendmatig begrotingsbeleid is dat aan het begin van een kabinetsperiode afspraken worden gemaakt over wat in één jaar maximaal mag worden uitgegeven (het uitgavenkader). Daarnaast wordt afgesproken hoe hoog de beleidsmatige aanpassing van de belastingen en premies per jaar is (het inkomstenkader). Hierdoor hoeft er </w:t>
      </w:r>
      <w:proofErr w:type="spellStart"/>
      <w:r w:rsidRPr="00E66A9C">
        <w:rPr>
          <w:rFonts w:eastAsia="Calibri" w:cs="Times New Roman"/>
          <w:color w:val="auto"/>
          <w:kern w:val="2"/>
          <w:lang w:eastAsia="en-US"/>
          <w14:ligatures w14:val="standardContextual"/>
        </w:rPr>
        <w:t>tĳdens</w:t>
      </w:r>
      <w:proofErr w:type="spellEnd"/>
      <w:r w:rsidRPr="00E66A9C">
        <w:rPr>
          <w:rFonts w:eastAsia="Calibri" w:cs="Times New Roman"/>
          <w:color w:val="auto"/>
          <w:kern w:val="2"/>
          <w:lang w:eastAsia="en-US"/>
          <w14:ligatures w14:val="standardContextual"/>
        </w:rPr>
        <w:t xml:space="preserve"> de kabinetsperiode niet (aanvullend) te worden bezuinigd in de vorm van lagere uitgaven(groei) of het verhogen van de lasten als het economisch tij tegenzit, tenzij dit betekent dat de Europese </w:t>
      </w:r>
      <w:r w:rsidRPr="00E66A9C">
        <w:rPr>
          <w:rFonts w:eastAsia="Calibri" w:cs="Times New Roman"/>
          <w:color w:val="auto"/>
          <w:kern w:val="2"/>
          <w:lang w:eastAsia="en-US"/>
          <w14:ligatures w14:val="standardContextual"/>
        </w:rPr>
        <w:lastRenderedPageBreak/>
        <w:t xml:space="preserve">grenswaarden niet voldoende in acht worden genomen. Anderzijds leiden eventuele meevallers in economisch goede tijden niet tot ruimte voor additionele bestedingen of lastenverlichtingen, maar komen deze ten gunste van het overheidssaldo. Op die manier wordt de economie ondersteund in minder goede tijden en worden in goede tijden buffers opgebouwd voor economisch mindere tijden. Deze afspraken zijn vastgelegd in de begrotingsregels van het kabinet, zoals opgenomen in de Miljoenennota 2025.  </w:t>
      </w:r>
    </w:p>
    <w:p w:rsidRPr="00E66A9C" w:rsidR="00E66A9C" w:rsidP="00E66A9C" w:rsidRDefault="00133386" w14:paraId="0799477E" w14:textId="77777777">
      <w:pPr>
        <w:autoSpaceDN/>
        <w:spacing w:after="160" w:line="259" w:lineRule="auto"/>
        <w:textAlignment w:val="auto"/>
        <w:rPr>
          <w:rFonts w:eastAsia="Calibri" w:cs="Times New Roman"/>
          <w:color w:val="auto"/>
          <w:kern w:val="2"/>
          <w:lang w:eastAsia="en-US"/>
          <w14:ligatures w14:val="standardContextual"/>
        </w:rPr>
      </w:pPr>
      <w:r>
        <w:rPr>
          <w:rFonts w:eastAsia="Calibri" w:cs="Times New Roman"/>
          <w:color w:val="auto"/>
          <w:kern w:val="2"/>
          <w:lang w:eastAsia="en-US"/>
          <w14:ligatures w14:val="standardContextual"/>
        </w:rPr>
        <w:t>In dit licht</w:t>
      </w:r>
      <w:r w:rsidRPr="00E66A9C" w:rsidR="00E66A9C">
        <w:rPr>
          <w:rFonts w:eastAsia="Calibri" w:cs="Times New Roman"/>
          <w:color w:val="auto"/>
          <w:kern w:val="2"/>
          <w:lang w:eastAsia="en-US"/>
          <w14:ligatures w14:val="standardContextual"/>
        </w:rPr>
        <w:t xml:space="preserve"> is </w:t>
      </w:r>
      <w:r w:rsidR="006B16AE">
        <w:rPr>
          <w:rFonts w:eastAsia="Calibri" w:cs="Times New Roman"/>
          <w:color w:val="auto"/>
          <w:kern w:val="2"/>
          <w:lang w:eastAsia="en-US"/>
          <w14:ligatures w14:val="standardContextual"/>
        </w:rPr>
        <w:t xml:space="preserve">het van belang om enerzijds vast te houden aan </w:t>
      </w:r>
      <w:r w:rsidRPr="00E66A9C" w:rsidR="00E66A9C">
        <w:rPr>
          <w:rFonts w:eastAsia="Calibri" w:cs="Times New Roman"/>
          <w:color w:val="auto"/>
          <w:kern w:val="2"/>
          <w:lang w:eastAsia="en-US"/>
          <w14:ligatures w14:val="standardContextual"/>
        </w:rPr>
        <w:t xml:space="preserve">begrotingsdiscipline </w:t>
      </w:r>
      <w:r>
        <w:rPr>
          <w:rFonts w:eastAsia="Calibri" w:cs="Times New Roman"/>
          <w:color w:val="auto"/>
          <w:kern w:val="2"/>
          <w:lang w:eastAsia="en-US"/>
          <w14:ligatures w14:val="standardContextual"/>
        </w:rPr>
        <w:t xml:space="preserve">en </w:t>
      </w:r>
      <w:r w:rsidR="006B16AE">
        <w:rPr>
          <w:rFonts w:eastAsia="Calibri" w:cs="Times New Roman"/>
          <w:color w:val="auto"/>
          <w:kern w:val="2"/>
          <w:lang w:eastAsia="en-US"/>
          <w14:ligatures w14:val="standardContextual"/>
        </w:rPr>
        <w:t xml:space="preserve">de budgettaire kaders zoals vastgesteld </w:t>
      </w:r>
      <w:r w:rsidRPr="00E66A9C" w:rsidR="00E66A9C">
        <w:rPr>
          <w:rFonts w:eastAsia="Calibri" w:cs="Times New Roman"/>
          <w:color w:val="auto"/>
          <w:kern w:val="2"/>
          <w:lang w:eastAsia="en-US"/>
          <w14:ligatures w14:val="standardContextual"/>
        </w:rPr>
        <w:t>aan het begin van de kabinetsperiode</w:t>
      </w:r>
      <w:r w:rsidR="006B16AE">
        <w:rPr>
          <w:rFonts w:eastAsia="Calibri" w:cs="Times New Roman"/>
          <w:color w:val="auto"/>
          <w:kern w:val="2"/>
          <w:lang w:eastAsia="en-US"/>
          <w14:ligatures w14:val="standardContextual"/>
        </w:rPr>
        <w:t>, en anderzijds te zorgen voor een evenwichtige koopkrachtontwikkeling en oog te houden voor de gevolgen van inflatie.</w:t>
      </w:r>
      <w:r w:rsidRPr="00E66A9C" w:rsidR="00E66A9C">
        <w:rPr>
          <w:rFonts w:eastAsia="Calibri" w:cs="Times New Roman"/>
          <w:color w:val="auto"/>
          <w:kern w:val="2"/>
          <w:lang w:eastAsia="en-US"/>
          <w14:ligatures w14:val="standardContextual"/>
        </w:rPr>
        <w:t xml:space="preserve"> </w:t>
      </w:r>
    </w:p>
    <w:p w:rsidRPr="00E66A9C" w:rsidR="0082652A" w:rsidP="0082652A" w:rsidRDefault="0082652A" w14:paraId="1E585038" w14:textId="77777777">
      <w:pPr>
        <w:autoSpaceDN/>
        <w:spacing w:after="160" w:line="259" w:lineRule="auto"/>
        <w:textAlignment w:val="auto"/>
        <w:rPr>
          <w:rFonts w:eastAsia="Calibri" w:cs="Times New Roman"/>
          <w:color w:val="auto"/>
          <w:kern w:val="2"/>
          <w:u w:val="single"/>
          <w:lang w:eastAsia="en-US"/>
          <w14:ligatures w14:val="standardContextual"/>
        </w:rPr>
      </w:pPr>
      <w:r w:rsidRPr="00E66A9C">
        <w:rPr>
          <w:rFonts w:eastAsia="Calibri" w:cs="Times New Roman"/>
          <w:color w:val="auto"/>
          <w:kern w:val="2"/>
          <w:u w:val="single"/>
          <w:lang w:eastAsia="en-US"/>
          <w14:ligatures w14:val="standardContextual"/>
        </w:rPr>
        <w:t>Arbeidsmarktkrapte en productiviteit</w:t>
      </w:r>
    </w:p>
    <w:p w:rsidR="0082652A" w:rsidP="0082652A" w:rsidRDefault="0082652A" w14:paraId="3D0A2499" w14:textId="77777777">
      <w:pPr>
        <w:autoSpaceDN/>
        <w:spacing w:after="160" w:line="259" w:lineRule="auto"/>
        <w:contextualSpacing/>
        <w:textAlignment w:val="auto"/>
        <w:rPr>
          <w:rFonts w:eastAsia="Calibri" w:cs="Times New Roman"/>
          <w:color w:val="auto"/>
          <w:kern w:val="2"/>
          <w:lang w:eastAsia="en-US"/>
          <w14:ligatures w14:val="standardContextual"/>
        </w:rPr>
      </w:pPr>
      <w:r w:rsidRPr="00E66A9C">
        <w:rPr>
          <w:rFonts w:eastAsia="Calibri" w:cs="Times New Roman"/>
          <w:color w:val="auto"/>
          <w:kern w:val="2"/>
          <w:lang w:eastAsia="en-US"/>
          <w14:ligatures w14:val="standardContextual"/>
        </w:rPr>
        <w:t xml:space="preserve">We zien dat de arbeidsmarkt tegen zijn grenzen aanloopt; het aanbod van arbeid kan al geruime </w:t>
      </w:r>
      <w:r w:rsidR="004E3AD2">
        <w:rPr>
          <w:rFonts w:eastAsia="Calibri" w:cs="Times New Roman"/>
          <w:color w:val="auto"/>
          <w:kern w:val="2"/>
          <w:lang w:eastAsia="en-US"/>
          <w14:ligatures w14:val="standardContextual"/>
        </w:rPr>
        <w:t xml:space="preserve">tijd </w:t>
      </w:r>
      <w:r w:rsidRPr="00E66A9C">
        <w:rPr>
          <w:rFonts w:eastAsia="Calibri" w:cs="Times New Roman"/>
          <w:color w:val="auto"/>
          <w:kern w:val="2"/>
          <w:lang w:eastAsia="en-US"/>
          <w14:ligatures w14:val="standardContextual"/>
        </w:rPr>
        <w:t xml:space="preserve">de vraag niet meer bijbenen. </w:t>
      </w:r>
      <w:r>
        <w:rPr>
          <w:rFonts w:eastAsia="Calibri" w:cs="Times New Roman"/>
          <w:color w:val="auto"/>
          <w:kern w:val="2"/>
          <w:lang w:eastAsia="en-US"/>
          <w14:ligatures w14:val="standardContextual"/>
        </w:rPr>
        <w:t xml:space="preserve">Dit betekent ook dat vanuit de overheid niet alles mogelijk is, en zeker niet alles tegelijk. </w:t>
      </w:r>
      <w:r w:rsidRPr="00E66A9C">
        <w:rPr>
          <w:rFonts w:eastAsia="Calibri" w:cs="Times New Roman"/>
          <w:color w:val="auto"/>
          <w:kern w:val="2"/>
          <w:lang w:eastAsia="en-US"/>
          <w14:ligatures w14:val="standardContextual"/>
        </w:rPr>
        <w:t xml:space="preserve">Deze schaarste van arbeid leidt tot noodzakelijke marktaanpassingen die vervolgens ook een opwaarts effect hebben op de inflatie. </w:t>
      </w:r>
      <w:r>
        <w:rPr>
          <w:rFonts w:eastAsia="Calibri" w:cs="Times New Roman"/>
          <w:color w:val="auto"/>
          <w:kern w:val="2"/>
          <w:lang w:eastAsia="en-US"/>
          <w14:ligatures w14:val="standardContextual"/>
        </w:rPr>
        <w:t xml:space="preserve">De loonontwikkeling vormt daarbij overigens ook een aanpassingsmechanisme. Als hoge loongroei en inflatie </w:t>
      </w:r>
      <w:proofErr w:type="gramStart"/>
      <w:r>
        <w:rPr>
          <w:rFonts w:eastAsia="Calibri" w:cs="Times New Roman"/>
          <w:color w:val="auto"/>
          <w:kern w:val="2"/>
          <w:lang w:eastAsia="en-US"/>
          <w14:ligatures w14:val="standardContextual"/>
        </w:rPr>
        <w:t>er toe</w:t>
      </w:r>
      <w:proofErr w:type="gramEnd"/>
      <w:r>
        <w:rPr>
          <w:rFonts w:eastAsia="Calibri" w:cs="Times New Roman"/>
          <w:color w:val="auto"/>
          <w:kern w:val="2"/>
          <w:lang w:eastAsia="en-US"/>
          <w14:ligatures w14:val="standardContextual"/>
        </w:rPr>
        <w:t xml:space="preserve"> leidt dat Nederlandse producten en diensten ten opzichte van handelspartners duurder worden kan dit leiden tot een afkoelende economie, waarmee de loon- en prijsdruk </w:t>
      </w:r>
      <w:r w:rsidR="00D8200D">
        <w:rPr>
          <w:rFonts w:eastAsia="Calibri" w:cs="Times New Roman"/>
          <w:color w:val="auto"/>
          <w:kern w:val="2"/>
          <w:lang w:eastAsia="en-US"/>
          <w14:ligatures w14:val="standardContextual"/>
        </w:rPr>
        <w:t xml:space="preserve">juist </w:t>
      </w:r>
      <w:r>
        <w:rPr>
          <w:rFonts w:eastAsia="Calibri" w:cs="Times New Roman"/>
          <w:color w:val="auto"/>
          <w:kern w:val="2"/>
          <w:lang w:eastAsia="en-US"/>
          <w14:ligatures w14:val="standardContextual"/>
        </w:rPr>
        <w:t>verminder</w:t>
      </w:r>
      <w:r w:rsidR="006B16AE">
        <w:rPr>
          <w:rFonts w:eastAsia="Calibri" w:cs="Times New Roman"/>
          <w:color w:val="auto"/>
          <w:kern w:val="2"/>
          <w:lang w:eastAsia="en-US"/>
          <w14:ligatures w14:val="standardContextual"/>
        </w:rPr>
        <w:t>d</w:t>
      </w:r>
      <w:r>
        <w:rPr>
          <w:rFonts w:eastAsia="Calibri" w:cs="Times New Roman"/>
          <w:color w:val="auto"/>
          <w:kern w:val="2"/>
          <w:lang w:eastAsia="en-US"/>
          <w14:ligatures w14:val="standardContextual"/>
        </w:rPr>
        <w:t xml:space="preserve"> wordt. </w:t>
      </w:r>
    </w:p>
    <w:p w:rsidR="0082652A" w:rsidP="0082652A" w:rsidRDefault="0082652A" w14:paraId="492ADA86" w14:textId="77777777">
      <w:pPr>
        <w:autoSpaceDN/>
        <w:spacing w:after="160" w:line="259" w:lineRule="auto"/>
        <w:contextualSpacing/>
        <w:textAlignment w:val="auto"/>
        <w:rPr>
          <w:rFonts w:eastAsia="Calibri" w:cs="Times New Roman"/>
          <w:color w:val="auto"/>
          <w:kern w:val="2"/>
          <w:lang w:eastAsia="en-US"/>
          <w14:ligatures w14:val="standardContextual"/>
        </w:rPr>
      </w:pPr>
    </w:p>
    <w:p w:rsidRPr="00E66A9C" w:rsidR="0082652A" w:rsidP="0082652A" w:rsidRDefault="0082652A" w14:paraId="0C0E1176" w14:textId="0A31B303">
      <w:pPr>
        <w:autoSpaceDN/>
        <w:spacing w:after="160" w:line="259" w:lineRule="auto"/>
        <w:contextualSpacing/>
        <w:textAlignment w:val="auto"/>
        <w:rPr>
          <w:rFonts w:eastAsia="Calibri" w:cs="Times New Roman"/>
          <w:color w:val="auto"/>
          <w:kern w:val="2"/>
          <w:lang w:eastAsia="en-US"/>
          <w14:ligatures w14:val="standardContextual"/>
        </w:rPr>
      </w:pPr>
      <w:r w:rsidRPr="00E66A9C">
        <w:rPr>
          <w:rFonts w:eastAsia="Calibri" w:cs="Times New Roman"/>
          <w:color w:val="auto"/>
          <w:kern w:val="2"/>
          <w:lang w:eastAsia="en-US"/>
          <w14:ligatures w14:val="standardContextual"/>
        </w:rPr>
        <w:t>Als gevolg van demografische veranderingen is de verwachting dat krapte ook in de toekomst een uitdaging zal vormen. Om de uitdagingen van krapte te adresseren, zullen</w:t>
      </w:r>
      <w:r w:rsidR="004E3AD2">
        <w:rPr>
          <w:rFonts w:eastAsia="Calibri" w:cs="Times New Roman"/>
          <w:color w:val="auto"/>
          <w:kern w:val="2"/>
          <w:lang w:eastAsia="en-US"/>
          <w14:ligatures w14:val="standardContextual"/>
        </w:rPr>
        <w:t xml:space="preserve"> lonen moeten stijgen en moeten</w:t>
      </w:r>
      <w:r w:rsidRPr="00E66A9C">
        <w:rPr>
          <w:rFonts w:eastAsia="Calibri" w:cs="Times New Roman"/>
          <w:color w:val="auto"/>
          <w:kern w:val="2"/>
          <w:lang w:eastAsia="en-US"/>
          <w14:ligatures w14:val="standardContextual"/>
        </w:rPr>
        <w:t xml:space="preserve"> er keuzes gemaakt worden die onze productiviteit laat toenemen en de vraag naar arbeid vermindert. Het kabinet heeft daarom in december de brede arbeidsmarktagenda gepresenteerd</w:t>
      </w:r>
      <w:r w:rsidR="006E0E63">
        <w:rPr>
          <w:rFonts w:eastAsia="Calibri" w:cs="Times New Roman"/>
          <w:color w:val="auto"/>
          <w:kern w:val="2"/>
          <w:lang w:eastAsia="en-US"/>
          <w14:ligatures w14:val="standardContextual"/>
        </w:rPr>
        <w:t>.</w:t>
      </w:r>
      <w:r w:rsidRPr="00E66A9C">
        <w:rPr>
          <w:rFonts w:eastAsia="Calibri" w:cs="Times New Roman"/>
          <w:color w:val="auto"/>
          <w:kern w:val="2"/>
          <w:vertAlign w:val="superscript"/>
          <w:lang w:eastAsia="en-US"/>
          <w14:ligatures w14:val="standardContextual"/>
        </w:rPr>
        <w:footnoteReference w:id="17"/>
      </w:r>
      <w:r w:rsidR="00A10F28">
        <w:rPr>
          <w:rFonts w:eastAsia="Calibri" w:cs="Times New Roman"/>
          <w:color w:val="auto"/>
          <w:kern w:val="2"/>
          <w:lang w:eastAsia="en-US"/>
          <w14:ligatures w14:val="standardContextual"/>
        </w:rPr>
        <w:t xml:space="preserve"> </w:t>
      </w:r>
      <w:r w:rsidRPr="00E66A9C">
        <w:rPr>
          <w:rFonts w:eastAsia="Calibri" w:cs="Times New Roman"/>
          <w:color w:val="auto"/>
          <w:kern w:val="2"/>
          <w:lang w:eastAsia="en-US"/>
          <w14:ligatures w14:val="standardContextual"/>
        </w:rPr>
        <w:t xml:space="preserve">In deze agenda wordt ingezet op beleid langs vijf sporen: </w:t>
      </w:r>
      <w:r>
        <w:rPr>
          <w:rFonts w:eastAsia="Calibri" w:cs="Times New Roman"/>
          <w:color w:val="auto"/>
          <w:kern w:val="2"/>
          <w:lang w:eastAsia="en-US"/>
          <w14:ligatures w14:val="standardContextual"/>
        </w:rPr>
        <w:t xml:space="preserve">(1) </w:t>
      </w:r>
      <w:r w:rsidRPr="00E66A9C">
        <w:rPr>
          <w:rFonts w:eastAsia="Calibri" w:cs="Times New Roman"/>
          <w:color w:val="auto"/>
          <w:kern w:val="2"/>
          <w:lang w:eastAsia="en-US"/>
          <w14:ligatures w14:val="standardContextual"/>
        </w:rPr>
        <w:t>Verhogen van de kwaliteit van werk;</w:t>
      </w:r>
      <w:r>
        <w:rPr>
          <w:rFonts w:eastAsia="Calibri" w:cs="Times New Roman"/>
          <w:color w:val="auto"/>
          <w:kern w:val="2"/>
          <w:lang w:eastAsia="en-US"/>
          <w14:ligatures w14:val="standardContextual"/>
        </w:rPr>
        <w:t xml:space="preserve"> (2) </w:t>
      </w:r>
      <w:r w:rsidRPr="00E66A9C">
        <w:rPr>
          <w:rFonts w:eastAsia="Calibri" w:cs="Times New Roman"/>
          <w:color w:val="auto"/>
          <w:kern w:val="2"/>
          <w:lang w:eastAsia="en-US"/>
          <w14:ligatures w14:val="standardContextual"/>
        </w:rPr>
        <w:t xml:space="preserve">Versterken van de economie; </w:t>
      </w:r>
      <w:r>
        <w:rPr>
          <w:rFonts w:eastAsia="Calibri" w:cs="Times New Roman"/>
          <w:color w:val="auto"/>
          <w:kern w:val="2"/>
          <w:lang w:eastAsia="en-US"/>
          <w14:ligatures w14:val="standardContextual"/>
        </w:rPr>
        <w:t xml:space="preserve">(3) </w:t>
      </w:r>
      <w:r w:rsidRPr="00E66A9C">
        <w:rPr>
          <w:rFonts w:eastAsia="Calibri" w:cs="Times New Roman"/>
          <w:color w:val="auto"/>
          <w:kern w:val="2"/>
          <w:lang w:eastAsia="en-US"/>
          <w14:ligatures w14:val="standardContextual"/>
        </w:rPr>
        <w:t xml:space="preserve">Verhogen van de productiviteit; </w:t>
      </w:r>
      <w:r>
        <w:rPr>
          <w:rFonts w:eastAsia="Calibri" w:cs="Times New Roman"/>
          <w:color w:val="auto"/>
          <w:kern w:val="2"/>
          <w:lang w:eastAsia="en-US"/>
          <w14:ligatures w14:val="standardContextual"/>
        </w:rPr>
        <w:t xml:space="preserve">(4) </w:t>
      </w:r>
      <w:r w:rsidRPr="00E66A9C">
        <w:rPr>
          <w:rFonts w:eastAsia="Calibri" w:cs="Times New Roman"/>
          <w:color w:val="auto"/>
          <w:kern w:val="2"/>
          <w:lang w:eastAsia="en-US"/>
          <w14:ligatures w14:val="standardContextual"/>
        </w:rPr>
        <w:t xml:space="preserve">Verhogen de duurzame arbeidsparticipatie; </w:t>
      </w:r>
      <w:r>
        <w:rPr>
          <w:rFonts w:eastAsia="Calibri" w:cs="Times New Roman"/>
          <w:color w:val="auto"/>
          <w:kern w:val="2"/>
          <w:lang w:eastAsia="en-US"/>
          <w14:ligatures w14:val="standardContextual"/>
        </w:rPr>
        <w:t xml:space="preserve">(5) </w:t>
      </w:r>
      <w:r w:rsidRPr="00E66A9C">
        <w:rPr>
          <w:rFonts w:eastAsia="Calibri" w:cs="Times New Roman"/>
          <w:color w:val="auto"/>
          <w:kern w:val="2"/>
          <w:lang w:eastAsia="en-US"/>
          <w14:ligatures w14:val="standardContextual"/>
        </w:rPr>
        <w:t>Verbeteren van de match op de arbeidsmarkt.</w:t>
      </w:r>
      <w:r w:rsidR="006B16AE">
        <w:rPr>
          <w:rFonts w:eastAsia="Calibri" w:cs="Times New Roman"/>
          <w:color w:val="auto"/>
          <w:kern w:val="2"/>
          <w:lang w:eastAsia="en-US"/>
          <w14:ligatures w14:val="standardContextual"/>
        </w:rPr>
        <w:t xml:space="preserve"> </w:t>
      </w:r>
      <w:r w:rsidRPr="006B16AE" w:rsidR="006B16AE">
        <w:rPr>
          <w:rFonts w:eastAsia="Calibri" w:cs="Times New Roman"/>
          <w:color w:val="auto"/>
          <w:kern w:val="2"/>
          <w:lang w:eastAsia="en-US"/>
          <w14:ligatures w14:val="standardContextual"/>
        </w:rPr>
        <w:t>Om krapte aan te pakken wil het kabinet samen optrekken met sociale partners, sectoren, onderwijskoepels, kennisinstellingen en andere betrokken</w:t>
      </w:r>
      <w:r w:rsidR="00B17DCD">
        <w:rPr>
          <w:rFonts w:eastAsia="Calibri" w:cs="Times New Roman"/>
          <w:color w:val="auto"/>
          <w:kern w:val="2"/>
          <w:lang w:eastAsia="en-US"/>
          <w14:ligatures w14:val="standardContextual"/>
        </w:rPr>
        <w:t>en</w:t>
      </w:r>
      <w:r w:rsidRPr="006B16AE" w:rsidR="006B16AE">
        <w:rPr>
          <w:rFonts w:eastAsia="Calibri" w:cs="Times New Roman"/>
          <w:color w:val="auto"/>
          <w:kern w:val="2"/>
          <w:lang w:eastAsia="en-US"/>
          <w14:ligatures w14:val="standardContextual"/>
        </w:rPr>
        <w:t>. Daarom organiseert het kabinet op 21 maart een top over arbeidsmarktkrapte.</w:t>
      </w:r>
      <w:r w:rsidR="00CF282A">
        <w:rPr>
          <w:rFonts w:eastAsia="Calibri" w:cs="Times New Roman"/>
          <w:color w:val="auto"/>
          <w:kern w:val="2"/>
          <w:lang w:eastAsia="en-US"/>
          <w14:ligatures w14:val="standardContextual"/>
        </w:rPr>
        <w:t xml:space="preserve"> </w:t>
      </w:r>
      <w:r w:rsidRPr="00E66A9C">
        <w:rPr>
          <w:rFonts w:eastAsia="Calibri" w:cs="Times New Roman"/>
          <w:color w:val="auto"/>
          <w:kern w:val="2"/>
          <w:lang w:eastAsia="en-US"/>
          <w14:ligatures w14:val="standardContextual"/>
        </w:rPr>
        <w:t xml:space="preserve">Het kabinet werkt </w:t>
      </w:r>
      <w:r w:rsidR="00CF282A">
        <w:rPr>
          <w:rFonts w:eastAsia="Calibri" w:cs="Times New Roman"/>
          <w:color w:val="auto"/>
          <w:kern w:val="2"/>
          <w:lang w:eastAsia="en-US"/>
          <w14:ligatures w14:val="standardContextual"/>
        </w:rPr>
        <w:t xml:space="preserve">daarnaast </w:t>
      </w:r>
      <w:r w:rsidRPr="00E66A9C">
        <w:rPr>
          <w:rFonts w:eastAsia="Calibri" w:cs="Times New Roman"/>
          <w:color w:val="auto"/>
          <w:kern w:val="2"/>
          <w:lang w:eastAsia="en-US"/>
          <w14:ligatures w14:val="standardContextual"/>
        </w:rPr>
        <w:t>aan de uitwerking van een productiviteitsagenda.</w:t>
      </w:r>
      <w:r w:rsidRPr="00E66A9C">
        <w:rPr>
          <w:rFonts w:eastAsia="Calibri" w:cs="Times New Roman"/>
          <w:color w:val="auto"/>
          <w:kern w:val="2"/>
          <w:vertAlign w:val="superscript"/>
          <w:lang w:eastAsia="en-US"/>
          <w14:ligatures w14:val="standardContextual"/>
        </w:rPr>
        <w:footnoteReference w:id="18"/>
      </w:r>
      <w:r w:rsidRPr="00E66A9C">
        <w:rPr>
          <w:rFonts w:eastAsia="Calibri" w:cs="Times New Roman"/>
          <w:color w:val="auto"/>
          <w:kern w:val="2"/>
          <w:lang w:eastAsia="en-US"/>
          <w14:ligatures w14:val="standardContextual"/>
        </w:rPr>
        <w:t xml:space="preserve"> </w:t>
      </w:r>
      <w:r w:rsidRPr="00CF282A" w:rsidR="00CF282A">
        <w:rPr>
          <w:rFonts w:eastAsia="Calibri" w:cs="Times New Roman"/>
          <w:color w:val="auto"/>
          <w:kern w:val="2"/>
          <w:lang w:eastAsia="en-US"/>
          <w14:ligatures w14:val="standardContextual"/>
        </w:rPr>
        <w:t xml:space="preserve">Door de aankomende vergrijzingsgolf is productiviteitsgroei de voornaamste bron van economische groei, en daarmee de belangrijkste schakel om het aanbod op termijn te verhogen. </w:t>
      </w:r>
      <w:r w:rsidRPr="00E66A9C">
        <w:rPr>
          <w:rFonts w:eastAsia="Calibri" w:cs="Times New Roman"/>
          <w:color w:val="auto"/>
          <w:kern w:val="2"/>
          <w:lang w:eastAsia="en-US"/>
          <w14:ligatures w14:val="standardContextual"/>
        </w:rPr>
        <w:t xml:space="preserve">Denk aan maatregelen op het gebied van digitalisering, de interne markt én het bevorderen van dynamiek. Komende zomer volgt de </w:t>
      </w:r>
      <w:r w:rsidR="00A10F28">
        <w:rPr>
          <w:rFonts w:eastAsia="Calibri" w:cs="Times New Roman"/>
          <w:color w:val="auto"/>
          <w:kern w:val="2"/>
          <w:lang w:eastAsia="en-US"/>
          <w14:ligatures w14:val="standardContextual"/>
        </w:rPr>
        <w:t>nadere</w:t>
      </w:r>
      <w:r w:rsidRPr="00E66A9C">
        <w:rPr>
          <w:rFonts w:eastAsia="Calibri" w:cs="Times New Roman"/>
          <w:color w:val="auto"/>
          <w:kern w:val="2"/>
          <w:lang w:eastAsia="en-US"/>
          <w14:ligatures w14:val="standardContextual"/>
        </w:rPr>
        <w:t xml:space="preserve"> uitwerking. </w:t>
      </w:r>
    </w:p>
    <w:p w:rsidRPr="00E66A9C" w:rsidR="0082652A" w:rsidP="0082652A" w:rsidRDefault="0082652A" w14:paraId="12C099FC" w14:textId="77777777">
      <w:pPr>
        <w:autoSpaceDN/>
        <w:spacing w:after="160" w:line="259" w:lineRule="auto"/>
        <w:contextualSpacing/>
        <w:textAlignment w:val="auto"/>
        <w:rPr>
          <w:rFonts w:eastAsia="Calibri" w:cs="Times New Roman"/>
          <w:color w:val="auto"/>
          <w:kern w:val="2"/>
          <w:lang w:eastAsia="en-US"/>
          <w14:ligatures w14:val="standardContextual"/>
        </w:rPr>
      </w:pPr>
      <w:r w:rsidRPr="00E66A9C">
        <w:rPr>
          <w:rFonts w:eastAsia="Calibri" w:cs="Times New Roman"/>
          <w:color w:val="auto"/>
          <w:kern w:val="2"/>
          <w:lang w:eastAsia="en-US"/>
          <w14:ligatures w14:val="standardContextual"/>
        </w:rPr>
        <w:t xml:space="preserve"> </w:t>
      </w:r>
    </w:p>
    <w:p w:rsidRPr="00E66A9C" w:rsidR="0082652A" w:rsidP="0082652A" w:rsidRDefault="0082652A" w14:paraId="01E02248" w14:textId="77777777">
      <w:pPr>
        <w:autoSpaceDN/>
        <w:spacing w:after="160" w:line="259" w:lineRule="auto"/>
        <w:contextualSpacing/>
        <w:textAlignment w:val="auto"/>
        <w:rPr>
          <w:rFonts w:eastAsia="Calibri" w:cs="Times New Roman"/>
          <w:color w:val="auto"/>
          <w:kern w:val="2"/>
          <w:u w:val="single"/>
          <w:lang w:eastAsia="en-US"/>
          <w14:ligatures w14:val="standardContextual"/>
        </w:rPr>
      </w:pPr>
      <w:r w:rsidRPr="00E66A9C">
        <w:rPr>
          <w:rFonts w:eastAsia="Calibri" w:cs="Times New Roman"/>
          <w:color w:val="auto"/>
          <w:kern w:val="2"/>
          <w:u w:val="single"/>
          <w:lang w:eastAsia="en-US"/>
          <w14:ligatures w14:val="standardContextual"/>
        </w:rPr>
        <w:t>Regie op loononderhandelingen</w:t>
      </w:r>
    </w:p>
    <w:p w:rsidRPr="00E66A9C" w:rsidR="0082652A" w:rsidP="0082652A" w:rsidRDefault="0082652A" w14:paraId="0E8FCD72" w14:textId="77777777">
      <w:pPr>
        <w:autoSpaceDN/>
        <w:spacing w:after="160" w:line="259" w:lineRule="auto"/>
        <w:contextualSpacing/>
        <w:textAlignment w:val="auto"/>
        <w:rPr>
          <w:rFonts w:eastAsia="Calibri" w:cs="Times New Roman"/>
          <w:color w:val="auto"/>
          <w:kern w:val="2"/>
          <w:lang w:eastAsia="en-US"/>
          <w14:ligatures w14:val="standardContextual"/>
        </w:rPr>
      </w:pPr>
    </w:p>
    <w:p w:rsidRPr="00CF282A" w:rsidR="0082652A" w:rsidP="00CF282A" w:rsidRDefault="0082652A" w14:paraId="3DC9451D" w14:textId="77777777">
      <w:pPr>
        <w:autoSpaceDN/>
        <w:spacing w:line="240" w:lineRule="auto"/>
        <w:contextualSpacing/>
        <w:textAlignment w:val="auto"/>
        <w:rPr>
          <w:rFonts w:eastAsia="Calibri" w:cs="Times New Roman"/>
          <w:color w:val="auto"/>
          <w:kern w:val="2"/>
          <w:lang w:eastAsia="en-US"/>
          <w14:ligatures w14:val="standardContextual"/>
        </w:rPr>
      </w:pPr>
      <w:r w:rsidRPr="00E66A9C">
        <w:rPr>
          <w:rFonts w:eastAsia="Calibri" w:cs="Times New Roman"/>
          <w:color w:val="auto"/>
          <w:kern w:val="2"/>
          <w:lang w:eastAsia="en-US"/>
          <w14:ligatures w14:val="standardContextual"/>
        </w:rPr>
        <w:t>Het gezamenlijk overleg tussen werkgevers, vakbonden en de overheid is en blijft van groot belang om maatschappelijke uitdagingen te adresseren. In de vele contacten van het kabinet met sociale partners wordt ook gesproken over de sociaaleconomische situatie. De overheid laat loonvorming echter bewust over aan sociale partners. Het kabinet speelt hierin geen actieve rol. Cao-partijen kunnen het beste beoordelen of er ruimte is voor loonsverhoging</w:t>
      </w:r>
      <w:r w:rsidR="00CF282A">
        <w:rPr>
          <w:rFonts w:eastAsia="Calibri" w:cs="Times New Roman"/>
          <w:color w:val="auto"/>
          <w:kern w:val="2"/>
          <w:lang w:eastAsia="en-US"/>
          <w14:ligatures w14:val="standardContextual"/>
        </w:rPr>
        <w:t>en</w:t>
      </w:r>
      <w:r w:rsidRPr="00E66A9C">
        <w:rPr>
          <w:rFonts w:eastAsia="Calibri" w:cs="Times New Roman"/>
          <w:color w:val="auto"/>
          <w:kern w:val="2"/>
          <w:lang w:eastAsia="en-US"/>
          <w14:ligatures w14:val="standardContextual"/>
        </w:rPr>
        <w:t xml:space="preserve">. Zij weten immers wat er speelt in de desbetreffende sector en zijn op de hoogte van de financiële ruimte die er is. Daarbij kunnen zij ook rekening houden met inflatie en </w:t>
      </w:r>
      <w:r w:rsidRPr="00E66A9C">
        <w:rPr>
          <w:rFonts w:eastAsia="Calibri" w:cs="Times New Roman"/>
          <w:color w:val="auto"/>
          <w:kern w:val="2"/>
          <w:lang w:eastAsia="en-US"/>
          <w14:ligatures w14:val="standardContextual"/>
        </w:rPr>
        <w:lastRenderedPageBreak/>
        <w:t>eventuele gevolgen van stijgende arbeidskosten voor bijvoorbeeld de werkgelegenheid.</w:t>
      </w:r>
      <w:r w:rsidR="006B16AE">
        <w:rPr>
          <w:rFonts w:eastAsia="Calibri" w:cs="Times New Roman"/>
          <w:color w:val="auto"/>
          <w:kern w:val="2"/>
          <w:lang w:eastAsia="en-US"/>
          <w14:ligatures w14:val="standardContextual"/>
        </w:rPr>
        <w:t xml:space="preserve"> Daarnaast werkt het kabinet aan vereenvoudiging van het belasting- en toeslagenstelsel, waarbij werken moet lonen </w:t>
      </w:r>
      <w:r w:rsidR="00A10F28">
        <w:rPr>
          <w:rFonts w:eastAsia="Calibri" w:cs="Times New Roman"/>
          <w:color w:val="auto"/>
          <w:kern w:val="2"/>
          <w:lang w:eastAsia="en-US"/>
          <w14:ligatures w14:val="standardContextual"/>
        </w:rPr>
        <w:t>een belangrijk uitgangspunt is.</w:t>
      </w:r>
    </w:p>
    <w:p w:rsidRPr="00E66A9C" w:rsidR="00E66A9C" w:rsidP="00CF282A" w:rsidRDefault="00E66A9C" w14:paraId="6D6D4AF1" w14:textId="77777777">
      <w:pPr>
        <w:autoSpaceDN/>
        <w:spacing w:before="240" w:after="160" w:line="259" w:lineRule="auto"/>
        <w:textAlignment w:val="auto"/>
        <w:rPr>
          <w:rFonts w:eastAsia="Calibri" w:cs="Times New Roman"/>
          <w:color w:val="auto"/>
          <w:kern w:val="2"/>
          <w:u w:val="single"/>
          <w:lang w:eastAsia="en-US"/>
          <w14:ligatures w14:val="standardContextual"/>
        </w:rPr>
      </w:pPr>
      <w:r w:rsidRPr="00E66A9C">
        <w:rPr>
          <w:rFonts w:eastAsia="Calibri" w:cs="Times New Roman"/>
          <w:color w:val="auto"/>
          <w:kern w:val="2"/>
          <w:u w:val="single"/>
          <w:lang w:eastAsia="en-US"/>
          <w14:ligatures w14:val="standardContextual"/>
        </w:rPr>
        <w:t xml:space="preserve">Prijsreguleringen en </w:t>
      </w:r>
      <w:proofErr w:type="spellStart"/>
      <w:r w:rsidRPr="00E66A9C">
        <w:rPr>
          <w:rFonts w:eastAsia="Calibri" w:cs="Times New Roman"/>
          <w:color w:val="auto"/>
          <w:kern w:val="2"/>
          <w:u w:val="single"/>
          <w:lang w:eastAsia="en-US"/>
          <w14:ligatures w14:val="standardContextual"/>
        </w:rPr>
        <w:t>productgebonden</w:t>
      </w:r>
      <w:proofErr w:type="spellEnd"/>
      <w:r w:rsidRPr="00E66A9C">
        <w:rPr>
          <w:rFonts w:eastAsia="Calibri" w:cs="Times New Roman"/>
          <w:color w:val="auto"/>
          <w:kern w:val="2"/>
          <w:u w:val="single"/>
          <w:lang w:eastAsia="en-US"/>
          <w14:ligatures w14:val="standardContextual"/>
        </w:rPr>
        <w:t xml:space="preserve"> belastingen</w:t>
      </w:r>
    </w:p>
    <w:p w:rsidRPr="00E66A9C" w:rsidR="00E66A9C" w:rsidP="00E66A9C" w:rsidRDefault="00E66A9C" w14:paraId="14E0DE7D" w14:textId="77777777">
      <w:pPr>
        <w:autoSpaceDN/>
        <w:spacing w:after="160" w:line="259" w:lineRule="auto"/>
        <w:textAlignment w:val="auto"/>
        <w:rPr>
          <w:rFonts w:eastAsia="Calibri" w:cs="Times New Roman"/>
          <w:i/>
          <w:iCs/>
          <w:color w:val="auto"/>
          <w:kern w:val="2"/>
          <w:lang w:eastAsia="en-US"/>
          <w14:ligatures w14:val="standardContextual"/>
        </w:rPr>
      </w:pPr>
      <w:r w:rsidRPr="00E66A9C">
        <w:rPr>
          <w:rFonts w:eastAsia="Calibri" w:cs="Times New Roman"/>
          <w:color w:val="auto"/>
          <w:kern w:val="2"/>
          <w:lang w:eastAsia="en-US"/>
          <w14:ligatures w14:val="standardContextual"/>
        </w:rPr>
        <w:t>Op de korte termijn kan de overheid in een uiterst geval besluiten om direct in te grijpen op de prijzen, ook wel prijsregulering genoemd. Deze optie kent een aantal grote nadelen. Zo kan het leiden tot tekorten en verliest het prijsmechanisme zijn werking: hogere prijzen remmen de vraag af en lokken extra aanbod uit</w:t>
      </w:r>
      <w:r w:rsidR="00E05E0A">
        <w:rPr>
          <w:rFonts w:eastAsia="Calibri" w:cs="Times New Roman"/>
          <w:color w:val="auto"/>
          <w:kern w:val="2"/>
          <w:lang w:eastAsia="en-US"/>
          <w14:ligatures w14:val="standardContextual"/>
        </w:rPr>
        <w:t>, waardoor vraag en aanbod met elkaar in evenwicht kunnen komen</w:t>
      </w:r>
      <w:r w:rsidRPr="00E66A9C">
        <w:rPr>
          <w:rFonts w:eastAsia="Calibri" w:cs="Times New Roman"/>
          <w:color w:val="auto"/>
          <w:kern w:val="2"/>
          <w:lang w:eastAsia="en-US"/>
          <w14:ligatures w14:val="standardContextual"/>
        </w:rPr>
        <w:t>. In andere woorden,</w:t>
      </w:r>
      <w:r w:rsidR="00253B84">
        <w:rPr>
          <w:rFonts w:eastAsia="Calibri" w:cs="Times New Roman"/>
          <w:color w:val="auto"/>
          <w:kern w:val="2"/>
          <w:lang w:eastAsia="en-US"/>
          <w14:ligatures w14:val="standardContextual"/>
        </w:rPr>
        <w:t xml:space="preserve"> ingrijpen in de prijsvorming</w:t>
      </w:r>
      <w:r w:rsidRPr="00E66A9C">
        <w:rPr>
          <w:rFonts w:eastAsia="Calibri" w:cs="Times New Roman"/>
          <w:color w:val="auto"/>
          <w:kern w:val="2"/>
          <w:lang w:eastAsia="en-US"/>
          <w14:ligatures w14:val="standardContextual"/>
        </w:rPr>
        <w:t xml:space="preserve"> werkt </w:t>
      </w:r>
      <w:proofErr w:type="spellStart"/>
      <w:r w:rsidRPr="00E66A9C">
        <w:rPr>
          <w:rFonts w:eastAsia="Calibri" w:cs="Times New Roman"/>
          <w:color w:val="auto"/>
          <w:kern w:val="2"/>
          <w:lang w:eastAsia="en-US"/>
          <w14:ligatures w14:val="standardContextual"/>
        </w:rPr>
        <w:t>welvaartsverlagend</w:t>
      </w:r>
      <w:proofErr w:type="spellEnd"/>
      <w:r w:rsidRPr="00E66A9C">
        <w:rPr>
          <w:rFonts w:eastAsia="Calibri" w:cs="Times New Roman"/>
          <w:color w:val="auto"/>
          <w:kern w:val="2"/>
          <w:lang w:eastAsia="en-US"/>
          <w14:ligatures w14:val="standardContextual"/>
        </w:rPr>
        <w:t xml:space="preserve">, en is daarmee in principe onwenselijk. Bovendien is het onzeker of prijsregulering op één bepaald goed de totale vraag in de economie afremt en daarbij de inflatie als geheel dempt. </w:t>
      </w:r>
      <w:r w:rsidR="00253B84">
        <w:rPr>
          <w:rFonts w:eastAsia="Calibri" w:cs="Times New Roman"/>
          <w:color w:val="auto"/>
          <w:kern w:val="2"/>
          <w:lang w:eastAsia="en-US"/>
          <w14:ligatures w14:val="standardContextual"/>
        </w:rPr>
        <w:t xml:space="preserve">Omdat prijsregulering niet bijdraagt aan het afkoelen van de Nederlandse economie draagt het niet bij aan het duurzaam verlagen van de inflatie. </w:t>
      </w:r>
      <w:r w:rsidRPr="00E66A9C">
        <w:rPr>
          <w:rFonts w:eastAsia="Calibri" w:cs="Times New Roman"/>
          <w:color w:val="auto"/>
          <w:kern w:val="2"/>
          <w:lang w:eastAsia="en-US"/>
          <w14:ligatures w14:val="standardContextual"/>
        </w:rPr>
        <w:t xml:space="preserve">  </w:t>
      </w:r>
    </w:p>
    <w:p w:rsidRPr="00E66A9C" w:rsidR="00E66A9C" w:rsidP="00253B84" w:rsidRDefault="00E66A9C" w14:paraId="11C41A49" w14:textId="77777777">
      <w:pPr>
        <w:autoSpaceDN/>
        <w:spacing w:after="160" w:line="259" w:lineRule="auto"/>
        <w:textAlignment w:val="auto"/>
        <w:rPr>
          <w:rFonts w:eastAsia="Calibri" w:cs="Times New Roman"/>
          <w:color w:val="auto"/>
          <w:kern w:val="2"/>
          <w:lang w:eastAsia="en-US"/>
          <w14:ligatures w14:val="standardContextual"/>
        </w:rPr>
      </w:pPr>
      <w:r w:rsidRPr="00E66A9C">
        <w:rPr>
          <w:rFonts w:eastAsia="Calibri" w:cs="Times New Roman"/>
          <w:color w:val="auto"/>
          <w:kern w:val="2"/>
          <w:lang w:eastAsia="en-US"/>
          <w14:ligatures w14:val="standardContextual"/>
        </w:rPr>
        <w:t xml:space="preserve">Het verlagen van </w:t>
      </w:r>
      <w:proofErr w:type="spellStart"/>
      <w:r w:rsidRPr="00E66A9C">
        <w:rPr>
          <w:rFonts w:eastAsia="Calibri" w:cs="Times New Roman"/>
          <w:color w:val="auto"/>
          <w:kern w:val="2"/>
          <w:lang w:eastAsia="en-US"/>
          <w14:ligatures w14:val="standardContextual"/>
        </w:rPr>
        <w:t>productgebonden</w:t>
      </w:r>
      <w:proofErr w:type="spellEnd"/>
      <w:r w:rsidRPr="00E66A9C">
        <w:rPr>
          <w:rFonts w:eastAsia="Calibri" w:cs="Times New Roman"/>
          <w:color w:val="auto"/>
          <w:kern w:val="2"/>
          <w:lang w:eastAsia="en-US"/>
          <w14:ligatures w14:val="standardContextual"/>
        </w:rPr>
        <w:t xml:space="preserve"> belastingen kan </w:t>
      </w:r>
      <w:r w:rsidR="00253B84">
        <w:rPr>
          <w:rFonts w:eastAsia="Calibri" w:cs="Times New Roman"/>
          <w:color w:val="auto"/>
          <w:kern w:val="2"/>
          <w:lang w:eastAsia="en-US"/>
          <w14:ligatures w14:val="standardContextual"/>
        </w:rPr>
        <w:t>de inflatie tijdelijk verlagen. Net als prijsregulering draagt dit echter niet bij aan het afkoelen van de economie</w:t>
      </w:r>
      <w:r w:rsidR="00572585">
        <w:rPr>
          <w:rFonts w:eastAsia="Calibri" w:cs="Times New Roman"/>
          <w:color w:val="auto"/>
          <w:kern w:val="2"/>
          <w:lang w:eastAsia="en-US"/>
          <w14:ligatures w14:val="standardContextual"/>
        </w:rPr>
        <w:t>.</w:t>
      </w:r>
      <w:r w:rsidR="00253B84">
        <w:rPr>
          <w:rFonts w:eastAsia="Calibri" w:cs="Times New Roman"/>
          <w:color w:val="auto"/>
          <w:kern w:val="2"/>
          <w:lang w:eastAsia="en-US"/>
          <w14:ligatures w14:val="standardContextual"/>
        </w:rPr>
        <w:t xml:space="preserve"> Keuzes ten aanzien van de </w:t>
      </w:r>
      <w:proofErr w:type="spellStart"/>
      <w:r w:rsidR="00253B84">
        <w:rPr>
          <w:rFonts w:eastAsia="Calibri" w:cs="Times New Roman"/>
          <w:color w:val="auto"/>
          <w:kern w:val="2"/>
          <w:lang w:eastAsia="en-US"/>
          <w14:ligatures w14:val="standardContextual"/>
        </w:rPr>
        <w:t>productgebonden</w:t>
      </w:r>
      <w:proofErr w:type="spellEnd"/>
      <w:r w:rsidR="00253B84">
        <w:rPr>
          <w:rFonts w:eastAsia="Calibri" w:cs="Times New Roman"/>
          <w:color w:val="auto"/>
          <w:kern w:val="2"/>
          <w:lang w:eastAsia="en-US"/>
          <w14:ligatures w14:val="standardContextual"/>
        </w:rPr>
        <w:t xml:space="preserve"> belastingen</w:t>
      </w:r>
      <w:r w:rsidRPr="00E66A9C">
        <w:rPr>
          <w:rFonts w:eastAsia="Calibri" w:cs="Times New Roman"/>
          <w:color w:val="auto"/>
          <w:kern w:val="2"/>
          <w:lang w:eastAsia="en-US"/>
          <w14:ligatures w14:val="standardContextual"/>
        </w:rPr>
        <w:t xml:space="preserve"> moeten </w:t>
      </w:r>
      <w:r w:rsidR="00253B84">
        <w:rPr>
          <w:rFonts w:eastAsia="Calibri" w:cs="Times New Roman"/>
          <w:color w:val="auto"/>
          <w:kern w:val="2"/>
          <w:lang w:eastAsia="en-US"/>
          <w14:ligatures w14:val="standardContextual"/>
        </w:rPr>
        <w:t xml:space="preserve">primair </w:t>
      </w:r>
      <w:r w:rsidRPr="00E66A9C">
        <w:rPr>
          <w:rFonts w:eastAsia="Calibri" w:cs="Times New Roman"/>
          <w:color w:val="auto"/>
          <w:kern w:val="2"/>
          <w:lang w:eastAsia="en-US"/>
          <w14:ligatures w14:val="standardContextual"/>
        </w:rPr>
        <w:t xml:space="preserve">worden bezien in de brede context van de belastingmix – en beleid. </w:t>
      </w:r>
      <w:proofErr w:type="spellStart"/>
      <w:r w:rsidRPr="00E66A9C">
        <w:rPr>
          <w:rFonts w:eastAsia="Calibri" w:cs="Times New Roman"/>
          <w:color w:val="auto"/>
          <w:kern w:val="2"/>
          <w:lang w:eastAsia="en-US"/>
          <w14:ligatures w14:val="standardContextual"/>
        </w:rPr>
        <w:t>Productgebonden</w:t>
      </w:r>
      <w:proofErr w:type="spellEnd"/>
      <w:r w:rsidRPr="00E66A9C">
        <w:rPr>
          <w:rFonts w:eastAsia="Calibri" w:cs="Times New Roman"/>
          <w:color w:val="auto"/>
          <w:kern w:val="2"/>
          <w:lang w:eastAsia="en-US"/>
          <w14:ligatures w14:val="standardContextual"/>
        </w:rPr>
        <w:t xml:space="preserve"> belastingen </w:t>
      </w:r>
      <w:r w:rsidR="00162B1F">
        <w:rPr>
          <w:rFonts w:eastAsia="Calibri" w:cs="Times New Roman"/>
          <w:color w:val="auto"/>
          <w:kern w:val="2"/>
          <w:lang w:eastAsia="en-US"/>
          <w14:ligatures w14:val="standardContextual"/>
        </w:rPr>
        <w:t>kunnen</w:t>
      </w:r>
      <w:r w:rsidRPr="00E66A9C" w:rsidR="00162B1F">
        <w:rPr>
          <w:rFonts w:eastAsia="Calibri" w:cs="Times New Roman"/>
          <w:color w:val="auto"/>
          <w:kern w:val="2"/>
          <w:lang w:eastAsia="en-US"/>
          <w14:ligatures w14:val="standardContextual"/>
        </w:rPr>
        <w:t xml:space="preserve"> </w:t>
      </w:r>
      <w:r w:rsidRPr="00E66A9C">
        <w:rPr>
          <w:rFonts w:eastAsia="Calibri" w:cs="Times New Roman"/>
          <w:color w:val="auto"/>
          <w:kern w:val="2"/>
          <w:lang w:eastAsia="en-US"/>
          <w14:ligatures w14:val="standardContextual"/>
        </w:rPr>
        <w:t>naast het genereren van</w:t>
      </w:r>
      <w:r w:rsidR="004C2B81">
        <w:rPr>
          <w:rFonts w:eastAsia="Calibri" w:cs="Times New Roman"/>
          <w:color w:val="auto"/>
          <w:kern w:val="2"/>
          <w:lang w:eastAsia="en-US"/>
          <w14:ligatures w14:val="standardContextual"/>
        </w:rPr>
        <w:t xml:space="preserve"> </w:t>
      </w:r>
      <w:r w:rsidRPr="00E66A9C">
        <w:rPr>
          <w:rFonts w:eastAsia="Calibri" w:cs="Times New Roman"/>
          <w:color w:val="auto"/>
          <w:kern w:val="2"/>
          <w:lang w:eastAsia="en-US"/>
          <w14:ligatures w14:val="standardContextual"/>
        </w:rPr>
        <w:t xml:space="preserve">inkomsten </w:t>
      </w:r>
      <w:r w:rsidR="00162B1F">
        <w:rPr>
          <w:rFonts w:eastAsia="Calibri" w:cs="Times New Roman"/>
          <w:color w:val="auto"/>
          <w:kern w:val="2"/>
          <w:lang w:eastAsia="en-US"/>
          <w14:ligatures w14:val="standardContextual"/>
        </w:rPr>
        <w:t>bovendien</w:t>
      </w:r>
      <w:r w:rsidRPr="00E66A9C">
        <w:rPr>
          <w:rFonts w:eastAsia="Calibri" w:cs="Times New Roman"/>
          <w:color w:val="auto"/>
          <w:kern w:val="2"/>
          <w:lang w:eastAsia="en-US"/>
          <w14:ligatures w14:val="standardContextual"/>
        </w:rPr>
        <w:t xml:space="preserve"> ook andere doelen </w:t>
      </w:r>
      <w:r w:rsidR="00162B1F">
        <w:rPr>
          <w:rFonts w:eastAsia="Calibri" w:cs="Times New Roman"/>
          <w:color w:val="auto"/>
          <w:kern w:val="2"/>
          <w:lang w:eastAsia="en-US"/>
          <w14:ligatures w14:val="standardContextual"/>
        </w:rPr>
        <w:t>hebben</w:t>
      </w:r>
      <w:r w:rsidR="00E1165B">
        <w:rPr>
          <w:rFonts w:eastAsia="Calibri" w:cs="Times New Roman"/>
          <w:color w:val="auto"/>
          <w:kern w:val="2"/>
          <w:lang w:eastAsia="en-US"/>
          <w14:ligatures w14:val="standardContextual"/>
        </w:rPr>
        <w:t>,</w:t>
      </w:r>
      <w:r w:rsidR="00162B1F">
        <w:rPr>
          <w:rFonts w:eastAsia="Calibri" w:cs="Times New Roman"/>
          <w:color w:val="auto"/>
          <w:kern w:val="2"/>
          <w:lang w:eastAsia="en-US"/>
          <w14:ligatures w14:val="standardContextual"/>
        </w:rPr>
        <w:t xml:space="preserve"> </w:t>
      </w:r>
      <w:r w:rsidR="00E1165B">
        <w:rPr>
          <w:rFonts w:eastAsia="Calibri" w:cs="Times New Roman"/>
          <w:color w:val="auto"/>
          <w:kern w:val="2"/>
          <w:lang w:eastAsia="en-US"/>
          <w14:ligatures w14:val="standardContextual"/>
        </w:rPr>
        <w:t>zo</w:t>
      </w:r>
      <w:r w:rsidRPr="00E66A9C">
        <w:rPr>
          <w:rFonts w:eastAsia="Calibri" w:cs="Times New Roman"/>
          <w:color w:val="auto"/>
          <w:kern w:val="2"/>
          <w:lang w:eastAsia="en-US"/>
          <w14:ligatures w14:val="standardContextual"/>
        </w:rPr>
        <w:t xml:space="preserve">als gezondheids- of klimaatbeleid. </w:t>
      </w:r>
    </w:p>
    <w:p w:rsidRPr="00E66A9C" w:rsidR="00E66A9C" w:rsidP="00E66A9C" w:rsidRDefault="00E66A9C" w14:paraId="2B3110D4" w14:textId="77777777">
      <w:pPr>
        <w:autoSpaceDN/>
        <w:spacing w:after="160" w:line="259" w:lineRule="auto"/>
        <w:textAlignment w:val="auto"/>
        <w:rPr>
          <w:rFonts w:eastAsia="Calibri" w:cs="Times New Roman"/>
          <w:color w:val="auto"/>
          <w:kern w:val="2"/>
          <w:u w:val="single"/>
          <w:lang w:eastAsia="en-US"/>
          <w14:ligatures w14:val="standardContextual"/>
        </w:rPr>
      </w:pPr>
      <w:r w:rsidRPr="00E66A9C">
        <w:rPr>
          <w:rFonts w:eastAsia="Calibri" w:cs="Times New Roman"/>
          <w:color w:val="auto"/>
          <w:kern w:val="2"/>
          <w:u w:val="single"/>
          <w:lang w:eastAsia="en-US"/>
          <w14:ligatures w14:val="standardContextual"/>
        </w:rPr>
        <w:t>Huurprijsregulering</w:t>
      </w:r>
    </w:p>
    <w:p w:rsidRPr="00E66A9C" w:rsidR="00E66A9C" w:rsidP="00E66A9C" w:rsidRDefault="007328FC" w14:paraId="145F523C" w14:textId="77777777">
      <w:pPr>
        <w:autoSpaceDN/>
        <w:spacing w:after="160" w:line="259" w:lineRule="auto"/>
        <w:textAlignment w:val="auto"/>
        <w:rPr>
          <w:rFonts w:eastAsia="Calibri" w:cs="Times New Roman"/>
          <w:color w:val="auto"/>
          <w:kern w:val="2"/>
          <w:lang w:eastAsia="en-US"/>
          <w14:ligatures w14:val="standardContextual"/>
        </w:rPr>
      </w:pPr>
      <w:r>
        <w:rPr>
          <w:rFonts w:eastAsia="Calibri" w:cs="Times New Roman"/>
          <w:color w:val="auto"/>
          <w:kern w:val="2"/>
          <w:lang w:eastAsia="en-US"/>
          <w14:ligatures w14:val="standardContextual"/>
        </w:rPr>
        <w:t>De huren zijn in de periode 20</w:t>
      </w:r>
      <w:r w:rsidR="008D5A86">
        <w:rPr>
          <w:rFonts w:eastAsia="Calibri" w:cs="Times New Roman"/>
          <w:color w:val="auto"/>
          <w:kern w:val="2"/>
          <w:lang w:eastAsia="en-US"/>
          <w14:ligatures w14:val="standardContextual"/>
        </w:rPr>
        <w:t>21</w:t>
      </w:r>
      <w:r>
        <w:rPr>
          <w:rFonts w:eastAsia="Calibri" w:cs="Times New Roman"/>
          <w:color w:val="auto"/>
          <w:kern w:val="2"/>
          <w:lang w:eastAsia="en-US"/>
          <w14:ligatures w14:val="standardContextual"/>
        </w:rPr>
        <w:t xml:space="preserve">-2023 door regulering achtergebleven bij de inflatie. Bij de overwegingen voor huurprijsregulering speelt niet alleen betaalbaarheid een rol maar moet ook worden gekeken naar de financiële mogelijkheden voor verhuurders om voldoende aanbod van huurwoningen te realiseren. In het voorgenomen huurbeleid van het kabinet zijn deze twee aspecten zorgvuldig tegen elkaar afgewogen. </w:t>
      </w:r>
      <w:r w:rsidRPr="00E66A9C" w:rsidR="00E66A9C">
        <w:rPr>
          <w:rFonts w:eastAsia="Calibri" w:cs="Times New Roman"/>
          <w:color w:val="auto"/>
          <w:kern w:val="2"/>
          <w:lang w:eastAsia="en-US"/>
          <w14:ligatures w14:val="standardContextual"/>
        </w:rPr>
        <w:t>In 2025 wordt de huurprijsontwikkeling in de gereguleerde sector gemaximeerd op 4,5% en vanaf 2026 gelijkgesteld aan het gemiddelde van de inflatie van de voorgaande drie jaren. Voorts is met de Wet betaalbare huur de huurprijsregulering uitgebreid met het middensegment en heeft deze regulering een meer dwingend karakter gekregen; de verwachting is dat als gevolg van de wet de huren van 300.000 huurwoningen in het middensegment met gemiddeld € 190 worden verlaagd</w:t>
      </w:r>
      <w:bookmarkEnd w:id="2"/>
      <w:r w:rsidR="006E0E63">
        <w:rPr>
          <w:rFonts w:eastAsia="Calibri" w:cs="Times New Roman"/>
          <w:color w:val="auto"/>
          <w:kern w:val="2"/>
          <w:lang w:eastAsia="en-US"/>
          <w14:ligatures w14:val="standardContextual"/>
        </w:rPr>
        <w:t>.</w:t>
      </w:r>
      <w:r w:rsidR="006E0E63">
        <w:rPr>
          <w:rFonts w:eastAsia="Calibri" w:cs="Times New Roman"/>
          <w:b/>
          <w:bCs/>
          <w:color w:val="auto"/>
          <w:kern w:val="2"/>
          <w:lang w:eastAsia="en-US"/>
          <w14:ligatures w14:val="standardContextual"/>
        </w:rPr>
        <w:t xml:space="preserve"> </w:t>
      </w:r>
    </w:p>
    <w:p w:rsidRPr="009277DD" w:rsidR="009277DD" w:rsidP="003D42CD" w:rsidRDefault="00D41F8A" w14:paraId="27E28AA2" w14:textId="77777777">
      <w:pPr>
        <w:pStyle w:val="StandaardSlotzin"/>
        <w:spacing w:before="0"/>
      </w:pPr>
      <w:r>
        <w:t>Hoogachtend,</w:t>
      </w:r>
    </w:p>
    <w:p w:rsidR="000438E8" w:rsidRDefault="000438E8" w14:paraId="38ED4397" w14:textId="77777777"/>
    <w:tbl>
      <w:tblPr>
        <w:tblStyle w:val="Tabelzonderranden"/>
        <w:tblW w:w="7745" w:type="dxa"/>
        <w:tblInd w:w="0" w:type="dxa"/>
        <w:tblLayout w:type="fixed"/>
        <w:tblLook w:val="07E0" w:firstRow="1" w:lastRow="1" w:firstColumn="1" w:lastColumn="1" w:noHBand="1" w:noVBand="1"/>
      </w:tblPr>
      <w:tblGrid>
        <w:gridCol w:w="3774"/>
        <w:gridCol w:w="3971"/>
      </w:tblGrid>
      <w:tr w:rsidR="009277DD" w:rsidTr="00D8200D" w14:paraId="3A60937E" w14:textId="77777777">
        <w:trPr>
          <w:trHeight w:val="709"/>
        </w:trPr>
        <w:tc>
          <w:tcPr>
            <w:tcW w:w="3774" w:type="dxa"/>
          </w:tcPr>
          <w:p w:rsidR="009277DD" w:rsidRDefault="009277DD" w14:paraId="0146D06D" w14:textId="77777777">
            <w:proofErr w:type="gramStart"/>
            <w:r>
              <w:t>de</w:t>
            </w:r>
            <w:proofErr w:type="gramEnd"/>
            <w:r>
              <w:t xml:space="preserve"> minister van Financiën,</w:t>
            </w:r>
            <w:r>
              <w:br/>
            </w:r>
            <w:r>
              <w:br/>
            </w:r>
            <w:r>
              <w:br/>
            </w:r>
          </w:p>
        </w:tc>
        <w:tc>
          <w:tcPr>
            <w:tcW w:w="3971" w:type="dxa"/>
          </w:tcPr>
          <w:p w:rsidR="009277DD" w:rsidRDefault="009277DD" w14:paraId="14B68D8A" w14:textId="77777777">
            <w:r>
              <w:t>De minister van Economische Zaken,</w:t>
            </w:r>
          </w:p>
        </w:tc>
      </w:tr>
      <w:tr w:rsidR="009277DD" w:rsidTr="00D8200D" w14:paraId="17564B8A" w14:textId="77777777">
        <w:trPr>
          <w:trHeight w:val="176"/>
        </w:trPr>
        <w:tc>
          <w:tcPr>
            <w:tcW w:w="3774" w:type="dxa"/>
          </w:tcPr>
          <w:p w:rsidR="009277DD" w:rsidRDefault="009277DD" w14:paraId="26071C22" w14:textId="77777777">
            <w:r>
              <w:t>E. Heinen</w:t>
            </w:r>
          </w:p>
        </w:tc>
        <w:tc>
          <w:tcPr>
            <w:tcW w:w="3971" w:type="dxa"/>
          </w:tcPr>
          <w:p w:rsidR="009277DD" w:rsidRDefault="009277DD" w14:paraId="79CF0DEE" w14:textId="77777777">
            <w:r>
              <w:t xml:space="preserve">D. </w:t>
            </w:r>
            <w:proofErr w:type="spellStart"/>
            <w:r>
              <w:t>Beljaarts</w:t>
            </w:r>
            <w:proofErr w:type="spellEnd"/>
          </w:p>
        </w:tc>
      </w:tr>
      <w:tr w:rsidR="00572585" w:rsidTr="00572585" w14:paraId="2E218686" w14:textId="77777777">
        <w:trPr>
          <w:trHeight w:val="176"/>
        </w:trPr>
        <w:tc>
          <w:tcPr>
            <w:tcW w:w="3774" w:type="dxa"/>
            <w:shd w:val="clear" w:color="auto" w:fill="auto"/>
          </w:tcPr>
          <w:p w:rsidR="00572585" w:rsidRDefault="00572585" w14:paraId="649CAC25" w14:textId="77777777"/>
        </w:tc>
        <w:tc>
          <w:tcPr>
            <w:tcW w:w="3971" w:type="dxa"/>
            <w:shd w:val="clear" w:color="auto" w:fill="auto"/>
          </w:tcPr>
          <w:p w:rsidR="00572585" w:rsidRDefault="00572585" w14:paraId="6984FE6D" w14:textId="77777777"/>
        </w:tc>
      </w:tr>
      <w:tr w:rsidR="00572585" w:rsidTr="00572585" w14:paraId="5BDB7504" w14:textId="77777777">
        <w:trPr>
          <w:trHeight w:val="176"/>
        </w:trPr>
        <w:tc>
          <w:tcPr>
            <w:tcW w:w="3774" w:type="dxa"/>
            <w:shd w:val="clear" w:color="auto" w:fill="auto"/>
          </w:tcPr>
          <w:p w:rsidR="00572585" w:rsidRDefault="00572585" w14:paraId="57327DDF" w14:textId="77777777"/>
        </w:tc>
        <w:tc>
          <w:tcPr>
            <w:tcW w:w="3971" w:type="dxa"/>
            <w:shd w:val="clear" w:color="auto" w:fill="auto"/>
          </w:tcPr>
          <w:p w:rsidR="00572585" w:rsidRDefault="00572585" w14:paraId="4713C0E2" w14:textId="77777777"/>
        </w:tc>
      </w:tr>
      <w:tr w:rsidR="00572585" w:rsidTr="00572585" w14:paraId="3E2DA366" w14:textId="77777777">
        <w:trPr>
          <w:trHeight w:val="176"/>
        </w:trPr>
        <w:tc>
          <w:tcPr>
            <w:tcW w:w="3774" w:type="dxa"/>
            <w:shd w:val="clear" w:color="auto" w:fill="auto"/>
          </w:tcPr>
          <w:p w:rsidR="00572585" w:rsidRDefault="00572585" w14:paraId="0D250F45" w14:textId="77777777">
            <w:proofErr w:type="gramStart"/>
            <w:r>
              <w:t>de</w:t>
            </w:r>
            <w:proofErr w:type="gramEnd"/>
            <w:r>
              <w:t xml:space="preserve"> minister van Sociale Zaken en Werkgelegenheid, </w:t>
            </w:r>
          </w:p>
        </w:tc>
        <w:tc>
          <w:tcPr>
            <w:tcW w:w="3971" w:type="dxa"/>
            <w:shd w:val="clear" w:color="auto" w:fill="auto"/>
          </w:tcPr>
          <w:p w:rsidR="00572585" w:rsidRDefault="00572585" w14:paraId="61C7845C" w14:textId="77777777"/>
        </w:tc>
      </w:tr>
      <w:tr w:rsidR="00572585" w:rsidTr="00572585" w14:paraId="11C148D6" w14:textId="77777777">
        <w:trPr>
          <w:trHeight w:val="176"/>
        </w:trPr>
        <w:tc>
          <w:tcPr>
            <w:tcW w:w="3774" w:type="dxa"/>
            <w:shd w:val="clear" w:color="auto" w:fill="auto"/>
          </w:tcPr>
          <w:p w:rsidR="00572585" w:rsidRDefault="00572585" w14:paraId="77E2620F" w14:textId="77777777"/>
        </w:tc>
        <w:tc>
          <w:tcPr>
            <w:tcW w:w="3971" w:type="dxa"/>
            <w:shd w:val="clear" w:color="auto" w:fill="auto"/>
          </w:tcPr>
          <w:p w:rsidR="00572585" w:rsidRDefault="00572585" w14:paraId="42D8C9C4" w14:textId="77777777"/>
        </w:tc>
      </w:tr>
      <w:tr w:rsidR="00572585" w:rsidTr="00572585" w14:paraId="296A2704" w14:textId="77777777">
        <w:trPr>
          <w:trHeight w:val="176"/>
        </w:trPr>
        <w:tc>
          <w:tcPr>
            <w:tcW w:w="3774" w:type="dxa"/>
            <w:shd w:val="clear" w:color="auto" w:fill="auto"/>
          </w:tcPr>
          <w:p w:rsidR="00572585" w:rsidRDefault="00572585" w14:paraId="3F13EB0C" w14:textId="77777777"/>
        </w:tc>
        <w:tc>
          <w:tcPr>
            <w:tcW w:w="3971" w:type="dxa"/>
            <w:shd w:val="clear" w:color="auto" w:fill="auto"/>
          </w:tcPr>
          <w:p w:rsidR="00572585" w:rsidRDefault="00572585" w14:paraId="7A2CF2C3" w14:textId="77777777"/>
        </w:tc>
      </w:tr>
      <w:tr w:rsidR="00572585" w:rsidTr="00572585" w14:paraId="257E1D90" w14:textId="77777777">
        <w:trPr>
          <w:trHeight w:val="176"/>
        </w:trPr>
        <w:tc>
          <w:tcPr>
            <w:tcW w:w="3774" w:type="dxa"/>
            <w:shd w:val="clear" w:color="auto" w:fill="auto"/>
          </w:tcPr>
          <w:p w:rsidR="00572585" w:rsidRDefault="00572585" w14:paraId="686787D0" w14:textId="77777777">
            <w:r>
              <w:t xml:space="preserve">E. van Hijum </w:t>
            </w:r>
          </w:p>
        </w:tc>
        <w:tc>
          <w:tcPr>
            <w:tcW w:w="3971" w:type="dxa"/>
            <w:shd w:val="clear" w:color="auto" w:fill="auto"/>
          </w:tcPr>
          <w:p w:rsidR="00572585" w:rsidRDefault="00572585" w14:paraId="66D21BB7" w14:textId="77777777"/>
        </w:tc>
      </w:tr>
    </w:tbl>
    <w:p w:rsidR="000438E8" w:rsidP="003D42CD" w:rsidRDefault="000438E8" w14:paraId="7240EE3B" w14:textId="77777777">
      <w:pPr>
        <w:pStyle w:val="Verdana7"/>
      </w:pPr>
    </w:p>
    <w:sectPr w:rsidR="000438E8">
      <w:headerReference w:type="default" r:id="rId12"/>
      <w:headerReference w:type="first" r:id="rId13"/>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D385" w14:textId="77777777" w:rsidR="00A94F99" w:rsidRDefault="00A94F99">
      <w:pPr>
        <w:spacing w:line="240" w:lineRule="auto"/>
      </w:pPr>
      <w:r>
        <w:separator/>
      </w:r>
    </w:p>
  </w:endnote>
  <w:endnote w:type="continuationSeparator" w:id="0">
    <w:p w14:paraId="41A0F38E" w14:textId="77777777" w:rsidR="00A94F99" w:rsidRDefault="00A94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D9B7" w14:textId="77777777" w:rsidR="00A94F99" w:rsidRDefault="00A94F99">
      <w:pPr>
        <w:spacing w:line="240" w:lineRule="auto"/>
      </w:pPr>
      <w:r>
        <w:separator/>
      </w:r>
    </w:p>
  </w:footnote>
  <w:footnote w:type="continuationSeparator" w:id="0">
    <w:p w14:paraId="33C10376" w14:textId="77777777" w:rsidR="00A94F99" w:rsidRDefault="00A94F99">
      <w:pPr>
        <w:spacing w:line="240" w:lineRule="auto"/>
      </w:pPr>
      <w:r>
        <w:continuationSeparator/>
      </w:r>
    </w:p>
  </w:footnote>
  <w:footnote w:id="1">
    <w:p w14:paraId="1E107F8E" w14:textId="77777777" w:rsidR="00423A7A" w:rsidRPr="00CF282A" w:rsidRDefault="00423A7A" w:rsidP="00423A7A">
      <w:pPr>
        <w:pStyle w:val="Voetnoottekst"/>
        <w:rPr>
          <w:rFonts w:ascii="Verdana" w:hAnsi="Verdana"/>
          <w:sz w:val="13"/>
          <w:szCs w:val="13"/>
        </w:rPr>
      </w:pPr>
      <w:r w:rsidRPr="00CF282A">
        <w:rPr>
          <w:rStyle w:val="Voetnootmarkering"/>
          <w:rFonts w:ascii="Verdana" w:hAnsi="Verdana"/>
          <w:sz w:val="13"/>
          <w:szCs w:val="13"/>
        </w:rPr>
        <w:footnoteRef/>
      </w:r>
      <w:r w:rsidRPr="00CF282A">
        <w:rPr>
          <w:rFonts w:ascii="Verdana" w:hAnsi="Verdana"/>
          <w:sz w:val="13"/>
          <w:szCs w:val="13"/>
        </w:rPr>
        <w:t xml:space="preserve"> Adema, Y., </w:t>
      </w:r>
      <w:proofErr w:type="spellStart"/>
      <w:r w:rsidRPr="00CF282A">
        <w:rPr>
          <w:rFonts w:ascii="Verdana" w:hAnsi="Verdana"/>
          <w:sz w:val="13"/>
          <w:szCs w:val="13"/>
        </w:rPr>
        <w:t>Bettendorf</w:t>
      </w:r>
      <w:proofErr w:type="spellEnd"/>
      <w:r w:rsidRPr="00CF282A">
        <w:rPr>
          <w:rFonts w:ascii="Verdana" w:hAnsi="Verdana"/>
          <w:sz w:val="13"/>
          <w:szCs w:val="13"/>
        </w:rPr>
        <w:t xml:space="preserve">, L., </w:t>
      </w:r>
      <w:proofErr w:type="spellStart"/>
      <w:r w:rsidRPr="00CF282A">
        <w:rPr>
          <w:rFonts w:ascii="Verdana" w:hAnsi="Verdana"/>
          <w:sz w:val="13"/>
          <w:szCs w:val="13"/>
        </w:rPr>
        <w:t>Deijl</w:t>
      </w:r>
      <w:proofErr w:type="spellEnd"/>
      <w:r w:rsidRPr="00CF282A">
        <w:rPr>
          <w:rFonts w:ascii="Verdana" w:hAnsi="Verdana"/>
          <w:sz w:val="13"/>
          <w:szCs w:val="13"/>
        </w:rPr>
        <w:t>, C., Freeman, D., Verstegen, L. &amp; Van der Wal, E. (2021). Economische analyse steunpakket 2020. Centraal Planbureau</w:t>
      </w:r>
      <w:r w:rsidR="002D0F7B" w:rsidRPr="00CF282A">
        <w:rPr>
          <w:rFonts w:ascii="Verdana" w:hAnsi="Verdana"/>
          <w:sz w:val="13"/>
          <w:szCs w:val="13"/>
        </w:rPr>
        <w:t xml:space="preserve"> (</w:t>
      </w:r>
      <w:hyperlink r:id="rId1" w:history="1">
        <w:r w:rsidR="002D0F7B" w:rsidRPr="00CF282A">
          <w:rPr>
            <w:rStyle w:val="Hyperlink"/>
            <w:rFonts w:ascii="Verdana" w:hAnsi="Verdana"/>
            <w:sz w:val="13"/>
            <w:szCs w:val="13"/>
          </w:rPr>
          <w:t>link</w:t>
        </w:r>
      </w:hyperlink>
      <w:r w:rsidR="002D0F7B" w:rsidRPr="00CF282A">
        <w:rPr>
          <w:rFonts w:ascii="Verdana" w:hAnsi="Verdana"/>
          <w:sz w:val="13"/>
          <w:szCs w:val="13"/>
        </w:rPr>
        <w:t>)</w:t>
      </w:r>
    </w:p>
  </w:footnote>
  <w:footnote w:id="2">
    <w:p w14:paraId="79FA3CEE" w14:textId="77777777" w:rsidR="00E66A9C" w:rsidRPr="00CF282A" w:rsidRDefault="00E66A9C" w:rsidP="00B65988">
      <w:pPr>
        <w:pStyle w:val="Voetnoottekst"/>
        <w:rPr>
          <w:rFonts w:ascii="Verdana" w:hAnsi="Verdana"/>
          <w:sz w:val="13"/>
          <w:szCs w:val="13"/>
        </w:rPr>
      </w:pPr>
      <w:r w:rsidRPr="00CF282A">
        <w:rPr>
          <w:rStyle w:val="Voetnootmarkering"/>
          <w:rFonts w:ascii="Verdana" w:hAnsi="Verdana"/>
          <w:sz w:val="13"/>
          <w:szCs w:val="13"/>
        </w:rPr>
        <w:footnoteRef/>
      </w:r>
      <w:r w:rsidRPr="00CF282A">
        <w:rPr>
          <w:rFonts w:ascii="Verdana" w:hAnsi="Verdana"/>
          <w:sz w:val="13"/>
          <w:szCs w:val="13"/>
        </w:rPr>
        <w:t xml:space="preserve"> DNB (2024) </w:t>
      </w:r>
      <w:hyperlink r:id="rId2" w:history="1">
        <w:r w:rsidRPr="00CF282A">
          <w:rPr>
            <w:rStyle w:val="Hyperlink"/>
            <w:rFonts w:ascii="Verdana" w:hAnsi="Verdana"/>
            <w:sz w:val="13"/>
            <w:szCs w:val="13"/>
          </w:rPr>
          <w:t>https://www.dnb.nl/media/urepsze5/dnb-analysis-drivers-of-dutch-inflation-during-the-pandemic-era.pdf</w:t>
        </w:r>
      </w:hyperlink>
      <w:r w:rsidRPr="00CF282A">
        <w:rPr>
          <w:rFonts w:ascii="Verdana" w:hAnsi="Verdana"/>
          <w:sz w:val="13"/>
          <w:szCs w:val="13"/>
        </w:rPr>
        <w:t xml:space="preserve"> ; CPB (2023) Op zoek naar de oorzaken van de inflatie in Nederland</w:t>
      </w:r>
      <w:r w:rsidR="009B5F79" w:rsidRPr="00CF282A">
        <w:rPr>
          <w:rFonts w:ascii="Verdana" w:hAnsi="Verdana"/>
          <w:sz w:val="13"/>
          <w:szCs w:val="13"/>
        </w:rPr>
        <w:t xml:space="preserve"> (</w:t>
      </w:r>
      <w:hyperlink r:id="rId3" w:history="1">
        <w:r w:rsidR="009B5F79" w:rsidRPr="00CF282A">
          <w:rPr>
            <w:rStyle w:val="Hyperlink"/>
            <w:rFonts w:ascii="Verdana" w:hAnsi="Verdana"/>
            <w:sz w:val="13"/>
            <w:szCs w:val="13"/>
          </w:rPr>
          <w:t>link</w:t>
        </w:r>
      </w:hyperlink>
      <w:r w:rsidR="009B5F79" w:rsidRPr="00CF282A">
        <w:rPr>
          <w:rFonts w:ascii="Verdana" w:hAnsi="Verdana"/>
          <w:sz w:val="13"/>
          <w:szCs w:val="13"/>
        </w:rPr>
        <w:t>)</w:t>
      </w:r>
      <w:r w:rsidRPr="00CF282A">
        <w:rPr>
          <w:rFonts w:ascii="Verdana" w:hAnsi="Verdana"/>
          <w:sz w:val="13"/>
          <w:szCs w:val="13"/>
        </w:rPr>
        <w:t xml:space="preserve"> </w:t>
      </w:r>
    </w:p>
  </w:footnote>
  <w:footnote w:id="3">
    <w:p w14:paraId="10006835" w14:textId="77777777" w:rsidR="00E66A9C" w:rsidRPr="00CF282A" w:rsidRDefault="00E66A9C" w:rsidP="00B65988">
      <w:pPr>
        <w:pStyle w:val="Voetnoottekst"/>
        <w:rPr>
          <w:rFonts w:ascii="Verdana" w:hAnsi="Verdana"/>
          <w:sz w:val="13"/>
          <w:szCs w:val="13"/>
          <w:lang w:val="en-US"/>
        </w:rPr>
      </w:pPr>
      <w:r w:rsidRPr="00CF282A">
        <w:rPr>
          <w:rStyle w:val="Voetnootmarkering"/>
          <w:rFonts w:ascii="Verdana" w:hAnsi="Verdana"/>
          <w:sz w:val="13"/>
          <w:szCs w:val="13"/>
        </w:rPr>
        <w:footnoteRef/>
      </w:r>
      <w:r w:rsidRPr="00CF282A">
        <w:rPr>
          <w:rFonts w:ascii="Verdana" w:hAnsi="Verdana"/>
          <w:sz w:val="13"/>
          <w:szCs w:val="13"/>
          <w:lang w:val="en-US"/>
        </w:rPr>
        <w:t xml:space="preserve"> IMF (2023) One hundred inflation shocks: seven stylized </w:t>
      </w:r>
      <w:r w:rsidR="00572585" w:rsidRPr="00CF282A">
        <w:rPr>
          <w:rFonts w:ascii="Verdana" w:hAnsi="Verdana"/>
          <w:sz w:val="13"/>
          <w:szCs w:val="13"/>
          <w:lang w:val="en-US"/>
        </w:rPr>
        <w:t xml:space="preserve">facts </w:t>
      </w:r>
      <w:hyperlink r:id="rId4" w:history="1">
        <w:r w:rsidR="00572585" w:rsidRPr="00CF282A">
          <w:rPr>
            <w:rStyle w:val="Hyperlink"/>
            <w:rFonts w:ascii="Verdana" w:hAnsi="Verdana"/>
            <w:sz w:val="13"/>
            <w:szCs w:val="13"/>
            <w:lang w:val="en-US"/>
          </w:rPr>
          <w:t>(link</w:t>
        </w:r>
      </w:hyperlink>
      <w:r w:rsidR="00572585" w:rsidRPr="00CF282A">
        <w:rPr>
          <w:rFonts w:ascii="Verdana" w:hAnsi="Verdana"/>
          <w:sz w:val="13"/>
          <w:szCs w:val="13"/>
          <w:lang w:val="en-US"/>
        </w:rPr>
        <w:t>)</w:t>
      </w:r>
    </w:p>
  </w:footnote>
  <w:footnote w:id="4">
    <w:p w14:paraId="7AAA6289" w14:textId="77777777" w:rsidR="00EA1B72" w:rsidRPr="00CF282A" w:rsidRDefault="00EA1B72">
      <w:pPr>
        <w:pStyle w:val="Voetnoottekst"/>
        <w:rPr>
          <w:rFonts w:ascii="Verdana" w:hAnsi="Verdana"/>
          <w:sz w:val="13"/>
          <w:szCs w:val="13"/>
        </w:rPr>
      </w:pPr>
      <w:r w:rsidRPr="00CF282A">
        <w:rPr>
          <w:rStyle w:val="Voetnootmarkering"/>
          <w:rFonts w:ascii="Verdana" w:hAnsi="Verdana"/>
          <w:sz w:val="13"/>
          <w:szCs w:val="13"/>
        </w:rPr>
        <w:footnoteRef/>
      </w:r>
      <w:r w:rsidRPr="00CF282A">
        <w:rPr>
          <w:rFonts w:ascii="Verdana" w:hAnsi="Verdana"/>
          <w:sz w:val="13"/>
          <w:szCs w:val="13"/>
        </w:rPr>
        <w:t xml:space="preserve"> CPB (2024) Macro Economische Verkenning 2025 (</w:t>
      </w:r>
      <w:hyperlink r:id="rId5" w:history="1">
        <w:r w:rsidRPr="00CF282A">
          <w:rPr>
            <w:rStyle w:val="Hyperlink"/>
            <w:rFonts w:ascii="Verdana" w:hAnsi="Verdana"/>
            <w:sz w:val="13"/>
            <w:szCs w:val="13"/>
          </w:rPr>
          <w:t>link</w:t>
        </w:r>
      </w:hyperlink>
      <w:r w:rsidRPr="00CF282A">
        <w:rPr>
          <w:rFonts w:ascii="Verdana" w:hAnsi="Verdana"/>
          <w:sz w:val="13"/>
          <w:szCs w:val="13"/>
        </w:rPr>
        <w:t>)</w:t>
      </w:r>
    </w:p>
  </w:footnote>
  <w:footnote w:id="5">
    <w:p w14:paraId="75932531" w14:textId="77777777" w:rsidR="00BF6CB5" w:rsidRPr="00CF282A" w:rsidRDefault="00BF6CB5">
      <w:pPr>
        <w:pStyle w:val="Voetnoottekst"/>
        <w:rPr>
          <w:rFonts w:ascii="Verdana" w:hAnsi="Verdana"/>
          <w:sz w:val="13"/>
          <w:szCs w:val="13"/>
        </w:rPr>
      </w:pPr>
      <w:r w:rsidRPr="00CF282A">
        <w:rPr>
          <w:rStyle w:val="Voetnootmarkering"/>
          <w:rFonts w:ascii="Verdana" w:hAnsi="Verdana"/>
          <w:sz w:val="13"/>
          <w:szCs w:val="13"/>
        </w:rPr>
        <w:footnoteRef/>
      </w:r>
      <w:r w:rsidRPr="00CF282A">
        <w:rPr>
          <w:rFonts w:ascii="Verdana" w:hAnsi="Verdana"/>
          <w:sz w:val="13"/>
          <w:szCs w:val="13"/>
        </w:rPr>
        <w:t xml:space="preserve"> CPB (2025) Centraal Economisch Plan 2025 (</w:t>
      </w:r>
      <w:hyperlink r:id="rId6" w:history="1">
        <w:r w:rsidRPr="00CF282A">
          <w:rPr>
            <w:rStyle w:val="Hyperlink"/>
            <w:rFonts w:ascii="Verdana" w:hAnsi="Verdana"/>
            <w:sz w:val="13"/>
            <w:szCs w:val="13"/>
          </w:rPr>
          <w:t>link</w:t>
        </w:r>
      </w:hyperlink>
      <w:r w:rsidRPr="00CF282A">
        <w:rPr>
          <w:rFonts w:ascii="Verdana" w:hAnsi="Verdana"/>
          <w:sz w:val="13"/>
          <w:szCs w:val="13"/>
        </w:rPr>
        <w:t>)</w:t>
      </w:r>
    </w:p>
  </w:footnote>
  <w:footnote w:id="6">
    <w:p w14:paraId="2906B9B8" w14:textId="77777777" w:rsidR="00E66A9C" w:rsidRPr="00CF282A" w:rsidRDefault="00E66A9C" w:rsidP="00B65988">
      <w:pPr>
        <w:pStyle w:val="Voetnoottekst"/>
        <w:rPr>
          <w:rFonts w:ascii="Verdana" w:hAnsi="Verdana"/>
          <w:sz w:val="13"/>
          <w:szCs w:val="13"/>
        </w:rPr>
      </w:pPr>
      <w:r w:rsidRPr="00CF282A">
        <w:rPr>
          <w:rStyle w:val="Voetnootmarkering"/>
          <w:rFonts w:ascii="Verdana" w:hAnsi="Verdana"/>
          <w:sz w:val="13"/>
          <w:szCs w:val="13"/>
        </w:rPr>
        <w:footnoteRef/>
      </w:r>
      <w:r w:rsidRPr="00CF282A">
        <w:rPr>
          <w:rFonts w:ascii="Verdana" w:hAnsi="Verdana"/>
          <w:sz w:val="13"/>
          <w:szCs w:val="13"/>
        </w:rPr>
        <w:t xml:space="preserve"> </w:t>
      </w:r>
      <w:r w:rsidRPr="00CF282A">
        <w:rPr>
          <w:rFonts w:ascii="Verdana" w:eastAsia="Aptos" w:hAnsi="Verdana"/>
          <w:kern w:val="2"/>
          <w:sz w:val="13"/>
          <w:szCs w:val="13"/>
          <w14:ligatures w14:val="standardContextual"/>
        </w:rPr>
        <w:t>Zie DNB (2024) Hoe hogere loonkosten en bedrijfswinsten in 2023 bijdroegen aan inflatie (</w:t>
      </w:r>
      <w:hyperlink r:id="rId7" w:anchor=":~:text=Waar%20de%20Nederlandse%20geharmoniseerde%20consumentenprijsindex,helft%20van%202022%2C%20veel%20aandacht." w:history="1">
        <w:r w:rsidRPr="00CF282A">
          <w:rPr>
            <w:rFonts w:ascii="Verdana" w:eastAsia="Aptos" w:hAnsi="Verdana"/>
            <w:color w:val="0000FF"/>
            <w:kern w:val="2"/>
            <w:sz w:val="13"/>
            <w:szCs w:val="13"/>
            <w:u w:val="single"/>
            <w14:ligatures w14:val="standardContextual"/>
          </w:rPr>
          <w:t>link</w:t>
        </w:r>
      </w:hyperlink>
      <w:r w:rsidRPr="00CF282A">
        <w:rPr>
          <w:rFonts w:ascii="Verdana" w:eastAsia="Aptos" w:hAnsi="Verdana"/>
          <w:kern w:val="2"/>
          <w:sz w:val="13"/>
          <w:szCs w:val="13"/>
          <w14:ligatures w14:val="standardContextual"/>
        </w:rPr>
        <w:t>) en DNB (2023) De bijdrage van winsten en lonen aan de Nederlandse inflatie (</w:t>
      </w:r>
      <w:hyperlink r:id="rId8" w:history="1">
        <w:r w:rsidRPr="00CF282A">
          <w:rPr>
            <w:rFonts w:ascii="Verdana" w:eastAsia="Aptos" w:hAnsi="Verdana"/>
            <w:color w:val="0000FF"/>
            <w:kern w:val="2"/>
            <w:sz w:val="13"/>
            <w:szCs w:val="13"/>
            <w:u w:val="single"/>
            <w14:ligatures w14:val="standardContextual"/>
          </w:rPr>
          <w:t>link</w:t>
        </w:r>
      </w:hyperlink>
      <w:r w:rsidRPr="00CF282A">
        <w:rPr>
          <w:rFonts w:ascii="Verdana" w:eastAsia="Aptos" w:hAnsi="Verdana"/>
          <w:kern w:val="2"/>
          <w:sz w:val="13"/>
          <w:szCs w:val="13"/>
          <w14:ligatures w14:val="standardContextual"/>
        </w:rPr>
        <w:t>)</w:t>
      </w:r>
    </w:p>
  </w:footnote>
  <w:footnote w:id="7">
    <w:p w14:paraId="020F977F" w14:textId="77777777" w:rsidR="00EF38DB" w:rsidRPr="00CF282A" w:rsidRDefault="00EF38DB" w:rsidP="00B65988">
      <w:pPr>
        <w:pStyle w:val="Voetnoottekst"/>
        <w:rPr>
          <w:rFonts w:ascii="Verdana" w:hAnsi="Verdana"/>
          <w:sz w:val="13"/>
          <w:szCs w:val="13"/>
        </w:rPr>
      </w:pPr>
      <w:r w:rsidRPr="00CF282A">
        <w:rPr>
          <w:rStyle w:val="Voetnootmarkering"/>
          <w:rFonts w:ascii="Verdana" w:hAnsi="Verdana"/>
          <w:sz w:val="13"/>
          <w:szCs w:val="13"/>
        </w:rPr>
        <w:footnoteRef/>
      </w:r>
      <w:r w:rsidRPr="00CF282A">
        <w:rPr>
          <w:rFonts w:ascii="Verdana" w:hAnsi="Verdana"/>
          <w:sz w:val="13"/>
          <w:szCs w:val="13"/>
        </w:rPr>
        <w:t xml:space="preserve"> </w:t>
      </w:r>
      <w:r w:rsidR="00B65988" w:rsidRPr="00CF282A">
        <w:rPr>
          <w:rFonts w:ascii="Verdana" w:hAnsi="Verdana"/>
          <w:sz w:val="13"/>
          <w:szCs w:val="13"/>
        </w:rPr>
        <w:t>Van den End &amp; de Grip (2024) Inflatie in Nederland loopt uit de pas met de eurozone. ESB (</w:t>
      </w:r>
      <w:hyperlink r:id="rId9" w:history="1">
        <w:r w:rsidR="00B65988" w:rsidRPr="00CF282A">
          <w:rPr>
            <w:rStyle w:val="Hyperlink"/>
            <w:rFonts w:ascii="Verdana" w:hAnsi="Verdana"/>
            <w:sz w:val="13"/>
            <w:szCs w:val="13"/>
          </w:rPr>
          <w:t>link</w:t>
        </w:r>
      </w:hyperlink>
      <w:r w:rsidR="00B65988" w:rsidRPr="00CF282A">
        <w:rPr>
          <w:rFonts w:ascii="Verdana" w:hAnsi="Verdana"/>
          <w:sz w:val="13"/>
          <w:szCs w:val="13"/>
        </w:rPr>
        <w:t>)</w:t>
      </w:r>
    </w:p>
  </w:footnote>
  <w:footnote w:id="8">
    <w:p w14:paraId="2B3399D6" w14:textId="77777777" w:rsidR="00E66A9C" w:rsidRPr="00CF282A" w:rsidRDefault="00E66A9C" w:rsidP="00B65988">
      <w:pPr>
        <w:pStyle w:val="Voetnoottekst"/>
        <w:rPr>
          <w:rFonts w:ascii="Verdana" w:hAnsi="Verdana"/>
          <w:sz w:val="13"/>
          <w:szCs w:val="13"/>
        </w:rPr>
      </w:pPr>
      <w:r w:rsidRPr="00CF282A">
        <w:rPr>
          <w:rStyle w:val="Voetnootmarkering"/>
          <w:rFonts w:ascii="Verdana" w:hAnsi="Verdana"/>
          <w:sz w:val="13"/>
          <w:szCs w:val="13"/>
        </w:rPr>
        <w:footnoteRef/>
      </w:r>
      <w:r w:rsidRPr="00CF282A">
        <w:rPr>
          <w:rFonts w:ascii="Verdana" w:hAnsi="Verdana"/>
          <w:sz w:val="13"/>
          <w:szCs w:val="13"/>
        </w:rPr>
        <w:t xml:space="preserve"> </w:t>
      </w:r>
      <w:r w:rsidR="00AE34FF" w:rsidRPr="00CF282A">
        <w:rPr>
          <w:rStyle w:val="cf01"/>
          <w:rFonts w:ascii="Verdana" w:hAnsi="Verdana"/>
          <w:sz w:val="13"/>
          <w:szCs w:val="13"/>
        </w:rPr>
        <w:t>CPB (2023) Uitsplitsing van de inflatie in Nederland (</w:t>
      </w:r>
      <w:hyperlink r:id="rId10" w:history="1">
        <w:r w:rsidR="00AE34FF" w:rsidRPr="00CF282A">
          <w:rPr>
            <w:rStyle w:val="Hyperlink"/>
            <w:rFonts w:ascii="Verdana" w:hAnsi="Verdana" w:cs="Segoe UI"/>
            <w:sz w:val="13"/>
            <w:szCs w:val="13"/>
          </w:rPr>
          <w:t>link</w:t>
        </w:r>
      </w:hyperlink>
      <w:r w:rsidR="00AE34FF" w:rsidRPr="00CF282A">
        <w:rPr>
          <w:rStyle w:val="cf01"/>
          <w:rFonts w:ascii="Verdana" w:hAnsi="Verdana"/>
          <w:sz w:val="13"/>
          <w:szCs w:val="13"/>
        </w:rPr>
        <w:t>); CPB (2024) Op zoek naar de bronnen van de inflatie in Nederland (</w:t>
      </w:r>
      <w:hyperlink r:id="rId11" w:history="1">
        <w:r w:rsidR="00AE34FF" w:rsidRPr="00CF282A">
          <w:rPr>
            <w:rStyle w:val="Hyperlink"/>
            <w:rFonts w:ascii="Verdana" w:hAnsi="Verdana" w:cs="Segoe UI"/>
            <w:sz w:val="13"/>
            <w:szCs w:val="13"/>
          </w:rPr>
          <w:t>link</w:t>
        </w:r>
      </w:hyperlink>
      <w:r w:rsidR="00AE34FF" w:rsidRPr="00CF282A">
        <w:rPr>
          <w:rStyle w:val="cf01"/>
          <w:rFonts w:ascii="Verdana" w:hAnsi="Verdana"/>
          <w:sz w:val="13"/>
          <w:szCs w:val="13"/>
        </w:rPr>
        <w:t>)</w:t>
      </w:r>
      <w:r w:rsidRPr="00CF282A">
        <w:rPr>
          <w:rStyle w:val="cf01"/>
          <w:rFonts w:ascii="Verdana" w:hAnsi="Verdana"/>
          <w:sz w:val="13"/>
          <w:szCs w:val="13"/>
        </w:rPr>
        <w:t xml:space="preserve"> </w:t>
      </w:r>
    </w:p>
  </w:footnote>
  <w:footnote w:id="9">
    <w:p w14:paraId="75A17125" w14:textId="77777777" w:rsidR="00904D02" w:rsidRPr="00CF282A" w:rsidRDefault="00904D02">
      <w:pPr>
        <w:pStyle w:val="Voetnoottekst"/>
        <w:rPr>
          <w:rFonts w:ascii="Verdana" w:hAnsi="Verdana"/>
          <w:sz w:val="13"/>
          <w:szCs w:val="13"/>
        </w:rPr>
      </w:pPr>
      <w:r w:rsidRPr="00CF282A">
        <w:rPr>
          <w:rStyle w:val="Voetnootmarkering"/>
          <w:rFonts w:ascii="Verdana" w:hAnsi="Verdana"/>
          <w:sz w:val="13"/>
          <w:szCs w:val="13"/>
        </w:rPr>
        <w:footnoteRef/>
      </w:r>
      <w:r w:rsidRPr="00CF282A">
        <w:rPr>
          <w:rFonts w:ascii="Verdana" w:hAnsi="Verdana"/>
          <w:sz w:val="13"/>
          <w:szCs w:val="13"/>
        </w:rPr>
        <w:t xml:space="preserve"> Zie CPB (2025) CEP 2025: Daling van de AIQ nader belicht (</w:t>
      </w:r>
      <w:hyperlink r:id="rId12" w:history="1">
        <w:r w:rsidRPr="00CF282A">
          <w:rPr>
            <w:rStyle w:val="Hyperlink"/>
            <w:rFonts w:ascii="Verdana" w:hAnsi="Verdana"/>
            <w:sz w:val="13"/>
            <w:szCs w:val="13"/>
          </w:rPr>
          <w:t>link</w:t>
        </w:r>
      </w:hyperlink>
      <w:r w:rsidRPr="00CF282A">
        <w:rPr>
          <w:rFonts w:ascii="Verdana" w:hAnsi="Verdana"/>
          <w:sz w:val="13"/>
          <w:szCs w:val="13"/>
        </w:rPr>
        <w:t>)</w:t>
      </w:r>
    </w:p>
  </w:footnote>
  <w:footnote w:id="10">
    <w:p w14:paraId="4D7E9772" w14:textId="77777777" w:rsidR="00E66A9C" w:rsidRPr="00CF282A" w:rsidRDefault="00E66A9C" w:rsidP="00B65988">
      <w:pPr>
        <w:pStyle w:val="Voetnoottekst"/>
        <w:rPr>
          <w:rFonts w:ascii="Verdana" w:hAnsi="Verdana"/>
          <w:sz w:val="13"/>
          <w:szCs w:val="13"/>
        </w:rPr>
      </w:pPr>
      <w:r w:rsidRPr="00CF282A">
        <w:rPr>
          <w:rStyle w:val="Voetnootmarkering"/>
          <w:rFonts w:ascii="Verdana" w:hAnsi="Verdana"/>
          <w:sz w:val="13"/>
          <w:szCs w:val="13"/>
        </w:rPr>
        <w:footnoteRef/>
      </w:r>
      <w:r w:rsidRPr="00CF282A">
        <w:rPr>
          <w:rFonts w:ascii="Verdana" w:hAnsi="Verdana"/>
          <w:sz w:val="13"/>
          <w:szCs w:val="13"/>
        </w:rPr>
        <w:t xml:space="preserve"> </w:t>
      </w:r>
      <w:proofErr w:type="spellStart"/>
      <w:r w:rsidR="00F75A1B" w:rsidRPr="00CF282A">
        <w:rPr>
          <w:rFonts w:ascii="Verdana" w:hAnsi="Verdana"/>
          <w:sz w:val="13"/>
          <w:szCs w:val="13"/>
        </w:rPr>
        <w:t>Eurostat</w:t>
      </w:r>
      <w:proofErr w:type="spellEnd"/>
      <w:r w:rsidR="00F75A1B" w:rsidRPr="00CF282A">
        <w:rPr>
          <w:rFonts w:ascii="Verdana" w:hAnsi="Verdana"/>
          <w:sz w:val="13"/>
          <w:szCs w:val="13"/>
        </w:rPr>
        <w:t xml:space="preserve"> (2024) </w:t>
      </w:r>
      <w:hyperlink r:id="rId13" w:history="1">
        <w:r w:rsidR="00F75A1B" w:rsidRPr="00CF282A">
          <w:rPr>
            <w:rStyle w:val="Hyperlink"/>
            <w:rFonts w:ascii="Verdana" w:hAnsi="Verdana"/>
            <w:sz w:val="13"/>
            <w:szCs w:val="13"/>
          </w:rPr>
          <w:t>https://ec.europa.eu/eurostat/web/products-euro-indicators/w/3-15032024-ap</w:t>
        </w:r>
      </w:hyperlink>
      <w:r w:rsidR="00F75A1B" w:rsidRPr="00CF282A">
        <w:rPr>
          <w:rFonts w:ascii="Verdana" w:hAnsi="Verdana"/>
          <w:sz w:val="13"/>
          <w:szCs w:val="13"/>
        </w:rPr>
        <w:t xml:space="preserve"> </w:t>
      </w:r>
    </w:p>
  </w:footnote>
  <w:footnote w:id="11">
    <w:p w14:paraId="0C84C5C3" w14:textId="77777777" w:rsidR="00E66A9C" w:rsidRPr="00CF282A" w:rsidRDefault="00E66A9C" w:rsidP="00B65988">
      <w:pPr>
        <w:pStyle w:val="Voetnoottekst"/>
        <w:rPr>
          <w:rFonts w:ascii="Verdana" w:hAnsi="Verdana"/>
          <w:sz w:val="13"/>
          <w:szCs w:val="13"/>
          <w:lang w:val="en-US"/>
        </w:rPr>
      </w:pPr>
      <w:r w:rsidRPr="00CF282A">
        <w:rPr>
          <w:rStyle w:val="Voetnootmarkering"/>
          <w:rFonts w:ascii="Verdana" w:hAnsi="Verdana"/>
          <w:sz w:val="13"/>
          <w:szCs w:val="13"/>
        </w:rPr>
        <w:footnoteRef/>
      </w:r>
      <w:r w:rsidRPr="00CF282A">
        <w:rPr>
          <w:rFonts w:ascii="Verdana" w:hAnsi="Verdana"/>
          <w:sz w:val="13"/>
          <w:szCs w:val="13"/>
        </w:rPr>
        <w:t xml:space="preserve"> DNB (2022)</w:t>
      </w:r>
      <w:r w:rsidR="00AE34FF" w:rsidRPr="00CF282A">
        <w:rPr>
          <w:rFonts w:ascii="Verdana" w:hAnsi="Verdana"/>
          <w:sz w:val="13"/>
          <w:szCs w:val="13"/>
        </w:rPr>
        <w:t xml:space="preserve"> Wisselwerking lonen en prijzen: een negatieve spiraal? </w:t>
      </w:r>
      <w:r w:rsidR="00AE34FF" w:rsidRPr="00CF282A">
        <w:rPr>
          <w:rFonts w:ascii="Verdana" w:hAnsi="Verdana"/>
          <w:sz w:val="13"/>
          <w:szCs w:val="13"/>
          <w:lang w:val="en-US"/>
        </w:rPr>
        <w:t>(</w:t>
      </w:r>
      <w:hyperlink r:id="rId14" w:history="1">
        <w:r w:rsidR="00AE34FF" w:rsidRPr="00CF282A">
          <w:rPr>
            <w:rStyle w:val="Hyperlink"/>
            <w:rFonts w:ascii="Verdana" w:hAnsi="Verdana"/>
            <w:sz w:val="13"/>
            <w:szCs w:val="13"/>
            <w:lang w:val="en-US"/>
          </w:rPr>
          <w:t>link</w:t>
        </w:r>
      </w:hyperlink>
      <w:r w:rsidR="00AE34FF" w:rsidRPr="00CF282A">
        <w:rPr>
          <w:rFonts w:ascii="Verdana" w:hAnsi="Verdana"/>
          <w:sz w:val="13"/>
          <w:szCs w:val="13"/>
          <w:lang w:val="en-US"/>
        </w:rPr>
        <w:t>)</w:t>
      </w:r>
    </w:p>
  </w:footnote>
  <w:footnote w:id="12">
    <w:p w14:paraId="5CA3790B" w14:textId="77777777" w:rsidR="00E66A9C" w:rsidRPr="00CF282A" w:rsidRDefault="00E66A9C" w:rsidP="00B65988">
      <w:pPr>
        <w:pStyle w:val="Voetnoottekst"/>
        <w:rPr>
          <w:rFonts w:ascii="Verdana" w:hAnsi="Verdana"/>
          <w:sz w:val="13"/>
          <w:szCs w:val="13"/>
          <w:lang w:val="en-US"/>
        </w:rPr>
      </w:pPr>
      <w:r w:rsidRPr="00CF282A">
        <w:rPr>
          <w:rStyle w:val="Voetnootmarkering"/>
          <w:rFonts w:ascii="Verdana" w:hAnsi="Verdana"/>
          <w:sz w:val="13"/>
          <w:szCs w:val="13"/>
        </w:rPr>
        <w:footnoteRef/>
      </w:r>
      <w:r w:rsidRPr="00CF282A">
        <w:rPr>
          <w:rFonts w:ascii="Verdana" w:hAnsi="Verdana"/>
          <w:sz w:val="13"/>
          <w:szCs w:val="13"/>
          <w:lang w:val="en-US"/>
        </w:rPr>
        <w:t xml:space="preserve"> DNB (2024)</w:t>
      </w:r>
      <w:r w:rsidR="00572585" w:rsidRPr="00CF282A">
        <w:rPr>
          <w:rFonts w:ascii="Verdana" w:hAnsi="Verdana"/>
          <w:sz w:val="13"/>
          <w:szCs w:val="13"/>
          <w:lang w:val="en-US"/>
        </w:rPr>
        <w:t xml:space="preserve"> Analysis of drivers of Dutch inflation during the pandemic era (</w:t>
      </w:r>
      <w:hyperlink r:id="rId15" w:history="1">
        <w:r w:rsidR="00572585" w:rsidRPr="00CF282A">
          <w:rPr>
            <w:rStyle w:val="Hyperlink"/>
            <w:rFonts w:ascii="Verdana" w:hAnsi="Verdana"/>
            <w:sz w:val="13"/>
            <w:szCs w:val="13"/>
            <w:lang w:val="en-US"/>
          </w:rPr>
          <w:t>link</w:t>
        </w:r>
      </w:hyperlink>
      <w:r w:rsidR="00572585" w:rsidRPr="00CF282A">
        <w:rPr>
          <w:rFonts w:ascii="Verdana" w:hAnsi="Verdana"/>
          <w:sz w:val="13"/>
          <w:szCs w:val="13"/>
          <w:lang w:val="en-US"/>
        </w:rPr>
        <w:t>)</w:t>
      </w:r>
    </w:p>
  </w:footnote>
  <w:footnote w:id="13">
    <w:p w14:paraId="06678579" w14:textId="77777777" w:rsidR="00674458" w:rsidRPr="00CF282A" w:rsidRDefault="00674458" w:rsidP="00B65988">
      <w:pPr>
        <w:pStyle w:val="Voetnoottekst"/>
        <w:rPr>
          <w:rFonts w:ascii="Verdana" w:hAnsi="Verdana"/>
          <w:sz w:val="13"/>
          <w:szCs w:val="13"/>
        </w:rPr>
      </w:pPr>
      <w:r w:rsidRPr="00CF282A">
        <w:rPr>
          <w:rStyle w:val="Voetnootmarkering"/>
          <w:rFonts w:ascii="Verdana" w:hAnsi="Verdana"/>
          <w:sz w:val="13"/>
          <w:szCs w:val="13"/>
        </w:rPr>
        <w:footnoteRef/>
      </w:r>
      <w:r w:rsidRPr="00CF282A">
        <w:rPr>
          <w:rFonts w:ascii="Verdana" w:hAnsi="Verdana"/>
          <w:sz w:val="13"/>
          <w:szCs w:val="13"/>
        </w:rPr>
        <w:t xml:space="preserve"> </w:t>
      </w:r>
      <w:r w:rsidR="00CF21A4" w:rsidRPr="00CF282A">
        <w:rPr>
          <w:rFonts w:ascii="Verdana" w:hAnsi="Verdana"/>
          <w:sz w:val="13"/>
          <w:szCs w:val="13"/>
        </w:rPr>
        <w:t>CPB (2025) Centraal Economisch Plan 2025 (</w:t>
      </w:r>
      <w:hyperlink r:id="rId16" w:history="1">
        <w:r w:rsidR="00CF21A4" w:rsidRPr="00CF282A">
          <w:rPr>
            <w:rStyle w:val="Hyperlink"/>
            <w:rFonts w:ascii="Verdana" w:hAnsi="Verdana"/>
            <w:sz w:val="13"/>
            <w:szCs w:val="13"/>
          </w:rPr>
          <w:t>link</w:t>
        </w:r>
      </w:hyperlink>
      <w:r w:rsidR="00CF21A4" w:rsidRPr="00CF282A">
        <w:rPr>
          <w:rFonts w:ascii="Verdana" w:hAnsi="Verdana"/>
          <w:sz w:val="13"/>
          <w:szCs w:val="13"/>
        </w:rPr>
        <w:t>)</w:t>
      </w:r>
    </w:p>
  </w:footnote>
  <w:footnote w:id="14">
    <w:p w14:paraId="4C782AB4" w14:textId="77777777" w:rsidR="008D5A86" w:rsidRPr="00CF282A" w:rsidRDefault="008D5A86">
      <w:pPr>
        <w:pStyle w:val="Voetnoottekst"/>
        <w:rPr>
          <w:rFonts w:ascii="Verdana" w:hAnsi="Verdana"/>
          <w:sz w:val="13"/>
          <w:szCs w:val="13"/>
        </w:rPr>
      </w:pPr>
      <w:r w:rsidRPr="00CF282A">
        <w:rPr>
          <w:rStyle w:val="Voetnootmarkering"/>
          <w:rFonts w:ascii="Verdana" w:hAnsi="Verdana"/>
          <w:sz w:val="13"/>
          <w:szCs w:val="13"/>
        </w:rPr>
        <w:footnoteRef/>
      </w:r>
      <w:r w:rsidRPr="00CF282A">
        <w:rPr>
          <w:rFonts w:ascii="Verdana" w:hAnsi="Verdana"/>
          <w:sz w:val="13"/>
          <w:szCs w:val="13"/>
          <w:lang w:val="en-US"/>
        </w:rPr>
        <w:t xml:space="preserve"> ECB (2023) Fiscal Policy and high inflation. ECB Economic Bulletin. (</w:t>
      </w:r>
      <w:hyperlink r:id="rId17" w:history="1">
        <w:r w:rsidRPr="00CF282A">
          <w:rPr>
            <w:rStyle w:val="Hyperlink"/>
            <w:rFonts w:ascii="Verdana" w:hAnsi="Verdana"/>
            <w:sz w:val="13"/>
            <w:szCs w:val="13"/>
            <w:lang w:val="en-US"/>
          </w:rPr>
          <w:t>link</w:t>
        </w:r>
      </w:hyperlink>
      <w:r w:rsidRPr="00CF282A">
        <w:rPr>
          <w:rFonts w:ascii="Verdana" w:hAnsi="Verdana"/>
          <w:sz w:val="13"/>
          <w:szCs w:val="13"/>
          <w:lang w:val="en-US"/>
        </w:rPr>
        <w:t xml:space="preserve">); </w:t>
      </w:r>
      <w:proofErr w:type="spellStart"/>
      <w:r w:rsidRPr="00CF282A">
        <w:rPr>
          <w:rFonts w:ascii="Verdana" w:hAnsi="Verdana"/>
          <w:sz w:val="13"/>
          <w:szCs w:val="13"/>
          <w:lang w:val="en-US"/>
        </w:rPr>
        <w:t>Checherita</w:t>
      </w:r>
      <w:proofErr w:type="spellEnd"/>
      <w:r w:rsidRPr="00CF282A">
        <w:rPr>
          <w:rFonts w:ascii="Verdana" w:hAnsi="Verdana"/>
          <w:sz w:val="13"/>
          <w:szCs w:val="13"/>
          <w:lang w:val="en-US"/>
        </w:rPr>
        <w:t xml:space="preserve">-Westphal, C., </w:t>
      </w:r>
      <w:proofErr w:type="spellStart"/>
      <w:r w:rsidRPr="00CF282A">
        <w:rPr>
          <w:rFonts w:ascii="Verdana" w:hAnsi="Verdana"/>
          <w:sz w:val="13"/>
          <w:szCs w:val="13"/>
          <w:lang w:val="en-US"/>
        </w:rPr>
        <w:t>Leiner</w:t>
      </w:r>
      <w:proofErr w:type="spellEnd"/>
      <w:r w:rsidRPr="00CF282A">
        <w:rPr>
          <w:rFonts w:ascii="Verdana" w:hAnsi="Verdana"/>
          <w:sz w:val="13"/>
          <w:szCs w:val="13"/>
          <w:lang w:val="en-US"/>
        </w:rPr>
        <w:t xml:space="preserve">-Killinger, N., &amp; </w:t>
      </w:r>
      <w:proofErr w:type="spellStart"/>
      <w:r w:rsidRPr="00CF282A">
        <w:rPr>
          <w:rFonts w:ascii="Verdana" w:hAnsi="Verdana"/>
          <w:sz w:val="13"/>
          <w:szCs w:val="13"/>
          <w:lang w:val="en-US"/>
        </w:rPr>
        <w:t>Schildmann</w:t>
      </w:r>
      <w:proofErr w:type="spellEnd"/>
      <w:r w:rsidRPr="00CF282A">
        <w:rPr>
          <w:rFonts w:ascii="Verdana" w:hAnsi="Verdana"/>
          <w:sz w:val="13"/>
          <w:szCs w:val="13"/>
          <w:lang w:val="en-US"/>
        </w:rPr>
        <w:t>, T. (202</w:t>
      </w:r>
      <w:r w:rsidR="00D67C7A" w:rsidRPr="00CF282A">
        <w:rPr>
          <w:rFonts w:ascii="Verdana" w:hAnsi="Verdana"/>
          <w:sz w:val="13"/>
          <w:szCs w:val="13"/>
          <w:lang w:val="en-US"/>
        </w:rPr>
        <w:t>4</w:t>
      </w:r>
      <w:r w:rsidRPr="00CF282A">
        <w:rPr>
          <w:rFonts w:ascii="Verdana" w:hAnsi="Verdana"/>
          <w:sz w:val="13"/>
          <w:szCs w:val="13"/>
          <w:lang w:val="en-US"/>
        </w:rPr>
        <w:t>). Euro area inflation differentials: the role of fiscal policies revisited. </w:t>
      </w:r>
      <w:proofErr w:type="spellStart"/>
      <w:r w:rsidRPr="00CF282A">
        <w:rPr>
          <w:rFonts w:ascii="Verdana" w:hAnsi="Verdana"/>
          <w:i/>
          <w:iCs/>
          <w:sz w:val="13"/>
          <w:szCs w:val="13"/>
        </w:rPr>
        <w:t>E</w:t>
      </w:r>
      <w:r w:rsidR="00D67C7A" w:rsidRPr="00CF282A">
        <w:rPr>
          <w:rFonts w:ascii="Verdana" w:hAnsi="Verdana"/>
          <w:i/>
          <w:iCs/>
          <w:sz w:val="13"/>
          <w:szCs w:val="13"/>
        </w:rPr>
        <w:t>mpirical</w:t>
      </w:r>
      <w:proofErr w:type="spellEnd"/>
      <w:r w:rsidR="00D67C7A" w:rsidRPr="00CF282A">
        <w:rPr>
          <w:rFonts w:ascii="Verdana" w:hAnsi="Verdana"/>
          <w:i/>
          <w:iCs/>
          <w:sz w:val="13"/>
          <w:szCs w:val="13"/>
        </w:rPr>
        <w:t xml:space="preserve"> </w:t>
      </w:r>
      <w:proofErr w:type="spellStart"/>
      <w:r w:rsidR="00D67C7A" w:rsidRPr="00CF282A">
        <w:rPr>
          <w:rFonts w:ascii="Verdana" w:hAnsi="Verdana"/>
          <w:i/>
          <w:iCs/>
          <w:sz w:val="13"/>
          <w:szCs w:val="13"/>
        </w:rPr>
        <w:t>Economics</w:t>
      </w:r>
      <w:proofErr w:type="spellEnd"/>
      <w:r w:rsidR="00D67C7A" w:rsidRPr="00CF282A">
        <w:rPr>
          <w:rFonts w:ascii="Verdana" w:hAnsi="Verdana"/>
          <w:i/>
          <w:iCs/>
          <w:sz w:val="13"/>
          <w:szCs w:val="13"/>
        </w:rPr>
        <w:t xml:space="preserve"> </w:t>
      </w:r>
      <w:r w:rsidR="00D67C7A" w:rsidRPr="00CF282A">
        <w:rPr>
          <w:rFonts w:ascii="Verdana" w:hAnsi="Verdana"/>
          <w:sz w:val="13"/>
          <w:szCs w:val="13"/>
        </w:rPr>
        <w:t>(</w:t>
      </w:r>
      <w:hyperlink r:id="rId18" w:history="1">
        <w:r w:rsidR="00D67C7A" w:rsidRPr="00CF282A">
          <w:rPr>
            <w:rStyle w:val="Hyperlink"/>
            <w:rFonts w:ascii="Verdana" w:hAnsi="Verdana"/>
            <w:sz w:val="13"/>
            <w:szCs w:val="13"/>
          </w:rPr>
          <w:t>link</w:t>
        </w:r>
      </w:hyperlink>
      <w:r w:rsidRPr="00CF282A">
        <w:rPr>
          <w:rFonts w:ascii="Verdana" w:hAnsi="Verdana"/>
          <w:sz w:val="13"/>
          <w:szCs w:val="13"/>
        </w:rPr>
        <w:t>)</w:t>
      </w:r>
    </w:p>
  </w:footnote>
  <w:footnote w:id="15">
    <w:p w14:paraId="390B1AA0" w14:textId="77777777" w:rsidR="00FC2206" w:rsidRPr="00CF282A" w:rsidRDefault="00FC2206" w:rsidP="00B65988">
      <w:pPr>
        <w:pStyle w:val="Voetnoottekst"/>
        <w:rPr>
          <w:rFonts w:ascii="Verdana" w:hAnsi="Verdana"/>
          <w:sz w:val="13"/>
          <w:szCs w:val="13"/>
        </w:rPr>
      </w:pPr>
      <w:r w:rsidRPr="00CF282A">
        <w:rPr>
          <w:rStyle w:val="Voetnootmarkering"/>
          <w:rFonts w:ascii="Verdana" w:hAnsi="Verdana"/>
          <w:sz w:val="13"/>
          <w:szCs w:val="13"/>
        </w:rPr>
        <w:footnoteRef/>
      </w:r>
      <w:r w:rsidRPr="00CF282A">
        <w:rPr>
          <w:rFonts w:ascii="Verdana" w:hAnsi="Verdana"/>
          <w:sz w:val="13"/>
          <w:szCs w:val="13"/>
        </w:rPr>
        <w:t xml:space="preserve"> </w:t>
      </w:r>
      <w:r w:rsidR="008D5A86" w:rsidRPr="00CF282A">
        <w:rPr>
          <w:rFonts w:ascii="Verdana" w:hAnsi="Verdana"/>
          <w:sz w:val="13"/>
          <w:szCs w:val="13"/>
        </w:rPr>
        <w:t>Ibid.</w:t>
      </w:r>
    </w:p>
  </w:footnote>
  <w:footnote w:id="16">
    <w:p w14:paraId="7A0940CA" w14:textId="77777777" w:rsidR="00162B1F" w:rsidRPr="00CF282A" w:rsidRDefault="00162B1F">
      <w:pPr>
        <w:pStyle w:val="Voetnoottekst"/>
        <w:rPr>
          <w:rFonts w:ascii="Verdana" w:hAnsi="Verdana"/>
          <w:sz w:val="13"/>
          <w:szCs w:val="13"/>
        </w:rPr>
      </w:pPr>
      <w:r w:rsidRPr="00CF282A">
        <w:rPr>
          <w:rStyle w:val="Voetnootmarkering"/>
          <w:rFonts w:ascii="Verdana" w:hAnsi="Verdana"/>
          <w:sz w:val="13"/>
          <w:szCs w:val="13"/>
        </w:rPr>
        <w:footnoteRef/>
      </w:r>
      <w:r w:rsidRPr="00CF282A">
        <w:rPr>
          <w:rFonts w:ascii="Verdana" w:hAnsi="Verdana"/>
          <w:sz w:val="13"/>
          <w:szCs w:val="13"/>
        </w:rPr>
        <w:t xml:space="preserve"> DNB (2025) Het effect van begrotingsbeleid op inflatie. (</w:t>
      </w:r>
      <w:proofErr w:type="gramStart"/>
      <w:r w:rsidRPr="00CF282A">
        <w:rPr>
          <w:rFonts w:ascii="Verdana" w:hAnsi="Verdana"/>
          <w:sz w:val="13"/>
          <w:szCs w:val="13"/>
        </w:rPr>
        <w:t>link</w:t>
      </w:r>
      <w:proofErr w:type="gramEnd"/>
      <w:r w:rsidRPr="00CF282A">
        <w:rPr>
          <w:rFonts w:ascii="Verdana" w:hAnsi="Verdana"/>
          <w:sz w:val="13"/>
          <w:szCs w:val="13"/>
        </w:rPr>
        <w:t>)</w:t>
      </w:r>
    </w:p>
  </w:footnote>
  <w:footnote w:id="17">
    <w:p w14:paraId="50078F53" w14:textId="77777777" w:rsidR="0082652A" w:rsidRPr="00CF282A" w:rsidRDefault="0082652A" w:rsidP="0082652A">
      <w:pPr>
        <w:pStyle w:val="Voetnoottekst"/>
        <w:rPr>
          <w:rFonts w:ascii="Verdana" w:hAnsi="Verdana"/>
          <w:sz w:val="13"/>
          <w:szCs w:val="13"/>
        </w:rPr>
      </w:pPr>
      <w:r w:rsidRPr="00CF282A">
        <w:rPr>
          <w:rStyle w:val="Voetnootmarkering"/>
          <w:rFonts w:ascii="Verdana" w:hAnsi="Verdana"/>
          <w:sz w:val="13"/>
          <w:szCs w:val="13"/>
        </w:rPr>
        <w:footnoteRef/>
      </w:r>
      <w:r w:rsidRPr="00CF282A">
        <w:rPr>
          <w:rFonts w:ascii="Verdana" w:hAnsi="Verdana"/>
          <w:sz w:val="13"/>
          <w:szCs w:val="13"/>
        </w:rPr>
        <w:t xml:space="preserve"> Kamerstukken II, 2024-2025, 29 544, nr. 1260.</w:t>
      </w:r>
    </w:p>
  </w:footnote>
  <w:footnote w:id="18">
    <w:p w14:paraId="4D124C6D" w14:textId="77777777" w:rsidR="0082652A" w:rsidRPr="00CF282A" w:rsidRDefault="0082652A" w:rsidP="0082652A">
      <w:pPr>
        <w:pStyle w:val="Voetnoottekst"/>
        <w:rPr>
          <w:rFonts w:ascii="Verdana" w:hAnsi="Verdana"/>
          <w:sz w:val="13"/>
          <w:szCs w:val="13"/>
        </w:rPr>
      </w:pPr>
      <w:r w:rsidRPr="00CF282A">
        <w:rPr>
          <w:rStyle w:val="Voetnootmarkering"/>
          <w:rFonts w:ascii="Verdana" w:hAnsi="Verdana"/>
          <w:sz w:val="13"/>
          <w:szCs w:val="13"/>
        </w:rPr>
        <w:footnoteRef/>
      </w:r>
      <w:r w:rsidRPr="00CF282A">
        <w:rPr>
          <w:rFonts w:ascii="Verdana" w:hAnsi="Verdana"/>
          <w:sz w:val="13"/>
          <w:szCs w:val="13"/>
        </w:rPr>
        <w:t xml:space="preserve"> </w:t>
      </w:r>
      <w:r w:rsidR="00572585" w:rsidRPr="00CF282A">
        <w:rPr>
          <w:rFonts w:ascii="Verdana" w:hAnsi="Verdana"/>
          <w:sz w:val="13"/>
          <w:szCs w:val="13"/>
        </w:rPr>
        <w:t>Kamerbrief ‘Uitwerking productiviteitsagenda’ (13 december 2024, 2024Z21168)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FD48" w14:textId="77777777" w:rsidR="000438E8" w:rsidRDefault="00D41F8A">
    <w:r>
      <w:rPr>
        <w:noProof/>
      </w:rPr>
      <mc:AlternateContent>
        <mc:Choice Requires="wps">
          <w:drawing>
            <wp:anchor distT="0" distB="0" distL="0" distR="0" simplePos="0" relativeHeight="251652096" behindDoc="0" locked="1" layoutInCell="1" allowOverlap="1" wp14:anchorId="708CEDA3" wp14:editId="69856F90">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1264E00" w14:textId="77777777" w:rsidR="000438E8" w:rsidRDefault="00D41F8A">
                          <w:pPr>
                            <w:pStyle w:val="StandaardReferentiegegevensKop"/>
                          </w:pPr>
                          <w:r>
                            <w:t>Ons kenmerk</w:t>
                          </w:r>
                        </w:p>
                        <w:p w14:paraId="658B4B30" w14:textId="04DECC2D" w:rsidR="002D2105" w:rsidRDefault="00B52F69">
                          <w:pPr>
                            <w:pStyle w:val="StandaardReferentiegegevens"/>
                          </w:pPr>
                          <w:r>
                            <w:fldChar w:fldCharType="begin"/>
                          </w:r>
                          <w:r>
                            <w:instrText xml:space="preserve"> DOCPROPERTY  "Kenmerk"  \* MERGEFORMAT </w:instrText>
                          </w:r>
                          <w:r>
                            <w:fldChar w:fldCharType="separate"/>
                          </w:r>
                          <w:r>
                            <w:t>2025-0000075776</w:t>
                          </w:r>
                          <w:r>
                            <w:fldChar w:fldCharType="end"/>
                          </w:r>
                        </w:p>
                      </w:txbxContent>
                    </wps:txbx>
                    <wps:bodyPr vert="horz" wrap="square" lIns="0" tIns="0" rIns="0" bIns="0" anchor="t" anchorCtr="0"/>
                  </wps:wsp>
                </a:graphicData>
              </a:graphic>
            </wp:anchor>
          </w:drawing>
        </mc:Choice>
        <mc:Fallback>
          <w:pict>
            <v:shapetype w14:anchorId="708CEDA3" id="_x0000_t202" coordsize="21600,21600" o:spt="202" path="m,l,21600r21600,l21600,xe">
              <v:stroke joinstyle="miter"/>
              <v:path gradientshapeok="t" o:connecttype="rect"/>
            </v:shapetype>
            <v:shape id="bd4a97d4-03a6-11ee-8f29-0242ac130005" o:spid="_x0000_s1028"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1264E00" w14:textId="77777777" w:rsidR="000438E8" w:rsidRDefault="00D41F8A">
                    <w:pPr>
                      <w:pStyle w:val="StandaardReferentiegegevensKop"/>
                    </w:pPr>
                    <w:r>
                      <w:t>Ons kenmerk</w:t>
                    </w:r>
                  </w:p>
                  <w:p w14:paraId="658B4B30" w14:textId="04DECC2D" w:rsidR="002D2105" w:rsidRDefault="00B52F69">
                    <w:pPr>
                      <w:pStyle w:val="StandaardReferentiegegevens"/>
                    </w:pPr>
                    <w:r>
                      <w:fldChar w:fldCharType="begin"/>
                    </w:r>
                    <w:r>
                      <w:instrText xml:space="preserve"> DOCPROPERTY  "Kenmerk"  \* MERGEFORMAT </w:instrText>
                    </w:r>
                    <w:r>
                      <w:fldChar w:fldCharType="separate"/>
                    </w:r>
                    <w:r>
                      <w:t>2025-0000075776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F15D023" wp14:editId="42DEACFA">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13CD1C6" w14:textId="77777777" w:rsidR="002D2105" w:rsidRDefault="00B52F6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F15D023" id="bd4a94a5-03a6-11ee-8f29-0242ac130005" o:spid="_x0000_s1029"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13CD1C6" w14:textId="77777777" w:rsidR="002D2105" w:rsidRDefault="00B52F6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39EB9A0" wp14:editId="2B4421EB">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8E8EFFD" w14:textId="551A0584" w:rsidR="002D2105" w:rsidRDefault="00B52F6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39EB9A0" id="bd5d94d9-03a6-11ee-8f29-0242ac130005" o:spid="_x0000_s1030"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8E8EFFD" w14:textId="551A0584" w:rsidR="002D2105" w:rsidRDefault="00B52F6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2B9D" w14:textId="77777777" w:rsidR="000438E8" w:rsidRDefault="00D41F8A">
    <w:pPr>
      <w:spacing w:after="7029" w:line="14" w:lineRule="exact"/>
    </w:pPr>
    <w:r>
      <w:rPr>
        <w:noProof/>
      </w:rPr>
      <mc:AlternateContent>
        <mc:Choice Requires="wps">
          <w:drawing>
            <wp:anchor distT="0" distB="0" distL="0" distR="0" simplePos="0" relativeHeight="251655168" behindDoc="0" locked="1" layoutInCell="1" allowOverlap="1" wp14:anchorId="6FD5F256" wp14:editId="7DBEAF65">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6D8C682" w14:textId="77777777" w:rsidR="000438E8" w:rsidRDefault="00D41F8A">
                          <w:pPr>
                            <w:spacing w:line="240" w:lineRule="auto"/>
                          </w:pPr>
                          <w:r>
                            <w:rPr>
                              <w:noProof/>
                            </w:rPr>
                            <w:drawing>
                              <wp:inline distT="0" distB="0" distL="0" distR="0" wp14:anchorId="1E890A07" wp14:editId="0A52808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FD5F256" id="_x0000_t202" coordsize="21600,21600" o:spt="202" path="m,l,21600r21600,l21600,xe">
              <v:stroke joinstyle="miter"/>
              <v:path gradientshapeok="t" o:connecttype="rect"/>
            </v:shapetype>
            <v:shape id="bd4a8ef7-03a6-11ee-8f29-0242ac130005" o:spid="_x0000_s1031"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6D8C682" w14:textId="77777777" w:rsidR="000438E8" w:rsidRDefault="00D41F8A">
                    <w:pPr>
                      <w:spacing w:line="240" w:lineRule="auto"/>
                    </w:pPr>
                    <w:r>
                      <w:rPr>
                        <w:noProof/>
                      </w:rPr>
                      <w:drawing>
                        <wp:inline distT="0" distB="0" distL="0" distR="0" wp14:anchorId="1E890A07" wp14:editId="0A52808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75BB419" wp14:editId="3418E70B">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8C79E17" w14:textId="77777777" w:rsidR="00272D15" w:rsidRDefault="00272D15"/>
                      </w:txbxContent>
                    </wps:txbx>
                    <wps:bodyPr vert="horz" wrap="square" lIns="0" tIns="0" rIns="0" bIns="0" anchor="t" anchorCtr="0"/>
                  </wps:wsp>
                </a:graphicData>
              </a:graphic>
            </wp:anchor>
          </w:drawing>
        </mc:Choice>
        <mc:Fallback>
          <w:pict>
            <v:shape w14:anchorId="175BB419" id="bd5d5767-03a6-11ee-8f29-0242ac130005" o:spid="_x0000_s1032"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8C79E17" w14:textId="77777777" w:rsidR="00272D15" w:rsidRDefault="00272D1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A64612C" wp14:editId="37F09619">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C61F69F" w14:textId="77777777" w:rsidR="000438E8" w:rsidRDefault="00D41F8A">
                          <w:pPr>
                            <w:pStyle w:val="StandaardReferentiegegevens"/>
                          </w:pPr>
                          <w:r>
                            <w:t>Korte Voorhout 7</w:t>
                          </w:r>
                        </w:p>
                        <w:p w14:paraId="753EF784" w14:textId="77777777" w:rsidR="000438E8" w:rsidRDefault="00D41F8A">
                          <w:pPr>
                            <w:pStyle w:val="StandaardReferentiegegevens"/>
                          </w:pPr>
                          <w:r>
                            <w:t>2511 CW  'S-GRAVENHAGE</w:t>
                          </w:r>
                        </w:p>
                        <w:p w14:paraId="0BAA8748" w14:textId="77777777" w:rsidR="000438E8" w:rsidRDefault="00D41F8A">
                          <w:pPr>
                            <w:pStyle w:val="StandaardReferentiegegevens"/>
                          </w:pPr>
                          <w:r>
                            <w:t>POSTBUS 20201</w:t>
                          </w:r>
                        </w:p>
                        <w:p w14:paraId="2814803E" w14:textId="77777777" w:rsidR="000438E8" w:rsidRPr="00E66A9C" w:rsidRDefault="00D41F8A">
                          <w:pPr>
                            <w:pStyle w:val="StandaardReferentiegegevens"/>
                            <w:rPr>
                              <w:lang w:val="es-ES"/>
                            </w:rPr>
                          </w:pPr>
                          <w:r w:rsidRPr="00E66A9C">
                            <w:rPr>
                              <w:lang w:val="es-ES"/>
                            </w:rPr>
                            <w:t xml:space="preserve">2500 </w:t>
                          </w:r>
                          <w:proofErr w:type="gramStart"/>
                          <w:r w:rsidRPr="00E66A9C">
                            <w:rPr>
                              <w:lang w:val="es-ES"/>
                            </w:rPr>
                            <w:t>EE  '</w:t>
                          </w:r>
                          <w:proofErr w:type="gramEnd"/>
                          <w:r w:rsidRPr="00E66A9C">
                            <w:rPr>
                              <w:lang w:val="es-ES"/>
                            </w:rPr>
                            <w:t>S-GRAVENHAGE</w:t>
                          </w:r>
                        </w:p>
                        <w:p w14:paraId="35888F02" w14:textId="77777777" w:rsidR="000438E8" w:rsidRPr="00E66A9C" w:rsidRDefault="00D41F8A">
                          <w:pPr>
                            <w:pStyle w:val="StandaardReferentiegegevens"/>
                            <w:rPr>
                              <w:lang w:val="es-ES"/>
                            </w:rPr>
                          </w:pPr>
                          <w:r w:rsidRPr="00E66A9C">
                            <w:rPr>
                              <w:lang w:val="es-ES"/>
                            </w:rPr>
                            <w:t>www.rijksoverheid.nl/fin</w:t>
                          </w:r>
                        </w:p>
                        <w:p w14:paraId="52E31A50" w14:textId="77777777" w:rsidR="000438E8" w:rsidRPr="00E66A9C" w:rsidRDefault="000438E8">
                          <w:pPr>
                            <w:pStyle w:val="WitregelW2"/>
                            <w:rPr>
                              <w:lang w:val="es-ES"/>
                            </w:rPr>
                          </w:pPr>
                        </w:p>
                        <w:p w14:paraId="6D75600D" w14:textId="77777777" w:rsidR="000438E8" w:rsidRDefault="00D41F8A">
                          <w:pPr>
                            <w:pStyle w:val="StandaardReferentiegegevensKop"/>
                          </w:pPr>
                          <w:r>
                            <w:t>Ons kenmerk</w:t>
                          </w:r>
                        </w:p>
                        <w:p w14:paraId="4AF2CFA1" w14:textId="12608C85" w:rsidR="002D2105" w:rsidRDefault="00B52F69">
                          <w:pPr>
                            <w:pStyle w:val="StandaardReferentiegegevens"/>
                          </w:pPr>
                          <w:r>
                            <w:fldChar w:fldCharType="begin"/>
                          </w:r>
                          <w:r>
                            <w:instrText xml:space="preserve"> DOCPROPERTY  "Kenmerk"  \* MERGEFORMAT </w:instrText>
                          </w:r>
                          <w:r>
                            <w:fldChar w:fldCharType="separate"/>
                          </w:r>
                          <w:r>
                            <w:t>2025-0000075776</w:t>
                          </w:r>
                          <w:r>
                            <w:fldChar w:fldCharType="end"/>
                          </w:r>
                        </w:p>
                        <w:p w14:paraId="60142588" w14:textId="77777777" w:rsidR="000438E8" w:rsidRDefault="000438E8">
                          <w:pPr>
                            <w:pStyle w:val="WitregelW1"/>
                          </w:pPr>
                        </w:p>
                        <w:p w14:paraId="7FF0CEA2" w14:textId="77777777" w:rsidR="000438E8" w:rsidRDefault="00D41F8A">
                          <w:pPr>
                            <w:pStyle w:val="StandaardReferentiegegevensKop"/>
                          </w:pPr>
                          <w:r>
                            <w:t>Uw brief (kenmerk)</w:t>
                          </w:r>
                        </w:p>
                        <w:p w14:paraId="54342332" w14:textId="7ACA3BBD" w:rsidR="002D2105" w:rsidRDefault="00B52F69">
                          <w:pPr>
                            <w:pStyle w:val="StandaardReferentiegegevens"/>
                          </w:pPr>
                          <w:r>
                            <w:fldChar w:fldCharType="begin"/>
                          </w:r>
                          <w:r>
                            <w:instrText xml:space="preserve"> DOCPROPERTY  "UwKenmerk"  \* MERGEFORMAT </w:instrText>
                          </w:r>
                          <w:r>
                            <w:fldChar w:fldCharType="end"/>
                          </w:r>
                        </w:p>
                        <w:p w14:paraId="6F37293A" w14:textId="77777777" w:rsidR="000438E8" w:rsidRDefault="000438E8">
                          <w:pPr>
                            <w:pStyle w:val="WitregelW1"/>
                          </w:pPr>
                        </w:p>
                        <w:p w14:paraId="32357DC6" w14:textId="77777777" w:rsidR="000438E8" w:rsidRDefault="00D41F8A">
                          <w:pPr>
                            <w:pStyle w:val="StandaardReferentiegegevensKop"/>
                          </w:pPr>
                          <w:r>
                            <w:t>Bijlagen</w:t>
                          </w:r>
                        </w:p>
                        <w:p w14:paraId="4926D764" w14:textId="77777777" w:rsidR="000438E8" w:rsidRDefault="00D41F8A">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3A64612C" id="bd4a91e7-03a6-11ee-8f29-0242ac130005" o:spid="_x0000_s1033"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C61F69F" w14:textId="77777777" w:rsidR="000438E8" w:rsidRDefault="00D41F8A">
                    <w:pPr>
                      <w:pStyle w:val="StandaardReferentiegegevens"/>
                    </w:pPr>
                    <w:r>
                      <w:t>Korte Voorhout 7</w:t>
                    </w:r>
                  </w:p>
                  <w:p w14:paraId="753EF784" w14:textId="77777777" w:rsidR="000438E8" w:rsidRDefault="00D41F8A">
                    <w:pPr>
                      <w:pStyle w:val="StandaardReferentiegegevens"/>
                    </w:pPr>
                    <w:r>
                      <w:t>2511 CW  'S-GRAVENHAGE</w:t>
                    </w:r>
                  </w:p>
                  <w:p w14:paraId="0BAA8748" w14:textId="77777777" w:rsidR="000438E8" w:rsidRDefault="00D41F8A">
                    <w:pPr>
                      <w:pStyle w:val="StandaardReferentiegegevens"/>
                    </w:pPr>
                    <w:r>
                      <w:t>POSTBUS 20201</w:t>
                    </w:r>
                  </w:p>
                  <w:p w14:paraId="2814803E" w14:textId="77777777" w:rsidR="000438E8" w:rsidRPr="00E66A9C" w:rsidRDefault="00D41F8A">
                    <w:pPr>
                      <w:pStyle w:val="StandaardReferentiegegevens"/>
                      <w:rPr>
                        <w:lang w:val="es-ES"/>
                      </w:rPr>
                    </w:pPr>
                    <w:r w:rsidRPr="00E66A9C">
                      <w:rPr>
                        <w:lang w:val="es-ES"/>
                      </w:rPr>
                      <w:t xml:space="preserve">2500 </w:t>
                    </w:r>
                    <w:proofErr w:type="gramStart"/>
                    <w:r w:rsidRPr="00E66A9C">
                      <w:rPr>
                        <w:lang w:val="es-ES"/>
                      </w:rPr>
                      <w:t>EE  '</w:t>
                    </w:r>
                    <w:proofErr w:type="gramEnd"/>
                    <w:r w:rsidRPr="00E66A9C">
                      <w:rPr>
                        <w:lang w:val="es-ES"/>
                      </w:rPr>
                      <w:t>S-GRAVENHAGE</w:t>
                    </w:r>
                  </w:p>
                  <w:p w14:paraId="35888F02" w14:textId="77777777" w:rsidR="000438E8" w:rsidRPr="00E66A9C" w:rsidRDefault="00D41F8A">
                    <w:pPr>
                      <w:pStyle w:val="StandaardReferentiegegevens"/>
                      <w:rPr>
                        <w:lang w:val="es-ES"/>
                      </w:rPr>
                    </w:pPr>
                    <w:r w:rsidRPr="00E66A9C">
                      <w:rPr>
                        <w:lang w:val="es-ES"/>
                      </w:rPr>
                      <w:t>www.rijksoverheid.nl/fin</w:t>
                    </w:r>
                  </w:p>
                  <w:p w14:paraId="52E31A50" w14:textId="77777777" w:rsidR="000438E8" w:rsidRPr="00E66A9C" w:rsidRDefault="000438E8">
                    <w:pPr>
                      <w:pStyle w:val="WitregelW2"/>
                      <w:rPr>
                        <w:lang w:val="es-ES"/>
                      </w:rPr>
                    </w:pPr>
                  </w:p>
                  <w:p w14:paraId="6D75600D" w14:textId="77777777" w:rsidR="000438E8" w:rsidRDefault="00D41F8A">
                    <w:pPr>
                      <w:pStyle w:val="StandaardReferentiegegevensKop"/>
                    </w:pPr>
                    <w:r>
                      <w:t>Ons kenmerk</w:t>
                    </w:r>
                  </w:p>
                  <w:p w14:paraId="4AF2CFA1" w14:textId="12608C85" w:rsidR="002D2105" w:rsidRDefault="00B52F69">
                    <w:pPr>
                      <w:pStyle w:val="StandaardReferentiegegevens"/>
                    </w:pPr>
                    <w:r>
                      <w:fldChar w:fldCharType="begin"/>
                    </w:r>
                    <w:r>
                      <w:instrText xml:space="preserve"> DOCPROPERTY  "Kenmerk"  \* MERGEFORMAT </w:instrText>
                    </w:r>
                    <w:r>
                      <w:fldChar w:fldCharType="separate"/>
                    </w:r>
                    <w:r>
                      <w:t>2025-0000075776</w:t>
                    </w:r>
                    <w:r>
                      <w:fldChar w:fldCharType="end"/>
                    </w:r>
                  </w:p>
                  <w:p w14:paraId="60142588" w14:textId="77777777" w:rsidR="000438E8" w:rsidRDefault="000438E8">
                    <w:pPr>
                      <w:pStyle w:val="WitregelW1"/>
                    </w:pPr>
                  </w:p>
                  <w:p w14:paraId="7FF0CEA2" w14:textId="77777777" w:rsidR="000438E8" w:rsidRDefault="00D41F8A">
                    <w:pPr>
                      <w:pStyle w:val="StandaardReferentiegegevensKop"/>
                    </w:pPr>
                    <w:r>
                      <w:t>Uw brief (kenmerk)</w:t>
                    </w:r>
                  </w:p>
                  <w:p w14:paraId="54342332" w14:textId="7ACA3BBD" w:rsidR="002D2105" w:rsidRDefault="00B52F69">
                    <w:pPr>
                      <w:pStyle w:val="StandaardReferentiegegevens"/>
                    </w:pPr>
                    <w:r>
                      <w:fldChar w:fldCharType="begin"/>
                    </w:r>
                    <w:r>
                      <w:instrText xml:space="preserve"> DOCPROPERTY  "UwKenmerk"  \* MERGEFORMAT </w:instrText>
                    </w:r>
                    <w:r>
                      <w:fldChar w:fldCharType="end"/>
                    </w:r>
                  </w:p>
                  <w:p w14:paraId="6F37293A" w14:textId="77777777" w:rsidR="000438E8" w:rsidRDefault="000438E8">
                    <w:pPr>
                      <w:pStyle w:val="WitregelW1"/>
                    </w:pPr>
                  </w:p>
                  <w:p w14:paraId="32357DC6" w14:textId="77777777" w:rsidR="000438E8" w:rsidRDefault="00D41F8A">
                    <w:pPr>
                      <w:pStyle w:val="StandaardReferentiegegevensKop"/>
                    </w:pPr>
                    <w:r>
                      <w:t>Bijlagen</w:t>
                    </w:r>
                  </w:p>
                  <w:p w14:paraId="4926D764" w14:textId="77777777" w:rsidR="000438E8" w:rsidRDefault="00D41F8A">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3BB1101" wp14:editId="5A88179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BD768AA" w14:textId="77777777" w:rsidR="000438E8" w:rsidRDefault="00D41F8A">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3BB1101" id="bd4a901e-03a6-11ee-8f29-0242ac130005" o:spid="_x0000_s1034"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BD768AA" w14:textId="77777777" w:rsidR="000438E8" w:rsidRDefault="00D41F8A">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1FF1ACF" wp14:editId="22B44E31">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24AE547" w14:textId="540DAB8D" w:rsidR="002D2105" w:rsidRDefault="00B52F69">
                          <w:pPr>
                            <w:pStyle w:val="Rubricering"/>
                          </w:pPr>
                          <w:r>
                            <w:fldChar w:fldCharType="begin"/>
                          </w:r>
                          <w:r>
                            <w:instrText xml:space="preserve"> DOCPROPERTY  "Rubricering"  \* MERGEFORMAT </w:instrText>
                          </w:r>
                          <w:r>
                            <w:fldChar w:fldCharType="end"/>
                          </w:r>
                        </w:p>
                        <w:p w14:paraId="2E4A8C77" w14:textId="77777777" w:rsidR="000438E8" w:rsidRDefault="00D41F8A">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1FF1ACF" id="bd4a90ba-03a6-11ee-8f29-0242ac130005" o:spid="_x0000_s1035"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24AE547" w14:textId="540DAB8D" w:rsidR="002D2105" w:rsidRDefault="00B52F69">
                    <w:pPr>
                      <w:pStyle w:val="Rubricering"/>
                    </w:pPr>
                    <w:r>
                      <w:fldChar w:fldCharType="begin"/>
                    </w:r>
                    <w:r>
                      <w:instrText xml:space="preserve"> DOCPROPERTY  "Rubricering"  \* MERGEFORMAT </w:instrText>
                    </w:r>
                    <w:r>
                      <w:fldChar w:fldCharType="end"/>
                    </w:r>
                  </w:p>
                  <w:p w14:paraId="2E4A8C77" w14:textId="77777777" w:rsidR="000438E8" w:rsidRDefault="00D41F8A">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A288337" wp14:editId="7F3ED7E0">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8D6A5ED" w14:textId="77777777" w:rsidR="002D2105" w:rsidRDefault="00B52F6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A288337" id="bd4a9275-03a6-11ee-8f29-0242ac130005" o:spid="_x0000_s1036"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8D6A5ED" w14:textId="77777777" w:rsidR="002D2105" w:rsidRDefault="00B52F6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8ECB92B" wp14:editId="1C8865CA">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438E8" w14:paraId="7781BFE8" w14:textId="77777777">
                            <w:trPr>
                              <w:trHeight w:val="200"/>
                            </w:trPr>
                            <w:tc>
                              <w:tcPr>
                                <w:tcW w:w="1140" w:type="dxa"/>
                              </w:tcPr>
                              <w:p w14:paraId="7E534E90" w14:textId="77777777" w:rsidR="000438E8" w:rsidRDefault="000438E8"/>
                            </w:tc>
                            <w:tc>
                              <w:tcPr>
                                <w:tcW w:w="5400" w:type="dxa"/>
                              </w:tcPr>
                              <w:p w14:paraId="5CF9D589" w14:textId="77777777" w:rsidR="000438E8" w:rsidRDefault="000438E8"/>
                            </w:tc>
                          </w:tr>
                          <w:tr w:rsidR="000438E8" w14:paraId="4B9E6117" w14:textId="77777777">
                            <w:trPr>
                              <w:trHeight w:val="240"/>
                            </w:trPr>
                            <w:tc>
                              <w:tcPr>
                                <w:tcW w:w="1140" w:type="dxa"/>
                              </w:tcPr>
                              <w:p w14:paraId="47AC3100" w14:textId="77777777" w:rsidR="000438E8" w:rsidRDefault="00D41F8A">
                                <w:r>
                                  <w:t>Datum</w:t>
                                </w:r>
                              </w:p>
                            </w:tc>
                            <w:tc>
                              <w:tcPr>
                                <w:tcW w:w="5400" w:type="dxa"/>
                              </w:tcPr>
                              <w:p w14:paraId="33E0A172" w14:textId="2138CB26" w:rsidR="000438E8" w:rsidRDefault="00ED0DC1">
                                <w:r>
                                  <w:t>14 maart 2025</w:t>
                                </w:r>
                              </w:p>
                            </w:tc>
                          </w:tr>
                          <w:tr w:rsidR="000438E8" w14:paraId="6F0072A8" w14:textId="77777777">
                            <w:trPr>
                              <w:trHeight w:val="240"/>
                            </w:trPr>
                            <w:tc>
                              <w:tcPr>
                                <w:tcW w:w="1140" w:type="dxa"/>
                              </w:tcPr>
                              <w:p w14:paraId="15FF7E8F" w14:textId="77777777" w:rsidR="000438E8" w:rsidRDefault="00D41F8A">
                                <w:r>
                                  <w:t>Betreft</w:t>
                                </w:r>
                              </w:p>
                            </w:tc>
                            <w:tc>
                              <w:tcPr>
                                <w:tcW w:w="5400" w:type="dxa"/>
                              </w:tcPr>
                              <w:p w14:paraId="05A6E734" w14:textId="2FA326F5" w:rsidR="002D2105" w:rsidRDefault="00B52F69">
                                <w:r>
                                  <w:fldChar w:fldCharType="begin"/>
                                </w:r>
                                <w:r>
                                  <w:instrText xml:space="preserve"> DOCPROPERTY  "Onderwerp"  \* MERGEFORMAT </w:instrText>
                                </w:r>
                                <w:r>
                                  <w:fldChar w:fldCharType="separate"/>
                                </w:r>
                                <w:r>
                                  <w:t>Een analyse van de Nederlandse inflatie</w:t>
                                </w:r>
                                <w:r>
                                  <w:fldChar w:fldCharType="end"/>
                                </w:r>
                              </w:p>
                            </w:tc>
                          </w:tr>
                          <w:tr w:rsidR="000438E8" w14:paraId="2CF75366" w14:textId="77777777">
                            <w:trPr>
                              <w:trHeight w:val="200"/>
                            </w:trPr>
                            <w:tc>
                              <w:tcPr>
                                <w:tcW w:w="1140" w:type="dxa"/>
                              </w:tcPr>
                              <w:p w14:paraId="7F3B7CC8" w14:textId="77777777" w:rsidR="000438E8" w:rsidRDefault="000438E8"/>
                            </w:tc>
                            <w:tc>
                              <w:tcPr>
                                <w:tcW w:w="4738" w:type="dxa"/>
                              </w:tcPr>
                              <w:p w14:paraId="282EF846" w14:textId="77777777" w:rsidR="000438E8" w:rsidRDefault="000438E8"/>
                            </w:tc>
                          </w:tr>
                        </w:tbl>
                        <w:p w14:paraId="27472BD9" w14:textId="77777777" w:rsidR="00272D15" w:rsidRDefault="00272D15"/>
                      </w:txbxContent>
                    </wps:txbx>
                    <wps:bodyPr vert="horz" wrap="square" lIns="0" tIns="0" rIns="0" bIns="0" anchor="t" anchorCtr="0"/>
                  </wps:wsp>
                </a:graphicData>
              </a:graphic>
            </wp:anchor>
          </w:drawing>
        </mc:Choice>
        <mc:Fallback>
          <w:pict>
            <v:shape w14:anchorId="28ECB92B" id="bd4aaf7a-03a6-11ee-8f29-0242ac130005" o:spid="_x0000_s1037"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0438E8" w14:paraId="7781BFE8" w14:textId="77777777">
                      <w:trPr>
                        <w:trHeight w:val="200"/>
                      </w:trPr>
                      <w:tc>
                        <w:tcPr>
                          <w:tcW w:w="1140" w:type="dxa"/>
                        </w:tcPr>
                        <w:p w14:paraId="7E534E90" w14:textId="77777777" w:rsidR="000438E8" w:rsidRDefault="000438E8"/>
                      </w:tc>
                      <w:tc>
                        <w:tcPr>
                          <w:tcW w:w="5400" w:type="dxa"/>
                        </w:tcPr>
                        <w:p w14:paraId="5CF9D589" w14:textId="77777777" w:rsidR="000438E8" w:rsidRDefault="000438E8"/>
                      </w:tc>
                    </w:tr>
                    <w:tr w:rsidR="000438E8" w14:paraId="4B9E6117" w14:textId="77777777">
                      <w:trPr>
                        <w:trHeight w:val="240"/>
                      </w:trPr>
                      <w:tc>
                        <w:tcPr>
                          <w:tcW w:w="1140" w:type="dxa"/>
                        </w:tcPr>
                        <w:p w14:paraId="47AC3100" w14:textId="77777777" w:rsidR="000438E8" w:rsidRDefault="00D41F8A">
                          <w:r>
                            <w:t>Datum</w:t>
                          </w:r>
                        </w:p>
                      </w:tc>
                      <w:tc>
                        <w:tcPr>
                          <w:tcW w:w="5400" w:type="dxa"/>
                        </w:tcPr>
                        <w:p w14:paraId="33E0A172" w14:textId="2138CB26" w:rsidR="000438E8" w:rsidRDefault="00ED0DC1">
                          <w:r>
                            <w:t>14 maart 2025</w:t>
                          </w:r>
                        </w:p>
                      </w:tc>
                    </w:tr>
                    <w:tr w:rsidR="000438E8" w14:paraId="6F0072A8" w14:textId="77777777">
                      <w:trPr>
                        <w:trHeight w:val="240"/>
                      </w:trPr>
                      <w:tc>
                        <w:tcPr>
                          <w:tcW w:w="1140" w:type="dxa"/>
                        </w:tcPr>
                        <w:p w14:paraId="15FF7E8F" w14:textId="77777777" w:rsidR="000438E8" w:rsidRDefault="00D41F8A">
                          <w:r>
                            <w:t>Betreft</w:t>
                          </w:r>
                        </w:p>
                      </w:tc>
                      <w:tc>
                        <w:tcPr>
                          <w:tcW w:w="5400" w:type="dxa"/>
                        </w:tcPr>
                        <w:p w14:paraId="05A6E734" w14:textId="2FA326F5" w:rsidR="002D2105" w:rsidRDefault="00B52F69">
                          <w:r>
                            <w:fldChar w:fldCharType="begin"/>
                          </w:r>
                          <w:r>
                            <w:instrText xml:space="preserve"> DOCPROPERTY  "Onderwerp"  \* MERGEFORMAT </w:instrText>
                          </w:r>
                          <w:r>
                            <w:fldChar w:fldCharType="separate"/>
                          </w:r>
                          <w:r>
                            <w:t>Een analyse van de Nederlandse inflatie</w:t>
                          </w:r>
                          <w:r>
                            <w:fldChar w:fldCharType="end"/>
                          </w:r>
                        </w:p>
                      </w:tc>
                    </w:tr>
                    <w:tr w:rsidR="000438E8" w14:paraId="2CF75366" w14:textId="77777777">
                      <w:trPr>
                        <w:trHeight w:val="200"/>
                      </w:trPr>
                      <w:tc>
                        <w:tcPr>
                          <w:tcW w:w="1140" w:type="dxa"/>
                        </w:tcPr>
                        <w:p w14:paraId="7F3B7CC8" w14:textId="77777777" w:rsidR="000438E8" w:rsidRDefault="000438E8"/>
                      </w:tc>
                      <w:tc>
                        <w:tcPr>
                          <w:tcW w:w="4738" w:type="dxa"/>
                        </w:tcPr>
                        <w:p w14:paraId="282EF846" w14:textId="77777777" w:rsidR="000438E8" w:rsidRDefault="000438E8"/>
                      </w:tc>
                    </w:tr>
                  </w:tbl>
                  <w:p w14:paraId="27472BD9" w14:textId="77777777" w:rsidR="00272D15" w:rsidRDefault="00272D1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7B5AE94" wp14:editId="4FF7467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CEAC485" w14:textId="07B8E40E" w:rsidR="002D2105" w:rsidRDefault="00B52F6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7B5AE94" id="bd5d814d-03a6-11ee-8f29-0242ac130005" o:spid="_x0000_s1038"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CEAC485" w14:textId="07B8E40E" w:rsidR="002D2105" w:rsidRDefault="00B52F6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C5665B8" wp14:editId="798929AB">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5716AB1" w14:textId="77777777" w:rsidR="00272D15" w:rsidRDefault="00272D15"/>
                      </w:txbxContent>
                    </wps:txbx>
                    <wps:bodyPr vert="horz" wrap="square" lIns="0" tIns="0" rIns="0" bIns="0" anchor="t" anchorCtr="0"/>
                  </wps:wsp>
                </a:graphicData>
              </a:graphic>
            </wp:anchor>
          </w:drawing>
        </mc:Choice>
        <mc:Fallback>
          <w:pict>
            <v:shape w14:anchorId="5C5665B8" id="bd5a43b8-03a6-11ee-8f29-0242ac130005" o:spid="_x0000_s1039"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5716AB1" w14:textId="77777777" w:rsidR="00272D15" w:rsidRDefault="00272D1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9E6DEC"/>
    <w:multiLevelType w:val="multilevel"/>
    <w:tmpl w:val="A453023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E4A92"/>
    <w:multiLevelType w:val="hybridMultilevel"/>
    <w:tmpl w:val="666EEEB2"/>
    <w:lvl w:ilvl="0" w:tplc="0413000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2" w15:restartNumberingAfterBreak="0">
    <w:nsid w:val="106768D4"/>
    <w:multiLevelType w:val="hybridMultilevel"/>
    <w:tmpl w:val="9A74D1C0"/>
    <w:lvl w:ilvl="0" w:tplc="347A7F4C">
      <w:start w:val="1"/>
      <w:numFmt w:val="decimal"/>
      <w:lvlText w:val="%1)"/>
      <w:lvlJc w:val="left"/>
      <w:pPr>
        <w:ind w:left="1020" w:hanging="360"/>
      </w:pPr>
    </w:lvl>
    <w:lvl w:ilvl="1" w:tplc="2C38E8F6">
      <w:start w:val="1"/>
      <w:numFmt w:val="decimal"/>
      <w:lvlText w:val="%2)"/>
      <w:lvlJc w:val="left"/>
      <w:pPr>
        <w:ind w:left="1020" w:hanging="360"/>
      </w:pPr>
    </w:lvl>
    <w:lvl w:ilvl="2" w:tplc="CE923E8A">
      <w:start w:val="1"/>
      <w:numFmt w:val="decimal"/>
      <w:lvlText w:val="%3)"/>
      <w:lvlJc w:val="left"/>
      <w:pPr>
        <w:ind w:left="1020" w:hanging="360"/>
      </w:pPr>
    </w:lvl>
    <w:lvl w:ilvl="3" w:tplc="82A6BD36">
      <w:start w:val="1"/>
      <w:numFmt w:val="decimal"/>
      <w:lvlText w:val="%4)"/>
      <w:lvlJc w:val="left"/>
      <w:pPr>
        <w:ind w:left="1020" w:hanging="360"/>
      </w:pPr>
    </w:lvl>
    <w:lvl w:ilvl="4" w:tplc="6DFE3EBA">
      <w:start w:val="1"/>
      <w:numFmt w:val="decimal"/>
      <w:lvlText w:val="%5)"/>
      <w:lvlJc w:val="left"/>
      <w:pPr>
        <w:ind w:left="1020" w:hanging="360"/>
      </w:pPr>
    </w:lvl>
    <w:lvl w:ilvl="5" w:tplc="C794F03E">
      <w:start w:val="1"/>
      <w:numFmt w:val="decimal"/>
      <w:lvlText w:val="%6)"/>
      <w:lvlJc w:val="left"/>
      <w:pPr>
        <w:ind w:left="1020" w:hanging="360"/>
      </w:pPr>
    </w:lvl>
    <w:lvl w:ilvl="6" w:tplc="31026A5E">
      <w:start w:val="1"/>
      <w:numFmt w:val="decimal"/>
      <w:lvlText w:val="%7)"/>
      <w:lvlJc w:val="left"/>
      <w:pPr>
        <w:ind w:left="1020" w:hanging="360"/>
      </w:pPr>
    </w:lvl>
    <w:lvl w:ilvl="7" w:tplc="2362E8C4">
      <w:start w:val="1"/>
      <w:numFmt w:val="decimal"/>
      <w:lvlText w:val="%8)"/>
      <w:lvlJc w:val="left"/>
      <w:pPr>
        <w:ind w:left="1020" w:hanging="360"/>
      </w:pPr>
    </w:lvl>
    <w:lvl w:ilvl="8" w:tplc="6BAAF7F4">
      <w:start w:val="1"/>
      <w:numFmt w:val="decimal"/>
      <w:lvlText w:val="%9)"/>
      <w:lvlJc w:val="left"/>
      <w:pPr>
        <w:ind w:left="1020" w:hanging="360"/>
      </w:pPr>
    </w:lvl>
  </w:abstractNum>
  <w:abstractNum w:abstractNumId="3" w15:restartNumberingAfterBreak="0">
    <w:nsid w:val="13046A52"/>
    <w:multiLevelType w:val="multilevel"/>
    <w:tmpl w:val="BB088D6C"/>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B07EA7"/>
    <w:multiLevelType w:val="multilevel"/>
    <w:tmpl w:val="CE9DB89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29D5E0"/>
    <w:multiLevelType w:val="multilevel"/>
    <w:tmpl w:val="29E5750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E94E3D5"/>
    <w:multiLevelType w:val="multilevel"/>
    <w:tmpl w:val="EE7F1B4A"/>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9E2303"/>
    <w:multiLevelType w:val="multilevel"/>
    <w:tmpl w:val="FC1A3B8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402865944">
    <w:abstractNumId w:val="3"/>
  </w:num>
  <w:num w:numId="2" w16cid:durableId="1717663360">
    <w:abstractNumId w:val="0"/>
  </w:num>
  <w:num w:numId="3" w16cid:durableId="1163155956">
    <w:abstractNumId w:val="5"/>
  </w:num>
  <w:num w:numId="4" w16cid:durableId="693969042">
    <w:abstractNumId w:val="7"/>
  </w:num>
  <w:num w:numId="5" w16cid:durableId="1316453368">
    <w:abstractNumId w:val="6"/>
  </w:num>
  <w:num w:numId="6" w16cid:durableId="1284341250">
    <w:abstractNumId w:val="4"/>
  </w:num>
  <w:num w:numId="7" w16cid:durableId="1755668356">
    <w:abstractNumId w:val="2"/>
  </w:num>
  <w:num w:numId="8" w16cid:durableId="1913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9C"/>
    <w:rsid w:val="00024534"/>
    <w:rsid w:val="0003520F"/>
    <w:rsid w:val="000438E8"/>
    <w:rsid w:val="00052591"/>
    <w:rsid w:val="00071029"/>
    <w:rsid w:val="00094330"/>
    <w:rsid w:val="000A7BFA"/>
    <w:rsid w:val="000C1A51"/>
    <w:rsid w:val="000D61F8"/>
    <w:rsid w:val="000E2927"/>
    <w:rsid w:val="000F034B"/>
    <w:rsid w:val="000F2207"/>
    <w:rsid w:val="000F7C0F"/>
    <w:rsid w:val="00132EC5"/>
    <w:rsid w:val="00133386"/>
    <w:rsid w:val="00134403"/>
    <w:rsid w:val="001517F1"/>
    <w:rsid w:val="00156BD7"/>
    <w:rsid w:val="00162823"/>
    <w:rsid w:val="00162B1F"/>
    <w:rsid w:val="00170638"/>
    <w:rsid w:val="0017149C"/>
    <w:rsid w:val="00171DC2"/>
    <w:rsid w:val="00196C56"/>
    <w:rsid w:val="00197F2C"/>
    <w:rsid w:val="001A1397"/>
    <w:rsid w:val="001A777D"/>
    <w:rsid w:val="001B2889"/>
    <w:rsid w:val="001C0BF6"/>
    <w:rsid w:val="001C3A35"/>
    <w:rsid w:val="001D354E"/>
    <w:rsid w:val="001F143B"/>
    <w:rsid w:val="00210462"/>
    <w:rsid w:val="00214DB6"/>
    <w:rsid w:val="002161C3"/>
    <w:rsid w:val="00220EA4"/>
    <w:rsid w:val="00251ADB"/>
    <w:rsid w:val="00253B84"/>
    <w:rsid w:val="0025618F"/>
    <w:rsid w:val="00263B88"/>
    <w:rsid w:val="00270B72"/>
    <w:rsid w:val="00272D15"/>
    <w:rsid w:val="002734E9"/>
    <w:rsid w:val="002738DA"/>
    <w:rsid w:val="00275CB4"/>
    <w:rsid w:val="00280709"/>
    <w:rsid w:val="002975CF"/>
    <w:rsid w:val="002A3B61"/>
    <w:rsid w:val="002A4EDA"/>
    <w:rsid w:val="002B1BE4"/>
    <w:rsid w:val="002C5410"/>
    <w:rsid w:val="002D0F7B"/>
    <w:rsid w:val="002D2105"/>
    <w:rsid w:val="002D2703"/>
    <w:rsid w:val="002F1493"/>
    <w:rsid w:val="00315E3C"/>
    <w:rsid w:val="00325EB8"/>
    <w:rsid w:val="00332070"/>
    <w:rsid w:val="00334231"/>
    <w:rsid w:val="0034034D"/>
    <w:rsid w:val="00342089"/>
    <w:rsid w:val="00347A44"/>
    <w:rsid w:val="00352E90"/>
    <w:rsid w:val="0036206C"/>
    <w:rsid w:val="003666B9"/>
    <w:rsid w:val="00370A4B"/>
    <w:rsid w:val="0037689C"/>
    <w:rsid w:val="003813E2"/>
    <w:rsid w:val="00383BAE"/>
    <w:rsid w:val="00392335"/>
    <w:rsid w:val="003936CA"/>
    <w:rsid w:val="003A205A"/>
    <w:rsid w:val="003A236C"/>
    <w:rsid w:val="003A3058"/>
    <w:rsid w:val="003A5CD1"/>
    <w:rsid w:val="003B3055"/>
    <w:rsid w:val="003B4E79"/>
    <w:rsid w:val="003C0C1B"/>
    <w:rsid w:val="003C4CD9"/>
    <w:rsid w:val="003D42CD"/>
    <w:rsid w:val="003D6E64"/>
    <w:rsid w:val="003E358F"/>
    <w:rsid w:val="003E7BBE"/>
    <w:rsid w:val="003F423A"/>
    <w:rsid w:val="0040071C"/>
    <w:rsid w:val="00401424"/>
    <w:rsid w:val="00411906"/>
    <w:rsid w:val="00423A7A"/>
    <w:rsid w:val="00463B5C"/>
    <w:rsid w:val="00464EA6"/>
    <w:rsid w:val="004677D4"/>
    <w:rsid w:val="00471364"/>
    <w:rsid w:val="00471A49"/>
    <w:rsid w:val="00474E55"/>
    <w:rsid w:val="00484836"/>
    <w:rsid w:val="0048668A"/>
    <w:rsid w:val="00493557"/>
    <w:rsid w:val="004A53CF"/>
    <w:rsid w:val="004B2861"/>
    <w:rsid w:val="004B31B0"/>
    <w:rsid w:val="004B614B"/>
    <w:rsid w:val="004B74E6"/>
    <w:rsid w:val="004C0123"/>
    <w:rsid w:val="004C299F"/>
    <w:rsid w:val="004C2B81"/>
    <w:rsid w:val="004D4D4B"/>
    <w:rsid w:val="004D737E"/>
    <w:rsid w:val="004E2072"/>
    <w:rsid w:val="004E3AD2"/>
    <w:rsid w:val="004E6BC0"/>
    <w:rsid w:val="004E6BF9"/>
    <w:rsid w:val="004F3E1C"/>
    <w:rsid w:val="00513569"/>
    <w:rsid w:val="0052029E"/>
    <w:rsid w:val="0053517C"/>
    <w:rsid w:val="005433BC"/>
    <w:rsid w:val="00543B02"/>
    <w:rsid w:val="00557B1D"/>
    <w:rsid w:val="00572585"/>
    <w:rsid w:val="00581C58"/>
    <w:rsid w:val="00594466"/>
    <w:rsid w:val="005A4A47"/>
    <w:rsid w:val="005A7BCE"/>
    <w:rsid w:val="005B3A27"/>
    <w:rsid w:val="005B58AE"/>
    <w:rsid w:val="005D67D0"/>
    <w:rsid w:val="00602F21"/>
    <w:rsid w:val="00604B18"/>
    <w:rsid w:val="00607289"/>
    <w:rsid w:val="006118D2"/>
    <w:rsid w:val="006417CD"/>
    <w:rsid w:val="006555F0"/>
    <w:rsid w:val="00660DC6"/>
    <w:rsid w:val="00662B69"/>
    <w:rsid w:val="006652EE"/>
    <w:rsid w:val="00674458"/>
    <w:rsid w:val="006862F2"/>
    <w:rsid w:val="00686552"/>
    <w:rsid w:val="006932EB"/>
    <w:rsid w:val="006A1556"/>
    <w:rsid w:val="006A1E79"/>
    <w:rsid w:val="006B16AE"/>
    <w:rsid w:val="006B68FF"/>
    <w:rsid w:val="006D0695"/>
    <w:rsid w:val="006E0DD5"/>
    <w:rsid w:val="006E0E63"/>
    <w:rsid w:val="00700D32"/>
    <w:rsid w:val="00713B79"/>
    <w:rsid w:val="0073189C"/>
    <w:rsid w:val="00731DB8"/>
    <w:rsid w:val="007328FC"/>
    <w:rsid w:val="0073313A"/>
    <w:rsid w:val="00740C88"/>
    <w:rsid w:val="00745195"/>
    <w:rsid w:val="00747DB9"/>
    <w:rsid w:val="00747E98"/>
    <w:rsid w:val="00776249"/>
    <w:rsid w:val="00787D09"/>
    <w:rsid w:val="007A5D10"/>
    <w:rsid w:val="007E0BD7"/>
    <w:rsid w:val="007E212F"/>
    <w:rsid w:val="0080233B"/>
    <w:rsid w:val="0081357D"/>
    <w:rsid w:val="00817640"/>
    <w:rsid w:val="00820AE2"/>
    <w:rsid w:val="0082652A"/>
    <w:rsid w:val="008275AB"/>
    <w:rsid w:val="00836274"/>
    <w:rsid w:val="0084107D"/>
    <w:rsid w:val="008609CB"/>
    <w:rsid w:val="00872B05"/>
    <w:rsid w:val="00884538"/>
    <w:rsid w:val="008925AD"/>
    <w:rsid w:val="008937F8"/>
    <w:rsid w:val="008A0562"/>
    <w:rsid w:val="008B69ED"/>
    <w:rsid w:val="008D5A86"/>
    <w:rsid w:val="008E683C"/>
    <w:rsid w:val="009001E5"/>
    <w:rsid w:val="00904D02"/>
    <w:rsid w:val="00911A16"/>
    <w:rsid w:val="009202AB"/>
    <w:rsid w:val="00920F43"/>
    <w:rsid w:val="009277DD"/>
    <w:rsid w:val="00927C52"/>
    <w:rsid w:val="009338CA"/>
    <w:rsid w:val="00950314"/>
    <w:rsid w:val="00957330"/>
    <w:rsid w:val="009601CD"/>
    <w:rsid w:val="00976F03"/>
    <w:rsid w:val="00984431"/>
    <w:rsid w:val="0099233A"/>
    <w:rsid w:val="009A7BA1"/>
    <w:rsid w:val="009B1F02"/>
    <w:rsid w:val="009B59A9"/>
    <w:rsid w:val="009B5F79"/>
    <w:rsid w:val="009D2F36"/>
    <w:rsid w:val="009D31E5"/>
    <w:rsid w:val="009E2025"/>
    <w:rsid w:val="00A0106C"/>
    <w:rsid w:val="00A05BB7"/>
    <w:rsid w:val="00A10F28"/>
    <w:rsid w:val="00A27BD0"/>
    <w:rsid w:val="00A311AF"/>
    <w:rsid w:val="00A34F2B"/>
    <w:rsid w:val="00A53A21"/>
    <w:rsid w:val="00A63182"/>
    <w:rsid w:val="00A653EE"/>
    <w:rsid w:val="00A77BB8"/>
    <w:rsid w:val="00A81A22"/>
    <w:rsid w:val="00A90CAC"/>
    <w:rsid w:val="00A94F99"/>
    <w:rsid w:val="00A97386"/>
    <w:rsid w:val="00AB56A6"/>
    <w:rsid w:val="00AB6CA2"/>
    <w:rsid w:val="00AC11A8"/>
    <w:rsid w:val="00AC1674"/>
    <w:rsid w:val="00AC7B0C"/>
    <w:rsid w:val="00AD2092"/>
    <w:rsid w:val="00AD47C1"/>
    <w:rsid w:val="00AE34FF"/>
    <w:rsid w:val="00AE6A74"/>
    <w:rsid w:val="00AF1E0C"/>
    <w:rsid w:val="00AF58D6"/>
    <w:rsid w:val="00B06801"/>
    <w:rsid w:val="00B17DCD"/>
    <w:rsid w:val="00B20DB4"/>
    <w:rsid w:val="00B32F64"/>
    <w:rsid w:val="00B42358"/>
    <w:rsid w:val="00B52F69"/>
    <w:rsid w:val="00B53879"/>
    <w:rsid w:val="00B5769F"/>
    <w:rsid w:val="00B65988"/>
    <w:rsid w:val="00B826CB"/>
    <w:rsid w:val="00B97CEB"/>
    <w:rsid w:val="00BA7A23"/>
    <w:rsid w:val="00BB61D8"/>
    <w:rsid w:val="00BC46DF"/>
    <w:rsid w:val="00BD19A8"/>
    <w:rsid w:val="00BD773E"/>
    <w:rsid w:val="00BE478C"/>
    <w:rsid w:val="00BF6CB5"/>
    <w:rsid w:val="00C0444A"/>
    <w:rsid w:val="00C10D71"/>
    <w:rsid w:val="00C12275"/>
    <w:rsid w:val="00C219A7"/>
    <w:rsid w:val="00C22ACC"/>
    <w:rsid w:val="00C23CBB"/>
    <w:rsid w:val="00C33B23"/>
    <w:rsid w:val="00C34C47"/>
    <w:rsid w:val="00C353F7"/>
    <w:rsid w:val="00C40ECF"/>
    <w:rsid w:val="00C50520"/>
    <w:rsid w:val="00C577C1"/>
    <w:rsid w:val="00C70B81"/>
    <w:rsid w:val="00C76796"/>
    <w:rsid w:val="00C824E1"/>
    <w:rsid w:val="00C84A28"/>
    <w:rsid w:val="00C919AF"/>
    <w:rsid w:val="00C94DC4"/>
    <w:rsid w:val="00CA0938"/>
    <w:rsid w:val="00CC7D01"/>
    <w:rsid w:val="00CD4A92"/>
    <w:rsid w:val="00CE25F6"/>
    <w:rsid w:val="00CE7A36"/>
    <w:rsid w:val="00CF21A4"/>
    <w:rsid w:val="00CF282A"/>
    <w:rsid w:val="00CF77C0"/>
    <w:rsid w:val="00D01FBD"/>
    <w:rsid w:val="00D037A9"/>
    <w:rsid w:val="00D15A08"/>
    <w:rsid w:val="00D2674C"/>
    <w:rsid w:val="00D41F8A"/>
    <w:rsid w:val="00D45217"/>
    <w:rsid w:val="00D510D1"/>
    <w:rsid w:val="00D67C7A"/>
    <w:rsid w:val="00D7056C"/>
    <w:rsid w:val="00D726BA"/>
    <w:rsid w:val="00D75759"/>
    <w:rsid w:val="00D8200D"/>
    <w:rsid w:val="00D87888"/>
    <w:rsid w:val="00DA2495"/>
    <w:rsid w:val="00DA7423"/>
    <w:rsid w:val="00DB405A"/>
    <w:rsid w:val="00DB4ABF"/>
    <w:rsid w:val="00DC07E4"/>
    <w:rsid w:val="00DC131B"/>
    <w:rsid w:val="00DC4C9F"/>
    <w:rsid w:val="00DD2987"/>
    <w:rsid w:val="00DD66AC"/>
    <w:rsid w:val="00DF7C50"/>
    <w:rsid w:val="00E04086"/>
    <w:rsid w:val="00E0477B"/>
    <w:rsid w:val="00E05E0A"/>
    <w:rsid w:val="00E1165B"/>
    <w:rsid w:val="00E145B0"/>
    <w:rsid w:val="00E16285"/>
    <w:rsid w:val="00E3225B"/>
    <w:rsid w:val="00E3437D"/>
    <w:rsid w:val="00E360FC"/>
    <w:rsid w:val="00E53678"/>
    <w:rsid w:val="00E54AAF"/>
    <w:rsid w:val="00E54F2D"/>
    <w:rsid w:val="00E561B4"/>
    <w:rsid w:val="00E603D2"/>
    <w:rsid w:val="00E66A9C"/>
    <w:rsid w:val="00E950FB"/>
    <w:rsid w:val="00E961CB"/>
    <w:rsid w:val="00EA0D73"/>
    <w:rsid w:val="00EA1B72"/>
    <w:rsid w:val="00EA34D4"/>
    <w:rsid w:val="00EA397E"/>
    <w:rsid w:val="00EC2C6D"/>
    <w:rsid w:val="00EC6ED4"/>
    <w:rsid w:val="00ED0A4F"/>
    <w:rsid w:val="00ED0B3E"/>
    <w:rsid w:val="00ED0DC1"/>
    <w:rsid w:val="00ED59C6"/>
    <w:rsid w:val="00EF38DB"/>
    <w:rsid w:val="00EF7A22"/>
    <w:rsid w:val="00F06AFD"/>
    <w:rsid w:val="00F257BD"/>
    <w:rsid w:val="00F26E6D"/>
    <w:rsid w:val="00F36553"/>
    <w:rsid w:val="00F401A7"/>
    <w:rsid w:val="00F43D84"/>
    <w:rsid w:val="00F508DA"/>
    <w:rsid w:val="00F57A5D"/>
    <w:rsid w:val="00F75A1B"/>
    <w:rsid w:val="00F96C53"/>
    <w:rsid w:val="00FB2E61"/>
    <w:rsid w:val="00FB3A00"/>
    <w:rsid w:val="00FC2206"/>
    <w:rsid w:val="00FC520A"/>
    <w:rsid w:val="00FC68BC"/>
    <w:rsid w:val="00FE2C45"/>
    <w:rsid w:val="00FE34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2BD2C"/>
  <w15:docId w15:val="{FDECEC3B-180F-424C-8D3E-655A39E5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66A9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66A9C"/>
    <w:rPr>
      <w:rFonts w:ascii="Verdana" w:hAnsi="Verdana"/>
      <w:color w:val="000000"/>
      <w:sz w:val="18"/>
      <w:szCs w:val="18"/>
    </w:rPr>
  </w:style>
  <w:style w:type="paragraph" w:styleId="Voettekst">
    <w:name w:val="footer"/>
    <w:basedOn w:val="Standaard"/>
    <w:link w:val="VoettekstChar"/>
    <w:uiPriority w:val="99"/>
    <w:unhideWhenUsed/>
    <w:rsid w:val="00E66A9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66A9C"/>
    <w:rPr>
      <w:rFonts w:ascii="Verdana" w:hAnsi="Verdana"/>
      <w:color w:val="000000"/>
      <w:sz w:val="18"/>
      <w:szCs w:val="18"/>
    </w:rPr>
  </w:style>
  <w:style w:type="paragraph" w:styleId="Tekstopmerking">
    <w:name w:val="annotation text"/>
    <w:basedOn w:val="Standaard"/>
    <w:link w:val="TekstopmerkingChar"/>
    <w:uiPriority w:val="99"/>
    <w:unhideWhenUsed/>
    <w:rsid w:val="00E66A9C"/>
    <w:pPr>
      <w:spacing w:line="240" w:lineRule="auto"/>
    </w:pPr>
    <w:rPr>
      <w:sz w:val="20"/>
      <w:szCs w:val="20"/>
    </w:rPr>
  </w:style>
  <w:style w:type="character" w:customStyle="1" w:styleId="TekstopmerkingChar">
    <w:name w:val="Tekst opmerking Char"/>
    <w:basedOn w:val="Standaardalinea-lettertype"/>
    <w:link w:val="Tekstopmerking"/>
    <w:uiPriority w:val="99"/>
    <w:rsid w:val="00E66A9C"/>
    <w:rPr>
      <w:rFonts w:ascii="Verdana" w:hAnsi="Verdana"/>
      <w:color w:val="000000"/>
    </w:rPr>
  </w:style>
  <w:style w:type="paragraph" w:styleId="Voetnoottekst">
    <w:name w:val="footnote text"/>
    <w:basedOn w:val="Standaard"/>
    <w:link w:val="VoetnoottekstChar"/>
    <w:uiPriority w:val="99"/>
    <w:semiHidden/>
    <w:unhideWhenUsed/>
    <w:rsid w:val="00E66A9C"/>
    <w:pPr>
      <w:autoSpaceDN/>
      <w:spacing w:line="240" w:lineRule="auto"/>
      <w:textAlignment w:val="auto"/>
    </w:pPr>
    <w:rPr>
      <w:rFonts w:ascii="Calibri" w:eastAsia="Calibri" w:hAnsi="Calibri" w:cs="Times New Roman"/>
      <w:color w:val="auto"/>
      <w:sz w:val="20"/>
      <w:szCs w:val="20"/>
      <w:lang w:eastAsia="en-US"/>
    </w:rPr>
  </w:style>
  <w:style w:type="character" w:customStyle="1" w:styleId="VoetnoottekstChar">
    <w:name w:val="Voetnoottekst Char"/>
    <w:basedOn w:val="Standaardalinea-lettertype"/>
    <w:link w:val="Voetnoottekst"/>
    <w:uiPriority w:val="99"/>
    <w:semiHidden/>
    <w:rsid w:val="00E66A9C"/>
    <w:rPr>
      <w:rFonts w:ascii="Calibri" w:eastAsia="Calibri" w:hAnsi="Calibri" w:cs="Times New Roman"/>
      <w:lang w:eastAsia="en-US"/>
    </w:rPr>
  </w:style>
  <w:style w:type="character" w:styleId="Voetnootmarkering">
    <w:name w:val="footnote reference"/>
    <w:basedOn w:val="Standaardalinea-lettertype"/>
    <w:uiPriority w:val="99"/>
    <w:semiHidden/>
    <w:unhideWhenUsed/>
    <w:rsid w:val="00E66A9C"/>
    <w:rPr>
      <w:vertAlign w:val="superscript"/>
    </w:rPr>
  </w:style>
  <w:style w:type="character" w:styleId="Verwijzingopmerking">
    <w:name w:val="annotation reference"/>
    <w:basedOn w:val="Standaardalinea-lettertype"/>
    <w:uiPriority w:val="99"/>
    <w:semiHidden/>
    <w:unhideWhenUsed/>
    <w:rsid w:val="00E66A9C"/>
    <w:rPr>
      <w:sz w:val="16"/>
      <w:szCs w:val="16"/>
    </w:rPr>
  </w:style>
  <w:style w:type="table" w:styleId="Tabelraster">
    <w:name w:val="Table Grid"/>
    <w:basedOn w:val="Standaardtabel"/>
    <w:uiPriority w:val="39"/>
    <w:rsid w:val="00E66A9C"/>
    <w:pPr>
      <w:autoSpaceDN/>
      <w:textAlignment w:val="auto"/>
    </w:pPr>
    <w:rPr>
      <w:rFonts w:ascii="Verdana" w:eastAsia="Calibri" w:hAnsi="Verdana" w:cs="Times New Roman"/>
      <w:kern w:val="2"/>
      <w:sz w:val="18"/>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next w:val="Tabelraster"/>
    <w:rsid w:val="00E66A9C"/>
    <w:rPr>
      <w:rFonts w:ascii="Verdana" w:hAnsi="Verdana"/>
      <w:color w:val="000000"/>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val="0"/>
      </w:rPr>
    </w:tblStylePr>
  </w:style>
  <w:style w:type="character" w:customStyle="1" w:styleId="cf01">
    <w:name w:val="cf01"/>
    <w:basedOn w:val="Standaardalinea-lettertype"/>
    <w:rsid w:val="00E66A9C"/>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53517C"/>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53517C"/>
    <w:rPr>
      <w:b/>
      <w:bCs/>
    </w:rPr>
  </w:style>
  <w:style w:type="character" w:customStyle="1" w:styleId="OnderwerpvanopmerkingChar">
    <w:name w:val="Onderwerp van opmerking Char"/>
    <w:basedOn w:val="TekstopmerkingChar"/>
    <w:link w:val="Onderwerpvanopmerking"/>
    <w:uiPriority w:val="99"/>
    <w:semiHidden/>
    <w:rsid w:val="0053517C"/>
    <w:rPr>
      <w:rFonts w:ascii="Verdana" w:hAnsi="Verdana"/>
      <w:b/>
      <w:bCs/>
      <w:color w:val="000000"/>
    </w:rPr>
  </w:style>
  <w:style w:type="paragraph" w:styleId="Revisie">
    <w:name w:val="Revision"/>
    <w:hidden/>
    <w:uiPriority w:val="99"/>
    <w:semiHidden/>
    <w:rsid w:val="00D87888"/>
    <w:pPr>
      <w:autoSpaceDN/>
      <w:textAlignment w:val="auto"/>
    </w:pPr>
    <w:rPr>
      <w:rFonts w:ascii="Verdana" w:hAnsi="Verdana"/>
      <w:color w:val="000000"/>
      <w:sz w:val="18"/>
      <w:szCs w:val="18"/>
    </w:rPr>
  </w:style>
  <w:style w:type="paragraph" w:styleId="Normaalweb">
    <w:name w:val="Normal (Web)"/>
    <w:basedOn w:val="Standaard"/>
    <w:uiPriority w:val="99"/>
    <w:semiHidden/>
    <w:unhideWhenUsed/>
    <w:rsid w:val="008D5A86"/>
    <w:rPr>
      <w:rFonts w:ascii="Times New Roman" w:hAnsi="Times New Roman" w:cs="Times New Roman"/>
      <w:sz w:val="24"/>
      <w:szCs w:val="24"/>
    </w:rPr>
  </w:style>
  <w:style w:type="character" w:styleId="GevolgdeHyperlink">
    <w:name w:val="FollowedHyperlink"/>
    <w:basedOn w:val="Standaardalinea-lettertype"/>
    <w:uiPriority w:val="99"/>
    <w:semiHidden/>
    <w:unhideWhenUsed/>
    <w:rsid w:val="00C40EC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1494">
      <w:bodyDiv w:val="1"/>
      <w:marLeft w:val="0"/>
      <w:marRight w:val="0"/>
      <w:marTop w:val="0"/>
      <w:marBottom w:val="0"/>
      <w:divBdr>
        <w:top w:val="none" w:sz="0" w:space="0" w:color="auto"/>
        <w:left w:val="none" w:sz="0" w:space="0" w:color="auto"/>
        <w:bottom w:val="none" w:sz="0" w:space="0" w:color="auto"/>
        <w:right w:val="none" w:sz="0" w:space="0" w:color="auto"/>
      </w:divBdr>
    </w:div>
    <w:div w:id="941650749">
      <w:bodyDiv w:val="1"/>
      <w:marLeft w:val="0"/>
      <w:marRight w:val="0"/>
      <w:marTop w:val="0"/>
      <w:marBottom w:val="0"/>
      <w:divBdr>
        <w:top w:val="none" w:sz="0" w:space="0" w:color="auto"/>
        <w:left w:val="none" w:sz="0" w:space="0" w:color="auto"/>
        <w:bottom w:val="none" w:sz="0" w:space="0" w:color="auto"/>
        <w:right w:val="none" w:sz="0" w:space="0" w:color="auto"/>
      </w:divBdr>
    </w:div>
    <w:div w:id="1712143314">
      <w:bodyDiv w:val="1"/>
      <w:marLeft w:val="0"/>
      <w:marRight w:val="0"/>
      <w:marTop w:val="0"/>
      <w:marBottom w:val="0"/>
      <w:divBdr>
        <w:top w:val="none" w:sz="0" w:space="0" w:color="auto"/>
        <w:left w:val="none" w:sz="0" w:space="0" w:color="auto"/>
        <w:bottom w:val="none" w:sz="0" w:space="0" w:color="auto"/>
        <w:right w:val="none" w:sz="0" w:space="0" w:color="auto"/>
      </w:divBdr>
    </w:div>
    <w:div w:id="1744600974">
      <w:bodyDiv w:val="1"/>
      <w:marLeft w:val="0"/>
      <w:marRight w:val="0"/>
      <w:marTop w:val="0"/>
      <w:marBottom w:val="0"/>
      <w:divBdr>
        <w:top w:val="none" w:sz="0" w:space="0" w:color="auto"/>
        <w:left w:val="none" w:sz="0" w:space="0" w:color="auto"/>
        <w:bottom w:val="none" w:sz="0" w:space="0" w:color="auto"/>
        <w:right w:val="none" w:sz="0" w:space="0" w:color="auto"/>
      </w:divBdr>
    </w:div>
    <w:div w:id="1882326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 Id="rId30" Type="http://schemas.openxmlformats.org/officeDocument/2006/relationships/webSetting" Target="webSettings0.xml"/></Relationships>
</file>

<file path=word/_rels/footnotes.xml.rels><?xml version="1.0" encoding="UTF-8" standalone="yes"?>
<Relationships xmlns="http://schemas.openxmlformats.org/package/2006/relationships"><Relationship Id="rId8" Type="http://schemas.openxmlformats.org/officeDocument/2006/relationships/hyperlink" Target="https://www.dnb.nl/media/qlanupa0/dnb-analyse-de-bijdrage-van-winsten-en-lonen-aan-de-nederlandse-inflatie.pdf" TargetMode="External"/><Relationship Id="rId13" Type="http://schemas.openxmlformats.org/officeDocument/2006/relationships/hyperlink" Target="https://ec.europa.eu/eurostat/web/products-euro-indicators/w/3-15032024-ap" TargetMode="External"/><Relationship Id="rId18" Type="http://schemas.openxmlformats.org/officeDocument/2006/relationships/hyperlink" Target="https://link.springer.com/article/10.1007/s00181-024-02652-6" TargetMode="External"/><Relationship Id="rId3" Type="http://schemas.openxmlformats.org/officeDocument/2006/relationships/hyperlink" Target="https://www.cpb.nl/sites/default/files/omnidownload/CPB_Publicatie-op-zoek-naar-de-bronnen-van-de-inflatie-in-nederland.pdf" TargetMode="External"/><Relationship Id="rId7" Type="http://schemas.openxmlformats.org/officeDocument/2006/relationships/hyperlink" Target="https://www.dnb.nl/algemeen-nieuws/achtergrond-2024/hoe-hogere-loonkosten-en-bedrijfswinsten-in-2023-bijdroegen-aan-inflatie/" TargetMode="External"/><Relationship Id="rId12" Type="http://schemas.openxmlformats.org/officeDocument/2006/relationships/hyperlink" Target="https://www.cpb.nl/raming-februari-2025-cep-2025" TargetMode="External"/><Relationship Id="rId17" Type="http://schemas.openxmlformats.org/officeDocument/2006/relationships/hyperlink" Target="https://www.ecb.europa.eu/press/economic-bulletin/articles/2023/html/ecb.ebart202302_01~2bd46eff8f.en.html" TargetMode="External"/><Relationship Id="rId2" Type="http://schemas.openxmlformats.org/officeDocument/2006/relationships/hyperlink" Target="https://www.dnb.nl/media/urepsze5/dnb-analysis-drivers-of-dutch-inflation-during-the-pandemic-era.pdf" TargetMode="External"/><Relationship Id="rId16" Type="http://schemas.openxmlformats.org/officeDocument/2006/relationships/hyperlink" Target="https://www.cpb.nl/raming-februari-2025-cep-2025" TargetMode="External"/><Relationship Id="rId1" Type="http://schemas.openxmlformats.org/officeDocument/2006/relationships/hyperlink" Target="https://www.cpb.nl/sites/default/files/omnidownload/CPB-Notitie-Economische-analyse-steunpakket-2020.pdf" TargetMode="External"/><Relationship Id="rId6" Type="http://schemas.openxmlformats.org/officeDocument/2006/relationships/hyperlink" Target="https://www.cpb.nl/raming-februari-2025-cep-2025" TargetMode="External"/><Relationship Id="rId11" Type="http://schemas.openxmlformats.org/officeDocument/2006/relationships/hyperlink" Target="https://www.cpb.nl/sites/default/files/omnidownload/CPB_Publicatie-op-zoek-naar-de-bronnen-van-de-inflatie-in-nederland.pdf" TargetMode="External"/><Relationship Id="rId5" Type="http://schemas.openxmlformats.org/officeDocument/2006/relationships/hyperlink" Target="https://www.cpb.nl/raming-september-2024-mev-2025" TargetMode="External"/><Relationship Id="rId15" Type="http://schemas.openxmlformats.org/officeDocument/2006/relationships/hyperlink" Target="https://www.dnb.nl/media/urepsze5/dnb-analysis-drivers-of-dutch-inflation-during-the-pandemic-era.pdf" TargetMode="External"/><Relationship Id="rId10" Type="http://schemas.openxmlformats.org/officeDocument/2006/relationships/hyperlink" Target="https://www.cpb.nl/sites/default/files/omnidownload/CPB-PUBLICATIE-Uitsplitsing-van-de-inflatie-in-Nederland.pdf" TargetMode="External"/><Relationship Id="rId4" Type="http://schemas.openxmlformats.org/officeDocument/2006/relationships/hyperlink" Target="https://www.imf.org/en/Publications/WP/Issues/2023/09/13/One-Hundred-Inflation-Shocks-Seven-Stylized-Facts-539159" TargetMode="External"/><Relationship Id="rId9" Type="http://schemas.openxmlformats.org/officeDocument/2006/relationships/hyperlink" Target="https://esb.nu/inflatie-in-nederland-loopt-uit-de-pas-met-de-eurozone/" TargetMode="External"/><Relationship Id="rId14" Type="http://schemas.openxmlformats.org/officeDocument/2006/relationships/hyperlink" Target="https://www.dnb.nl/media/i3jpedr4/dnbanalyse-loon-prijsspiraal-pdf.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Macro\2025\Inflatie\Kamerbrief\Figuur%201.%20Vergelijking%20HICP%20NL%20en%20E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oleObject" Target="file:///H:\Application%20Data\Microsoft%20Office\Outlook\SecureTempFolder\Inflatiebrief%20CPI%20CPI%20afgeleid%20plaatje.csv"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1"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nl-NL" i="1"/>
              <a:t>Figuur 1. HICP-inflatie Nederland en eurozone</a:t>
            </a:r>
          </a:p>
        </c:rich>
      </c:tx>
      <c:overlay val="0"/>
      <c:spPr>
        <a:noFill/>
        <a:ln>
          <a:noFill/>
        </a:ln>
        <a:effectLst/>
      </c:spPr>
      <c:txPr>
        <a:bodyPr rot="0" spcFirstLastPara="1" vertOverflow="ellipsis" vert="horz" wrap="square" anchor="ctr" anchorCtr="1"/>
        <a:lstStyle/>
        <a:p>
          <a:pPr>
            <a:defRPr sz="960" b="0" i="1"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autoTitleDeleted val="0"/>
    <c:plotArea>
      <c:layout>
        <c:manualLayout>
          <c:layoutTarget val="inner"/>
          <c:xMode val="edge"/>
          <c:yMode val="edge"/>
          <c:x val="0.10470056579585908"/>
          <c:y val="0.16930232558139535"/>
          <c:w val="0.87392430060955595"/>
          <c:h val="0.55282915216993223"/>
        </c:manualLayout>
      </c:layout>
      <c:lineChart>
        <c:grouping val="standard"/>
        <c:varyColors val="0"/>
        <c:ser>
          <c:idx val="0"/>
          <c:order val="0"/>
          <c:spPr>
            <a:ln w="28575" cap="rnd">
              <a:solidFill>
                <a:schemeClr val="accent1"/>
              </a:solidFill>
              <a:round/>
            </a:ln>
            <a:effectLst/>
          </c:spPr>
          <c:marker>
            <c:symbol val="none"/>
          </c:marker>
          <c:val>
            <c:numRef>
              <c:f>'ECB Data Portal_20250214152313'!$B$2:$B$339</c:f>
              <c:numCache>
                <c:formatCode>General</c:formatCode>
                <c:ptCount val="182"/>
                <c:pt idx="0">
                  <c:v>0.4</c:v>
                </c:pt>
                <c:pt idx="1">
                  <c:v>0.4</c:v>
                </c:pt>
                <c:pt idx="2">
                  <c:v>0.7</c:v>
                </c:pt>
                <c:pt idx="3">
                  <c:v>0.7</c:v>
                </c:pt>
                <c:pt idx="4">
                  <c:v>0.4</c:v>
                </c:pt>
                <c:pt idx="5">
                  <c:v>0.2</c:v>
                </c:pt>
                <c:pt idx="6">
                  <c:v>1.3</c:v>
                </c:pt>
                <c:pt idx="7">
                  <c:v>1.2</c:v>
                </c:pt>
                <c:pt idx="8">
                  <c:v>1.4</c:v>
                </c:pt>
                <c:pt idx="9">
                  <c:v>1.4</c:v>
                </c:pt>
                <c:pt idx="10">
                  <c:v>1.4</c:v>
                </c:pt>
                <c:pt idx="11">
                  <c:v>1.8</c:v>
                </c:pt>
                <c:pt idx="12">
                  <c:v>1.9</c:v>
                </c:pt>
                <c:pt idx="13">
                  <c:v>2</c:v>
                </c:pt>
                <c:pt idx="14">
                  <c:v>1.8</c:v>
                </c:pt>
                <c:pt idx="15">
                  <c:v>2.1</c:v>
                </c:pt>
                <c:pt idx="16">
                  <c:v>2.2999999999999998</c:v>
                </c:pt>
                <c:pt idx="17">
                  <c:v>2.2999999999999998</c:v>
                </c:pt>
                <c:pt idx="18">
                  <c:v>3.2</c:v>
                </c:pt>
                <c:pt idx="19">
                  <c:v>3.2</c:v>
                </c:pt>
                <c:pt idx="20">
                  <c:v>3</c:v>
                </c:pt>
                <c:pt idx="21">
                  <c:v>2.8</c:v>
                </c:pt>
                <c:pt idx="22">
                  <c:v>2.6</c:v>
                </c:pt>
                <c:pt idx="23">
                  <c:v>2.5</c:v>
                </c:pt>
                <c:pt idx="24">
                  <c:v>2.9</c:v>
                </c:pt>
                <c:pt idx="25">
                  <c:v>2.9</c:v>
                </c:pt>
                <c:pt idx="26">
                  <c:v>2.9</c:v>
                </c:pt>
                <c:pt idx="27">
                  <c:v>2.8</c:v>
                </c:pt>
                <c:pt idx="28">
                  <c:v>2.5</c:v>
                </c:pt>
                <c:pt idx="29">
                  <c:v>2.5</c:v>
                </c:pt>
                <c:pt idx="30">
                  <c:v>2.6</c:v>
                </c:pt>
                <c:pt idx="31">
                  <c:v>2.6</c:v>
                </c:pt>
                <c:pt idx="32">
                  <c:v>2.5</c:v>
                </c:pt>
                <c:pt idx="33">
                  <c:v>3.3</c:v>
                </c:pt>
                <c:pt idx="34">
                  <c:v>3.2</c:v>
                </c:pt>
                <c:pt idx="35">
                  <c:v>3.4</c:v>
                </c:pt>
                <c:pt idx="36">
                  <c:v>3.2</c:v>
                </c:pt>
                <c:pt idx="37">
                  <c:v>3.2</c:v>
                </c:pt>
                <c:pt idx="38">
                  <c:v>3.2</c:v>
                </c:pt>
                <c:pt idx="39">
                  <c:v>2.8</c:v>
                </c:pt>
                <c:pt idx="40">
                  <c:v>3.1</c:v>
                </c:pt>
                <c:pt idx="41">
                  <c:v>3.2</c:v>
                </c:pt>
                <c:pt idx="42">
                  <c:v>3.1</c:v>
                </c:pt>
                <c:pt idx="43">
                  <c:v>2.8</c:v>
                </c:pt>
                <c:pt idx="44">
                  <c:v>2.4</c:v>
                </c:pt>
                <c:pt idx="45">
                  <c:v>1.3</c:v>
                </c:pt>
                <c:pt idx="46">
                  <c:v>1.2</c:v>
                </c:pt>
                <c:pt idx="47">
                  <c:v>1.4</c:v>
                </c:pt>
                <c:pt idx="48">
                  <c:v>0.8</c:v>
                </c:pt>
                <c:pt idx="49">
                  <c:v>0.4</c:v>
                </c:pt>
                <c:pt idx="50">
                  <c:v>0.1</c:v>
                </c:pt>
                <c:pt idx="51">
                  <c:v>0.6</c:v>
                </c:pt>
                <c:pt idx="52">
                  <c:v>0.1</c:v>
                </c:pt>
                <c:pt idx="53">
                  <c:v>0.3</c:v>
                </c:pt>
                <c:pt idx="54">
                  <c:v>0.3</c:v>
                </c:pt>
                <c:pt idx="55">
                  <c:v>0.4</c:v>
                </c:pt>
                <c:pt idx="56">
                  <c:v>0.3</c:v>
                </c:pt>
                <c:pt idx="57">
                  <c:v>0.4</c:v>
                </c:pt>
                <c:pt idx="58">
                  <c:v>0.3</c:v>
                </c:pt>
                <c:pt idx="59">
                  <c:v>-0.1</c:v>
                </c:pt>
                <c:pt idx="60">
                  <c:v>-0.7</c:v>
                </c:pt>
                <c:pt idx="61">
                  <c:v>-0.5</c:v>
                </c:pt>
                <c:pt idx="62">
                  <c:v>-0.3</c:v>
                </c:pt>
                <c:pt idx="63">
                  <c:v>0</c:v>
                </c:pt>
                <c:pt idx="64">
                  <c:v>0.7</c:v>
                </c:pt>
                <c:pt idx="65">
                  <c:v>0.5</c:v>
                </c:pt>
                <c:pt idx="66">
                  <c:v>0.8</c:v>
                </c:pt>
                <c:pt idx="67">
                  <c:v>0.4</c:v>
                </c:pt>
                <c:pt idx="68">
                  <c:v>0.3</c:v>
                </c:pt>
                <c:pt idx="69">
                  <c:v>0.4</c:v>
                </c:pt>
                <c:pt idx="70">
                  <c:v>0.4</c:v>
                </c:pt>
                <c:pt idx="71">
                  <c:v>0.5</c:v>
                </c:pt>
                <c:pt idx="72">
                  <c:v>0.2</c:v>
                </c:pt>
                <c:pt idx="73">
                  <c:v>0.3</c:v>
                </c:pt>
                <c:pt idx="74">
                  <c:v>0.5</c:v>
                </c:pt>
                <c:pt idx="75">
                  <c:v>-0.2</c:v>
                </c:pt>
                <c:pt idx="76">
                  <c:v>-0.2</c:v>
                </c:pt>
                <c:pt idx="77">
                  <c:v>-0.2</c:v>
                </c:pt>
                <c:pt idx="78">
                  <c:v>-0.6</c:v>
                </c:pt>
                <c:pt idx="79">
                  <c:v>0.1</c:v>
                </c:pt>
                <c:pt idx="80">
                  <c:v>-0.1</c:v>
                </c:pt>
                <c:pt idx="81">
                  <c:v>0.3</c:v>
                </c:pt>
                <c:pt idx="82">
                  <c:v>0.4</c:v>
                </c:pt>
                <c:pt idx="83">
                  <c:v>0.7</c:v>
                </c:pt>
                <c:pt idx="84">
                  <c:v>1.6</c:v>
                </c:pt>
                <c:pt idx="85">
                  <c:v>1.7</c:v>
                </c:pt>
                <c:pt idx="86">
                  <c:v>0.6</c:v>
                </c:pt>
                <c:pt idx="87">
                  <c:v>1.4</c:v>
                </c:pt>
                <c:pt idx="88">
                  <c:v>0.7</c:v>
                </c:pt>
                <c:pt idx="89">
                  <c:v>1</c:v>
                </c:pt>
                <c:pt idx="90">
                  <c:v>1.5</c:v>
                </c:pt>
                <c:pt idx="91">
                  <c:v>1.5</c:v>
                </c:pt>
                <c:pt idx="92">
                  <c:v>1.4</c:v>
                </c:pt>
                <c:pt idx="93">
                  <c:v>1.3</c:v>
                </c:pt>
                <c:pt idx="94">
                  <c:v>1.5</c:v>
                </c:pt>
                <c:pt idx="95">
                  <c:v>1.2</c:v>
                </c:pt>
                <c:pt idx="96">
                  <c:v>1.5</c:v>
                </c:pt>
                <c:pt idx="97">
                  <c:v>1.3</c:v>
                </c:pt>
                <c:pt idx="98">
                  <c:v>1</c:v>
                </c:pt>
                <c:pt idx="99">
                  <c:v>1</c:v>
                </c:pt>
                <c:pt idx="100">
                  <c:v>1.9</c:v>
                </c:pt>
                <c:pt idx="101">
                  <c:v>1.7</c:v>
                </c:pt>
                <c:pt idx="102">
                  <c:v>1.9</c:v>
                </c:pt>
                <c:pt idx="103">
                  <c:v>1.9</c:v>
                </c:pt>
                <c:pt idx="104">
                  <c:v>1.6</c:v>
                </c:pt>
                <c:pt idx="105">
                  <c:v>1.9</c:v>
                </c:pt>
                <c:pt idx="106">
                  <c:v>1.8</c:v>
                </c:pt>
                <c:pt idx="107">
                  <c:v>1.8</c:v>
                </c:pt>
                <c:pt idx="108">
                  <c:v>2</c:v>
                </c:pt>
                <c:pt idx="109">
                  <c:v>2.6</c:v>
                </c:pt>
                <c:pt idx="110">
                  <c:v>2.9</c:v>
                </c:pt>
                <c:pt idx="111">
                  <c:v>3</c:v>
                </c:pt>
                <c:pt idx="112">
                  <c:v>2.2999999999999998</c:v>
                </c:pt>
                <c:pt idx="113">
                  <c:v>2.7</c:v>
                </c:pt>
                <c:pt idx="114">
                  <c:v>2.6</c:v>
                </c:pt>
                <c:pt idx="115">
                  <c:v>3.1</c:v>
                </c:pt>
                <c:pt idx="116">
                  <c:v>2.7</c:v>
                </c:pt>
                <c:pt idx="117">
                  <c:v>2.8</c:v>
                </c:pt>
                <c:pt idx="118">
                  <c:v>2.6</c:v>
                </c:pt>
                <c:pt idx="119">
                  <c:v>2.8</c:v>
                </c:pt>
                <c:pt idx="120">
                  <c:v>1.7</c:v>
                </c:pt>
                <c:pt idx="121">
                  <c:v>1.3</c:v>
                </c:pt>
                <c:pt idx="122">
                  <c:v>1.1000000000000001</c:v>
                </c:pt>
                <c:pt idx="123">
                  <c:v>1</c:v>
                </c:pt>
                <c:pt idx="124">
                  <c:v>1.1000000000000001</c:v>
                </c:pt>
                <c:pt idx="125">
                  <c:v>1.7</c:v>
                </c:pt>
                <c:pt idx="126">
                  <c:v>1.6</c:v>
                </c:pt>
                <c:pt idx="127">
                  <c:v>0.3</c:v>
                </c:pt>
                <c:pt idx="128">
                  <c:v>1</c:v>
                </c:pt>
                <c:pt idx="129">
                  <c:v>1.2</c:v>
                </c:pt>
                <c:pt idx="130">
                  <c:v>0.7</c:v>
                </c:pt>
                <c:pt idx="131">
                  <c:v>0.9</c:v>
                </c:pt>
                <c:pt idx="132">
                  <c:v>1.6</c:v>
                </c:pt>
                <c:pt idx="133">
                  <c:v>1.9</c:v>
                </c:pt>
                <c:pt idx="134">
                  <c:v>1.9</c:v>
                </c:pt>
                <c:pt idx="135">
                  <c:v>1.7</c:v>
                </c:pt>
                <c:pt idx="136">
                  <c:v>2</c:v>
                </c:pt>
                <c:pt idx="137">
                  <c:v>1.7</c:v>
                </c:pt>
                <c:pt idx="138">
                  <c:v>1.4</c:v>
                </c:pt>
                <c:pt idx="139">
                  <c:v>2.7</c:v>
                </c:pt>
                <c:pt idx="140">
                  <c:v>3</c:v>
                </c:pt>
                <c:pt idx="141">
                  <c:v>3.7</c:v>
                </c:pt>
                <c:pt idx="142">
                  <c:v>5.9</c:v>
                </c:pt>
                <c:pt idx="143">
                  <c:v>6.4</c:v>
                </c:pt>
                <c:pt idx="144">
                  <c:v>7.6</c:v>
                </c:pt>
                <c:pt idx="145">
                  <c:v>7.3</c:v>
                </c:pt>
                <c:pt idx="146">
                  <c:v>11.7</c:v>
                </c:pt>
                <c:pt idx="147">
                  <c:v>11.2</c:v>
                </c:pt>
                <c:pt idx="148">
                  <c:v>10.199999999999999</c:v>
                </c:pt>
                <c:pt idx="149">
                  <c:v>9.9</c:v>
                </c:pt>
                <c:pt idx="150">
                  <c:v>11.6</c:v>
                </c:pt>
                <c:pt idx="151">
                  <c:v>13.7</c:v>
                </c:pt>
                <c:pt idx="152">
                  <c:v>17.100000000000001</c:v>
                </c:pt>
                <c:pt idx="153">
                  <c:v>16.8</c:v>
                </c:pt>
                <c:pt idx="154">
                  <c:v>11.3</c:v>
                </c:pt>
                <c:pt idx="155">
                  <c:v>11</c:v>
                </c:pt>
                <c:pt idx="156">
                  <c:v>8.4</c:v>
                </c:pt>
                <c:pt idx="157">
                  <c:v>8.9</c:v>
                </c:pt>
                <c:pt idx="158">
                  <c:v>4.5</c:v>
                </c:pt>
                <c:pt idx="159">
                  <c:v>5.8</c:v>
                </c:pt>
                <c:pt idx="160">
                  <c:v>6.8</c:v>
                </c:pt>
                <c:pt idx="161">
                  <c:v>6.4</c:v>
                </c:pt>
                <c:pt idx="162">
                  <c:v>5.3</c:v>
                </c:pt>
                <c:pt idx="163">
                  <c:v>3.4</c:v>
                </c:pt>
                <c:pt idx="164">
                  <c:v>-0.3</c:v>
                </c:pt>
                <c:pt idx="165">
                  <c:v>-1</c:v>
                </c:pt>
                <c:pt idx="166">
                  <c:v>1.4</c:v>
                </c:pt>
                <c:pt idx="167">
                  <c:v>1</c:v>
                </c:pt>
                <c:pt idx="168">
                  <c:v>3.1</c:v>
                </c:pt>
                <c:pt idx="169">
                  <c:v>2.7</c:v>
                </c:pt>
                <c:pt idx="170">
                  <c:v>3.1</c:v>
                </c:pt>
                <c:pt idx="171">
                  <c:v>2.6</c:v>
                </c:pt>
                <c:pt idx="172">
                  <c:v>2.7</c:v>
                </c:pt>
                <c:pt idx="173">
                  <c:v>3.4</c:v>
                </c:pt>
                <c:pt idx="174">
                  <c:v>3.5</c:v>
                </c:pt>
                <c:pt idx="175">
                  <c:v>3.3</c:v>
                </c:pt>
                <c:pt idx="176">
                  <c:v>3.3</c:v>
                </c:pt>
                <c:pt idx="177">
                  <c:v>3.3</c:v>
                </c:pt>
                <c:pt idx="178">
                  <c:v>3.8</c:v>
                </c:pt>
                <c:pt idx="179">
                  <c:v>3.9</c:v>
                </c:pt>
                <c:pt idx="180">
                  <c:v>3</c:v>
                </c:pt>
                <c:pt idx="181">
                  <c:v>3.5</c:v>
                </c:pt>
              </c:numCache>
            </c:numRef>
          </c:val>
          <c:smooth val="0"/>
          <c:extLst>
            <c:ext xmlns:c15="http://schemas.microsoft.com/office/drawing/2012/chart" uri="{02D57815-91ED-43cb-92C2-25804820EDAC}">
              <c15:filteredSeriesTitle>
                <c15:tx>
                  <c:strRef>
                    <c:extLst>
                      <c:ext uri="{02D57815-91ED-43cb-92C2-25804820EDAC}">
                        <c15:formulaRef>
                          <c15:sqref>'ECB Data Portal_20250214152313'!$B$1</c15:sqref>
                        </c15:formulaRef>
                      </c:ext>
                    </c:extLst>
                    <c:strCache>
                      <c:ptCount val="1"/>
                      <c:pt idx="0">
                        <c:v>Nederland</c:v>
                      </c:pt>
                    </c:strCache>
                  </c:strRef>
                </c15:tx>
              </c15:filteredSeriesTitle>
            </c:ext>
            <c:ext xmlns:c15="http://schemas.microsoft.com/office/drawing/2012/chart" uri="{02D57815-91ED-43cb-92C2-25804820EDAC}">
              <c15:filteredCategoryTitle>
                <c15:cat>
                  <c:numRef>
                    <c:extLst>
                      <c:ext uri="{02D57815-91ED-43cb-92C2-25804820EDAC}">
                        <c15:formulaRef>
                          <c15:sqref>'ECB Data Portal_20250214152313'!$A$2:$A$339</c15:sqref>
                        </c15:formulaRef>
                      </c:ext>
                    </c:extLst>
                    <c:numCache>
                      <c:formatCode>[$-413]mmmm/yy;@</c:formatCode>
                      <c:ptCount val="182"/>
                      <c:pt idx="0">
                        <c:v>40209</c:v>
                      </c:pt>
                      <c:pt idx="1">
                        <c:v>40237</c:v>
                      </c:pt>
                      <c:pt idx="2">
                        <c:v>40268</c:v>
                      </c:pt>
                      <c:pt idx="3">
                        <c:v>40298</c:v>
                      </c:pt>
                      <c:pt idx="4">
                        <c:v>40329</c:v>
                      </c:pt>
                      <c:pt idx="5">
                        <c:v>40359</c:v>
                      </c:pt>
                      <c:pt idx="6">
                        <c:v>40390</c:v>
                      </c:pt>
                      <c:pt idx="7">
                        <c:v>40421</c:v>
                      </c:pt>
                      <c:pt idx="8">
                        <c:v>40451</c:v>
                      </c:pt>
                      <c:pt idx="9">
                        <c:v>40482</c:v>
                      </c:pt>
                      <c:pt idx="10">
                        <c:v>40512</c:v>
                      </c:pt>
                      <c:pt idx="11">
                        <c:v>40543</c:v>
                      </c:pt>
                      <c:pt idx="12">
                        <c:v>40574</c:v>
                      </c:pt>
                      <c:pt idx="13">
                        <c:v>40602</c:v>
                      </c:pt>
                      <c:pt idx="14">
                        <c:v>40633</c:v>
                      </c:pt>
                      <c:pt idx="15">
                        <c:v>40663</c:v>
                      </c:pt>
                      <c:pt idx="16">
                        <c:v>40694</c:v>
                      </c:pt>
                      <c:pt idx="17">
                        <c:v>40724</c:v>
                      </c:pt>
                      <c:pt idx="18">
                        <c:v>40755</c:v>
                      </c:pt>
                      <c:pt idx="19">
                        <c:v>40786</c:v>
                      </c:pt>
                      <c:pt idx="20">
                        <c:v>40816</c:v>
                      </c:pt>
                      <c:pt idx="21">
                        <c:v>40847</c:v>
                      </c:pt>
                      <c:pt idx="22">
                        <c:v>40877</c:v>
                      </c:pt>
                      <c:pt idx="23">
                        <c:v>40908</c:v>
                      </c:pt>
                      <c:pt idx="24">
                        <c:v>40939</c:v>
                      </c:pt>
                      <c:pt idx="25">
                        <c:v>40968</c:v>
                      </c:pt>
                      <c:pt idx="26">
                        <c:v>40999</c:v>
                      </c:pt>
                      <c:pt idx="27">
                        <c:v>41029</c:v>
                      </c:pt>
                      <c:pt idx="28">
                        <c:v>41060</c:v>
                      </c:pt>
                      <c:pt idx="29">
                        <c:v>41090</c:v>
                      </c:pt>
                      <c:pt idx="30">
                        <c:v>41121</c:v>
                      </c:pt>
                      <c:pt idx="31">
                        <c:v>41152</c:v>
                      </c:pt>
                      <c:pt idx="32">
                        <c:v>41182</c:v>
                      </c:pt>
                      <c:pt idx="33">
                        <c:v>41213</c:v>
                      </c:pt>
                      <c:pt idx="34">
                        <c:v>41243</c:v>
                      </c:pt>
                      <c:pt idx="35">
                        <c:v>41274</c:v>
                      </c:pt>
                      <c:pt idx="36">
                        <c:v>41305</c:v>
                      </c:pt>
                      <c:pt idx="37">
                        <c:v>41333</c:v>
                      </c:pt>
                      <c:pt idx="38">
                        <c:v>41364</c:v>
                      </c:pt>
                      <c:pt idx="39">
                        <c:v>41394</c:v>
                      </c:pt>
                      <c:pt idx="40">
                        <c:v>41425</c:v>
                      </c:pt>
                      <c:pt idx="41">
                        <c:v>41455</c:v>
                      </c:pt>
                      <c:pt idx="42">
                        <c:v>41486</c:v>
                      </c:pt>
                      <c:pt idx="43">
                        <c:v>41517</c:v>
                      </c:pt>
                      <c:pt idx="44">
                        <c:v>41547</c:v>
                      </c:pt>
                      <c:pt idx="45">
                        <c:v>41578</c:v>
                      </c:pt>
                      <c:pt idx="46">
                        <c:v>41608</c:v>
                      </c:pt>
                      <c:pt idx="47">
                        <c:v>41639</c:v>
                      </c:pt>
                      <c:pt idx="48">
                        <c:v>41670</c:v>
                      </c:pt>
                      <c:pt idx="49">
                        <c:v>41698</c:v>
                      </c:pt>
                      <c:pt idx="50">
                        <c:v>41729</c:v>
                      </c:pt>
                      <c:pt idx="51">
                        <c:v>41759</c:v>
                      </c:pt>
                      <c:pt idx="52">
                        <c:v>41790</c:v>
                      </c:pt>
                      <c:pt idx="53">
                        <c:v>41820</c:v>
                      </c:pt>
                      <c:pt idx="54">
                        <c:v>41851</c:v>
                      </c:pt>
                      <c:pt idx="55">
                        <c:v>41882</c:v>
                      </c:pt>
                      <c:pt idx="56">
                        <c:v>41912</c:v>
                      </c:pt>
                      <c:pt idx="57">
                        <c:v>41943</c:v>
                      </c:pt>
                      <c:pt idx="58">
                        <c:v>41973</c:v>
                      </c:pt>
                      <c:pt idx="59">
                        <c:v>42004</c:v>
                      </c:pt>
                      <c:pt idx="60">
                        <c:v>42035</c:v>
                      </c:pt>
                      <c:pt idx="61">
                        <c:v>42063</c:v>
                      </c:pt>
                      <c:pt idx="62">
                        <c:v>42094</c:v>
                      </c:pt>
                      <c:pt idx="63">
                        <c:v>42124</c:v>
                      </c:pt>
                      <c:pt idx="64">
                        <c:v>42155</c:v>
                      </c:pt>
                      <c:pt idx="65">
                        <c:v>42185</c:v>
                      </c:pt>
                      <c:pt idx="66">
                        <c:v>42216</c:v>
                      </c:pt>
                      <c:pt idx="67">
                        <c:v>42247</c:v>
                      </c:pt>
                      <c:pt idx="68">
                        <c:v>42277</c:v>
                      </c:pt>
                      <c:pt idx="69">
                        <c:v>42308</c:v>
                      </c:pt>
                      <c:pt idx="70">
                        <c:v>42338</c:v>
                      </c:pt>
                      <c:pt idx="71">
                        <c:v>42369</c:v>
                      </c:pt>
                      <c:pt idx="72">
                        <c:v>42400</c:v>
                      </c:pt>
                      <c:pt idx="73">
                        <c:v>42429</c:v>
                      </c:pt>
                      <c:pt idx="74">
                        <c:v>42460</c:v>
                      </c:pt>
                      <c:pt idx="75">
                        <c:v>42490</c:v>
                      </c:pt>
                      <c:pt idx="76">
                        <c:v>42521</c:v>
                      </c:pt>
                      <c:pt idx="77">
                        <c:v>42551</c:v>
                      </c:pt>
                      <c:pt idx="78">
                        <c:v>42582</c:v>
                      </c:pt>
                      <c:pt idx="79">
                        <c:v>42613</c:v>
                      </c:pt>
                      <c:pt idx="80">
                        <c:v>42643</c:v>
                      </c:pt>
                      <c:pt idx="81">
                        <c:v>42674</c:v>
                      </c:pt>
                      <c:pt idx="82">
                        <c:v>42704</c:v>
                      </c:pt>
                      <c:pt idx="83">
                        <c:v>42735</c:v>
                      </c:pt>
                      <c:pt idx="84">
                        <c:v>42766</c:v>
                      </c:pt>
                      <c:pt idx="85">
                        <c:v>42794</c:v>
                      </c:pt>
                      <c:pt idx="86">
                        <c:v>42825</c:v>
                      </c:pt>
                      <c:pt idx="87">
                        <c:v>42855</c:v>
                      </c:pt>
                      <c:pt idx="88">
                        <c:v>42886</c:v>
                      </c:pt>
                      <c:pt idx="89">
                        <c:v>42916</c:v>
                      </c:pt>
                      <c:pt idx="90">
                        <c:v>42947</c:v>
                      </c:pt>
                      <c:pt idx="91">
                        <c:v>42978</c:v>
                      </c:pt>
                      <c:pt idx="92">
                        <c:v>43008</c:v>
                      </c:pt>
                      <c:pt idx="93">
                        <c:v>43039</c:v>
                      </c:pt>
                      <c:pt idx="94">
                        <c:v>43069</c:v>
                      </c:pt>
                      <c:pt idx="95">
                        <c:v>43100</c:v>
                      </c:pt>
                      <c:pt idx="96">
                        <c:v>43131</c:v>
                      </c:pt>
                      <c:pt idx="97">
                        <c:v>43159</c:v>
                      </c:pt>
                      <c:pt idx="98">
                        <c:v>43190</c:v>
                      </c:pt>
                      <c:pt idx="99">
                        <c:v>43220</c:v>
                      </c:pt>
                      <c:pt idx="100">
                        <c:v>43251</c:v>
                      </c:pt>
                      <c:pt idx="101">
                        <c:v>43281</c:v>
                      </c:pt>
                      <c:pt idx="102">
                        <c:v>43312</c:v>
                      </c:pt>
                      <c:pt idx="103">
                        <c:v>43343</c:v>
                      </c:pt>
                      <c:pt idx="104">
                        <c:v>43373</c:v>
                      </c:pt>
                      <c:pt idx="105">
                        <c:v>43404</c:v>
                      </c:pt>
                      <c:pt idx="106">
                        <c:v>43434</c:v>
                      </c:pt>
                      <c:pt idx="107">
                        <c:v>43465</c:v>
                      </c:pt>
                      <c:pt idx="108">
                        <c:v>43496</c:v>
                      </c:pt>
                      <c:pt idx="109">
                        <c:v>43524</c:v>
                      </c:pt>
                      <c:pt idx="110">
                        <c:v>43555</c:v>
                      </c:pt>
                      <c:pt idx="111">
                        <c:v>43585</c:v>
                      </c:pt>
                      <c:pt idx="112">
                        <c:v>43616</c:v>
                      </c:pt>
                      <c:pt idx="113">
                        <c:v>43646</c:v>
                      </c:pt>
                      <c:pt idx="114">
                        <c:v>43677</c:v>
                      </c:pt>
                      <c:pt idx="115">
                        <c:v>43708</c:v>
                      </c:pt>
                      <c:pt idx="116">
                        <c:v>43738</c:v>
                      </c:pt>
                      <c:pt idx="117">
                        <c:v>43769</c:v>
                      </c:pt>
                      <c:pt idx="118">
                        <c:v>43799</c:v>
                      </c:pt>
                      <c:pt idx="119">
                        <c:v>43830</c:v>
                      </c:pt>
                      <c:pt idx="120">
                        <c:v>43861</c:v>
                      </c:pt>
                      <c:pt idx="121">
                        <c:v>43890</c:v>
                      </c:pt>
                      <c:pt idx="122">
                        <c:v>43921</c:v>
                      </c:pt>
                      <c:pt idx="123">
                        <c:v>43951</c:v>
                      </c:pt>
                      <c:pt idx="124">
                        <c:v>43982</c:v>
                      </c:pt>
                      <c:pt idx="125">
                        <c:v>44012</c:v>
                      </c:pt>
                      <c:pt idx="126">
                        <c:v>44043</c:v>
                      </c:pt>
                      <c:pt idx="127">
                        <c:v>44074</c:v>
                      </c:pt>
                      <c:pt idx="128">
                        <c:v>44104</c:v>
                      </c:pt>
                      <c:pt idx="129">
                        <c:v>44135</c:v>
                      </c:pt>
                      <c:pt idx="130">
                        <c:v>44165</c:v>
                      </c:pt>
                      <c:pt idx="131">
                        <c:v>44196</c:v>
                      </c:pt>
                      <c:pt idx="132">
                        <c:v>44227</c:v>
                      </c:pt>
                      <c:pt idx="133">
                        <c:v>44255</c:v>
                      </c:pt>
                      <c:pt idx="134">
                        <c:v>44286</c:v>
                      </c:pt>
                      <c:pt idx="135">
                        <c:v>44316</c:v>
                      </c:pt>
                      <c:pt idx="136">
                        <c:v>44347</c:v>
                      </c:pt>
                      <c:pt idx="137">
                        <c:v>44377</c:v>
                      </c:pt>
                      <c:pt idx="138">
                        <c:v>44408</c:v>
                      </c:pt>
                      <c:pt idx="139">
                        <c:v>44439</c:v>
                      </c:pt>
                      <c:pt idx="140">
                        <c:v>44469</c:v>
                      </c:pt>
                      <c:pt idx="141">
                        <c:v>44500</c:v>
                      </c:pt>
                      <c:pt idx="142">
                        <c:v>44530</c:v>
                      </c:pt>
                      <c:pt idx="143">
                        <c:v>44561</c:v>
                      </c:pt>
                      <c:pt idx="144">
                        <c:v>44592</c:v>
                      </c:pt>
                      <c:pt idx="145">
                        <c:v>44620</c:v>
                      </c:pt>
                      <c:pt idx="146">
                        <c:v>44651</c:v>
                      </c:pt>
                      <c:pt idx="147">
                        <c:v>44681</c:v>
                      </c:pt>
                      <c:pt idx="148">
                        <c:v>44712</c:v>
                      </c:pt>
                      <c:pt idx="149">
                        <c:v>44742</c:v>
                      </c:pt>
                      <c:pt idx="150">
                        <c:v>44773</c:v>
                      </c:pt>
                      <c:pt idx="151">
                        <c:v>44804</c:v>
                      </c:pt>
                      <c:pt idx="152">
                        <c:v>44834</c:v>
                      </c:pt>
                      <c:pt idx="153">
                        <c:v>44865</c:v>
                      </c:pt>
                      <c:pt idx="154">
                        <c:v>44895</c:v>
                      </c:pt>
                      <c:pt idx="155">
                        <c:v>44926</c:v>
                      </c:pt>
                      <c:pt idx="156">
                        <c:v>44957</c:v>
                      </c:pt>
                      <c:pt idx="157">
                        <c:v>44985</c:v>
                      </c:pt>
                      <c:pt idx="158">
                        <c:v>45016</c:v>
                      </c:pt>
                      <c:pt idx="159">
                        <c:v>45046</c:v>
                      </c:pt>
                      <c:pt idx="160">
                        <c:v>45077</c:v>
                      </c:pt>
                      <c:pt idx="161">
                        <c:v>45107</c:v>
                      </c:pt>
                      <c:pt idx="162">
                        <c:v>45138</c:v>
                      </c:pt>
                      <c:pt idx="163">
                        <c:v>45169</c:v>
                      </c:pt>
                      <c:pt idx="164">
                        <c:v>45199</c:v>
                      </c:pt>
                      <c:pt idx="165">
                        <c:v>45230</c:v>
                      </c:pt>
                      <c:pt idx="166">
                        <c:v>45260</c:v>
                      </c:pt>
                      <c:pt idx="167">
                        <c:v>45291</c:v>
                      </c:pt>
                      <c:pt idx="168">
                        <c:v>45322</c:v>
                      </c:pt>
                      <c:pt idx="169">
                        <c:v>45351</c:v>
                      </c:pt>
                      <c:pt idx="170">
                        <c:v>45382</c:v>
                      </c:pt>
                      <c:pt idx="171">
                        <c:v>45412</c:v>
                      </c:pt>
                      <c:pt idx="172">
                        <c:v>45443</c:v>
                      </c:pt>
                      <c:pt idx="173">
                        <c:v>45473</c:v>
                      </c:pt>
                      <c:pt idx="174">
                        <c:v>45504</c:v>
                      </c:pt>
                      <c:pt idx="175">
                        <c:v>45535</c:v>
                      </c:pt>
                      <c:pt idx="176">
                        <c:v>45565</c:v>
                      </c:pt>
                      <c:pt idx="177">
                        <c:v>45596</c:v>
                      </c:pt>
                      <c:pt idx="178">
                        <c:v>45626</c:v>
                      </c:pt>
                      <c:pt idx="179">
                        <c:v>45657</c:v>
                      </c:pt>
                      <c:pt idx="180">
                        <c:v>45688</c:v>
                      </c:pt>
                      <c:pt idx="181">
                        <c:v>45689</c:v>
                      </c:pt>
                    </c:numCache>
                  </c:numRef>
                </c15:cat>
              </c15:filteredCategoryTitle>
            </c:ext>
            <c:ext xmlns:c16="http://schemas.microsoft.com/office/drawing/2014/chart" uri="{C3380CC4-5D6E-409C-BE32-E72D297353CC}">
              <c16:uniqueId val="{00000000-99F0-4FA5-885D-D63C18D29EEF}"/>
            </c:ext>
          </c:extLst>
        </c:ser>
        <c:ser>
          <c:idx val="1"/>
          <c:order val="1"/>
          <c:spPr>
            <a:ln w="28575" cap="rnd">
              <a:solidFill>
                <a:schemeClr val="accent2"/>
              </a:solidFill>
              <a:round/>
            </a:ln>
            <a:effectLst/>
          </c:spPr>
          <c:marker>
            <c:symbol val="none"/>
          </c:marker>
          <c:val>
            <c:numRef>
              <c:f>'ECB Data Portal_20250214152313'!$C$2:$C$339</c:f>
              <c:numCache>
                <c:formatCode>General</c:formatCode>
                <c:ptCount val="182"/>
                <c:pt idx="0">
                  <c:v>0.9</c:v>
                </c:pt>
                <c:pt idx="1">
                  <c:v>0.8</c:v>
                </c:pt>
                <c:pt idx="2">
                  <c:v>1.6</c:v>
                </c:pt>
                <c:pt idx="3">
                  <c:v>1.6</c:v>
                </c:pt>
                <c:pt idx="4">
                  <c:v>1.7</c:v>
                </c:pt>
                <c:pt idx="5">
                  <c:v>1.5</c:v>
                </c:pt>
                <c:pt idx="6">
                  <c:v>1.7</c:v>
                </c:pt>
                <c:pt idx="7">
                  <c:v>1.6</c:v>
                </c:pt>
                <c:pt idx="8">
                  <c:v>1.9</c:v>
                </c:pt>
                <c:pt idx="9">
                  <c:v>1.9</c:v>
                </c:pt>
                <c:pt idx="10">
                  <c:v>1.9</c:v>
                </c:pt>
                <c:pt idx="11">
                  <c:v>2.2000000000000002</c:v>
                </c:pt>
                <c:pt idx="12">
                  <c:v>2.2999999999999998</c:v>
                </c:pt>
                <c:pt idx="13">
                  <c:v>2.4</c:v>
                </c:pt>
                <c:pt idx="14">
                  <c:v>2.7</c:v>
                </c:pt>
                <c:pt idx="15">
                  <c:v>2.8</c:v>
                </c:pt>
                <c:pt idx="16">
                  <c:v>2.7</c:v>
                </c:pt>
                <c:pt idx="17">
                  <c:v>2.7</c:v>
                </c:pt>
                <c:pt idx="18">
                  <c:v>2.6</c:v>
                </c:pt>
                <c:pt idx="19">
                  <c:v>2.5</c:v>
                </c:pt>
                <c:pt idx="20">
                  <c:v>3</c:v>
                </c:pt>
                <c:pt idx="21">
                  <c:v>3</c:v>
                </c:pt>
                <c:pt idx="22">
                  <c:v>3</c:v>
                </c:pt>
                <c:pt idx="23">
                  <c:v>2.8</c:v>
                </c:pt>
                <c:pt idx="24">
                  <c:v>2.7</c:v>
                </c:pt>
                <c:pt idx="25">
                  <c:v>2.7</c:v>
                </c:pt>
                <c:pt idx="26">
                  <c:v>2.7</c:v>
                </c:pt>
                <c:pt idx="27">
                  <c:v>2.6</c:v>
                </c:pt>
                <c:pt idx="28">
                  <c:v>2.4</c:v>
                </c:pt>
                <c:pt idx="29">
                  <c:v>2.4</c:v>
                </c:pt>
                <c:pt idx="30">
                  <c:v>2.4</c:v>
                </c:pt>
                <c:pt idx="31">
                  <c:v>2.6</c:v>
                </c:pt>
                <c:pt idx="32">
                  <c:v>2.6</c:v>
                </c:pt>
                <c:pt idx="33">
                  <c:v>2.5</c:v>
                </c:pt>
                <c:pt idx="34">
                  <c:v>2.2000000000000002</c:v>
                </c:pt>
                <c:pt idx="35">
                  <c:v>2.2000000000000002</c:v>
                </c:pt>
                <c:pt idx="36">
                  <c:v>2</c:v>
                </c:pt>
                <c:pt idx="37">
                  <c:v>1.9</c:v>
                </c:pt>
                <c:pt idx="38">
                  <c:v>1.7</c:v>
                </c:pt>
                <c:pt idx="39">
                  <c:v>1.2</c:v>
                </c:pt>
                <c:pt idx="40">
                  <c:v>1.4</c:v>
                </c:pt>
                <c:pt idx="41">
                  <c:v>1.6</c:v>
                </c:pt>
                <c:pt idx="42">
                  <c:v>1.6</c:v>
                </c:pt>
                <c:pt idx="43">
                  <c:v>1.3</c:v>
                </c:pt>
                <c:pt idx="44">
                  <c:v>1.1000000000000001</c:v>
                </c:pt>
                <c:pt idx="45">
                  <c:v>0.7</c:v>
                </c:pt>
                <c:pt idx="46">
                  <c:v>0.9</c:v>
                </c:pt>
                <c:pt idx="47">
                  <c:v>0.8</c:v>
                </c:pt>
                <c:pt idx="48">
                  <c:v>0.8</c:v>
                </c:pt>
                <c:pt idx="49">
                  <c:v>0.7</c:v>
                </c:pt>
                <c:pt idx="50">
                  <c:v>0.5</c:v>
                </c:pt>
                <c:pt idx="51">
                  <c:v>0.7</c:v>
                </c:pt>
                <c:pt idx="52">
                  <c:v>0.5</c:v>
                </c:pt>
                <c:pt idx="53">
                  <c:v>0.5</c:v>
                </c:pt>
                <c:pt idx="54">
                  <c:v>0.4</c:v>
                </c:pt>
                <c:pt idx="55">
                  <c:v>0.4</c:v>
                </c:pt>
                <c:pt idx="56">
                  <c:v>0.3</c:v>
                </c:pt>
                <c:pt idx="57">
                  <c:v>0.4</c:v>
                </c:pt>
                <c:pt idx="58">
                  <c:v>0.3</c:v>
                </c:pt>
                <c:pt idx="59">
                  <c:v>-0.2</c:v>
                </c:pt>
                <c:pt idx="60">
                  <c:v>-0.6</c:v>
                </c:pt>
                <c:pt idx="61">
                  <c:v>-0.3</c:v>
                </c:pt>
                <c:pt idx="62">
                  <c:v>-0.1</c:v>
                </c:pt>
                <c:pt idx="63">
                  <c:v>0.2</c:v>
                </c:pt>
                <c:pt idx="64">
                  <c:v>0.6</c:v>
                </c:pt>
                <c:pt idx="65">
                  <c:v>0.5</c:v>
                </c:pt>
                <c:pt idx="66">
                  <c:v>0.5</c:v>
                </c:pt>
                <c:pt idx="67">
                  <c:v>0.4</c:v>
                </c:pt>
                <c:pt idx="68">
                  <c:v>0.2</c:v>
                </c:pt>
                <c:pt idx="69">
                  <c:v>0.4</c:v>
                </c:pt>
                <c:pt idx="70">
                  <c:v>0.1</c:v>
                </c:pt>
                <c:pt idx="71">
                  <c:v>0.3</c:v>
                </c:pt>
                <c:pt idx="72">
                  <c:v>0.3</c:v>
                </c:pt>
                <c:pt idx="73">
                  <c:v>-0.1</c:v>
                </c:pt>
                <c:pt idx="74">
                  <c:v>0</c:v>
                </c:pt>
                <c:pt idx="75">
                  <c:v>-0.3</c:v>
                </c:pt>
                <c:pt idx="76">
                  <c:v>-0.1</c:v>
                </c:pt>
                <c:pt idx="77">
                  <c:v>0</c:v>
                </c:pt>
                <c:pt idx="78">
                  <c:v>0.2</c:v>
                </c:pt>
                <c:pt idx="79">
                  <c:v>0.2</c:v>
                </c:pt>
                <c:pt idx="80">
                  <c:v>0.4</c:v>
                </c:pt>
                <c:pt idx="81">
                  <c:v>0.5</c:v>
                </c:pt>
                <c:pt idx="82">
                  <c:v>0.6</c:v>
                </c:pt>
                <c:pt idx="83">
                  <c:v>1.1000000000000001</c:v>
                </c:pt>
                <c:pt idx="84">
                  <c:v>1.7</c:v>
                </c:pt>
                <c:pt idx="85">
                  <c:v>2</c:v>
                </c:pt>
                <c:pt idx="86">
                  <c:v>1.5</c:v>
                </c:pt>
                <c:pt idx="87">
                  <c:v>1.9</c:v>
                </c:pt>
                <c:pt idx="88">
                  <c:v>1.4</c:v>
                </c:pt>
                <c:pt idx="89">
                  <c:v>1.3</c:v>
                </c:pt>
                <c:pt idx="90">
                  <c:v>1.3</c:v>
                </c:pt>
                <c:pt idx="91">
                  <c:v>1.5</c:v>
                </c:pt>
                <c:pt idx="92">
                  <c:v>1.6</c:v>
                </c:pt>
                <c:pt idx="93">
                  <c:v>1.4</c:v>
                </c:pt>
                <c:pt idx="94">
                  <c:v>1.5</c:v>
                </c:pt>
                <c:pt idx="95">
                  <c:v>1.3</c:v>
                </c:pt>
                <c:pt idx="96">
                  <c:v>1.3</c:v>
                </c:pt>
                <c:pt idx="97">
                  <c:v>1.1000000000000001</c:v>
                </c:pt>
                <c:pt idx="98">
                  <c:v>1.4</c:v>
                </c:pt>
                <c:pt idx="99">
                  <c:v>1.2</c:v>
                </c:pt>
                <c:pt idx="100">
                  <c:v>2</c:v>
                </c:pt>
                <c:pt idx="101">
                  <c:v>2</c:v>
                </c:pt>
                <c:pt idx="102">
                  <c:v>2.2000000000000002</c:v>
                </c:pt>
                <c:pt idx="103">
                  <c:v>2.1</c:v>
                </c:pt>
                <c:pt idx="104">
                  <c:v>2.1</c:v>
                </c:pt>
                <c:pt idx="105">
                  <c:v>2.2999999999999998</c:v>
                </c:pt>
                <c:pt idx="106">
                  <c:v>1.9</c:v>
                </c:pt>
                <c:pt idx="107">
                  <c:v>1.5</c:v>
                </c:pt>
                <c:pt idx="108">
                  <c:v>1.4</c:v>
                </c:pt>
                <c:pt idx="109">
                  <c:v>1.5</c:v>
                </c:pt>
                <c:pt idx="110">
                  <c:v>1.4</c:v>
                </c:pt>
                <c:pt idx="111">
                  <c:v>1.7</c:v>
                </c:pt>
                <c:pt idx="112">
                  <c:v>1.2</c:v>
                </c:pt>
                <c:pt idx="113">
                  <c:v>1.3</c:v>
                </c:pt>
                <c:pt idx="114">
                  <c:v>1</c:v>
                </c:pt>
                <c:pt idx="115">
                  <c:v>1</c:v>
                </c:pt>
                <c:pt idx="116">
                  <c:v>0.8</c:v>
                </c:pt>
                <c:pt idx="117">
                  <c:v>0.7</c:v>
                </c:pt>
                <c:pt idx="118">
                  <c:v>1</c:v>
                </c:pt>
                <c:pt idx="119">
                  <c:v>1.3</c:v>
                </c:pt>
                <c:pt idx="120">
                  <c:v>1.4</c:v>
                </c:pt>
                <c:pt idx="121">
                  <c:v>1.2</c:v>
                </c:pt>
                <c:pt idx="122">
                  <c:v>0.7</c:v>
                </c:pt>
                <c:pt idx="123">
                  <c:v>0.3</c:v>
                </c:pt>
                <c:pt idx="124">
                  <c:v>0.1</c:v>
                </c:pt>
                <c:pt idx="125">
                  <c:v>0.3</c:v>
                </c:pt>
                <c:pt idx="126">
                  <c:v>0.4</c:v>
                </c:pt>
                <c:pt idx="127">
                  <c:v>-0.2</c:v>
                </c:pt>
                <c:pt idx="128">
                  <c:v>-0.3</c:v>
                </c:pt>
                <c:pt idx="129">
                  <c:v>-0.3</c:v>
                </c:pt>
                <c:pt idx="130">
                  <c:v>-0.3</c:v>
                </c:pt>
                <c:pt idx="131">
                  <c:v>-0.3</c:v>
                </c:pt>
                <c:pt idx="132">
                  <c:v>0.9</c:v>
                </c:pt>
                <c:pt idx="133">
                  <c:v>0.9</c:v>
                </c:pt>
                <c:pt idx="134">
                  <c:v>1.3</c:v>
                </c:pt>
                <c:pt idx="135">
                  <c:v>1.6</c:v>
                </c:pt>
                <c:pt idx="136">
                  <c:v>2</c:v>
                </c:pt>
                <c:pt idx="137">
                  <c:v>1.9</c:v>
                </c:pt>
                <c:pt idx="138">
                  <c:v>2.2000000000000002</c:v>
                </c:pt>
                <c:pt idx="139">
                  <c:v>3</c:v>
                </c:pt>
                <c:pt idx="140">
                  <c:v>3.4</c:v>
                </c:pt>
                <c:pt idx="141">
                  <c:v>4.0999999999999996</c:v>
                </c:pt>
                <c:pt idx="142">
                  <c:v>4.9000000000000004</c:v>
                </c:pt>
                <c:pt idx="143">
                  <c:v>5</c:v>
                </c:pt>
                <c:pt idx="144">
                  <c:v>5.0999999999999996</c:v>
                </c:pt>
                <c:pt idx="145">
                  <c:v>5.9</c:v>
                </c:pt>
                <c:pt idx="146">
                  <c:v>7.4</c:v>
                </c:pt>
                <c:pt idx="147">
                  <c:v>7.4</c:v>
                </c:pt>
                <c:pt idx="148">
                  <c:v>8.1</c:v>
                </c:pt>
                <c:pt idx="149">
                  <c:v>8.6</c:v>
                </c:pt>
                <c:pt idx="150">
                  <c:v>8.9</c:v>
                </c:pt>
                <c:pt idx="151">
                  <c:v>9.1</c:v>
                </c:pt>
                <c:pt idx="152">
                  <c:v>9.9</c:v>
                </c:pt>
                <c:pt idx="153">
                  <c:v>10.6</c:v>
                </c:pt>
                <c:pt idx="154">
                  <c:v>10.1</c:v>
                </c:pt>
                <c:pt idx="155">
                  <c:v>9.1999999999999993</c:v>
                </c:pt>
                <c:pt idx="156">
                  <c:v>8.6</c:v>
                </c:pt>
                <c:pt idx="157">
                  <c:v>8.5</c:v>
                </c:pt>
                <c:pt idx="158">
                  <c:v>6.9</c:v>
                </c:pt>
                <c:pt idx="159">
                  <c:v>7</c:v>
                </c:pt>
                <c:pt idx="160">
                  <c:v>6.1</c:v>
                </c:pt>
                <c:pt idx="161">
                  <c:v>5.5</c:v>
                </c:pt>
                <c:pt idx="162">
                  <c:v>5.3</c:v>
                </c:pt>
                <c:pt idx="163">
                  <c:v>5.2</c:v>
                </c:pt>
                <c:pt idx="164">
                  <c:v>4.3</c:v>
                </c:pt>
                <c:pt idx="165">
                  <c:v>2.9</c:v>
                </c:pt>
                <c:pt idx="166">
                  <c:v>2.4</c:v>
                </c:pt>
                <c:pt idx="167">
                  <c:v>2.9</c:v>
                </c:pt>
                <c:pt idx="168">
                  <c:v>2.8</c:v>
                </c:pt>
                <c:pt idx="169">
                  <c:v>2.6</c:v>
                </c:pt>
                <c:pt idx="170">
                  <c:v>2.4</c:v>
                </c:pt>
                <c:pt idx="171">
                  <c:v>2.4</c:v>
                </c:pt>
                <c:pt idx="172">
                  <c:v>2.6</c:v>
                </c:pt>
                <c:pt idx="173">
                  <c:v>2.5</c:v>
                </c:pt>
                <c:pt idx="174">
                  <c:v>2.6</c:v>
                </c:pt>
                <c:pt idx="175">
                  <c:v>2.2000000000000002</c:v>
                </c:pt>
                <c:pt idx="176">
                  <c:v>1.7</c:v>
                </c:pt>
                <c:pt idx="177">
                  <c:v>2</c:v>
                </c:pt>
                <c:pt idx="178">
                  <c:v>2.2000000000000002</c:v>
                </c:pt>
                <c:pt idx="179">
                  <c:v>2.4</c:v>
                </c:pt>
                <c:pt idx="180">
                  <c:v>2.5</c:v>
                </c:pt>
                <c:pt idx="181">
                  <c:v>2.4</c:v>
                </c:pt>
              </c:numCache>
            </c:numRef>
          </c:val>
          <c:smooth val="0"/>
          <c:extLst>
            <c:ext xmlns:c15="http://schemas.microsoft.com/office/drawing/2012/chart" uri="{02D57815-91ED-43cb-92C2-25804820EDAC}">
              <c15:filteredSeriesTitle>
                <c15:tx>
                  <c:strRef>
                    <c:extLst>
                      <c:ext uri="{02D57815-91ED-43cb-92C2-25804820EDAC}">
                        <c15:formulaRef>
                          <c15:sqref>'ECB Data Portal_20250214152313'!$C$1</c15:sqref>
                        </c15:formulaRef>
                      </c:ext>
                    </c:extLst>
                    <c:strCache>
                      <c:ptCount val="1"/>
                      <c:pt idx="0">
                        <c:v>Eurozone</c:v>
                      </c:pt>
                    </c:strCache>
                  </c:strRef>
                </c15:tx>
              </c15:filteredSeriesTitle>
            </c:ext>
            <c:ext xmlns:c15="http://schemas.microsoft.com/office/drawing/2012/chart" uri="{02D57815-91ED-43cb-92C2-25804820EDAC}">
              <c15:filteredCategoryTitle>
                <c15:cat>
                  <c:numRef>
                    <c:extLst>
                      <c:ext uri="{02D57815-91ED-43cb-92C2-25804820EDAC}">
                        <c15:formulaRef>
                          <c15:sqref>'ECB Data Portal_20250214152313'!$A$2:$A$339</c15:sqref>
                        </c15:formulaRef>
                      </c:ext>
                    </c:extLst>
                    <c:numCache>
                      <c:formatCode>[$-413]mmmm/yy;@</c:formatCode>
                      <c:ptCount val="182"/>
                      <c:pt idx="0">
                        <c:v>40209</c:v>
                      </c:pt>
                      <c:pt idx="1">
                        <c:v>40237</c:v>
                      </c:pt>
                      <c:pt idx="2">
                        <c:v>40268</c:v>
                      </c:pt>
                      <c:pt idx="3">
                        <c:v>40298</c:v>
                      </c:pt>
                      <c:pt idx="4">
                        <c:v>40329</c:v>
                      </c:pt>
                      <c:pt idx="5">
                        <c:v>40359</c:v>
                      </c:pt>
                      <c:pt idx="6">
                        <c:v>40390</c:v>
                      </c:pt>
                      <c:pt idx="7">
                        <c:v>40421</c:v>
                      </c:pt>
                      <c:pt idx="8">
                        <c:v>40451</c:v>
                      </c:pt>
                      <c:pt idx="9">
                        <c:v>40482</c:v>
                      </c:pt>
                      <c:pt idx="10">
                        <c:v>40512</c:v>
                      </c:pt>
                      <c:pt idx="11">
                        <c:v>40543</c:v>
                      </c:pt>
                      <c:pt idx="12">
                        <c:v>40574</c:v>
                      </c:pt>
                      <c:pt idx="13">
                        <c:v>40602</c:v>
                      </c:pt>
                      <c:pt idx="14">
                        <c:v>40633</c:v>
                      </c:pt>
                      <c:pt idx="15">
                        <c:v>40663</c:v>
                      </c:pt>
                      <c:pt idx="16">
                        <c:v>40694</c:v>
                      </c:pt>
                      <c:pt idx="17">
                        <c:v>40724</c:v>
                      </c:pt>
                      <c:pt idx="18">
                        <c:v>40755</c:v>
                      </c:pt>
                      <c:pt idx="19">
                        <c:v>40786</c:v>
                      </c:pt>
                      <c:pt idx="20">
                        <c:v>40816</c:v>
                      </c:pt>
                      <c:pt idx="21">
                        <c:v>40847</c:v>
                      </c:pt>
                      <c:pt idx="22">
                        <c:v>40877</c:v>
                      </c:pt>
                      <c:pt idx="23">
                        <c:v>40908</c:v>
                      </c:pt>
                      <c:pt idx="24">
                        <c:v>40939</c:v>
                      </c:pt>
                      <c:pt idx="25">
                        <c:v>40968</c:v>
                      </c:pt>
                      <c:pt idx="26">
                        <c:v>40999</c:v>
                      </c:pt>
                      <c:pt idx="27">
                        <c:v>41029</c:v>
                      </c:pt>
                      <c:pt idx="28">
                        <c:v>41060</c:v>
                      </c:pt>
                      <c:pt idx="29">
                        <c:v>41090</c:v>
                      </c:pt>
                      <c:pt idx="30">
                        <c:v>41121</c:v>
                      </c:pt>
                      <c:pt idx="31">
                        <c:v>41152</c:v>
                      </c:pt>
                      <c:pt idx="32">
                        <c:v>41182</c:v>
                      </c:pt>
                      <c:pt idx="33">
                        <c:v>41213</c:v>
                      </c:pt>
                      <c:pt idx="34">
                        <c:v>41243</c:v>
                      </c:pt>
                      <c:pt idx="35">
                        <c:v>41274</c:v>
                      </c:pt>
                      <c:pt idx="36">
                        <c:v>41305</c:v>
                      </c:pt>
                      <c:pt idx="37">
                        <c:v>41333</c:v>
                      </c:pt>
                      <c:pt idx="38">
                        <c:v>41364</c:v>
                      </c:pt>
                      <c:pt idx="39">
                        <c:v>41394</c:v>
                      </c:pt>
                      <c:pt idx="40">
                        <c:v>41425</c:v>
                      </c:pt>
                      <c:pt idx="41">
                        <c:v>41455</c:v>
                      </c:pt>
                      <c:pt idx="42">
                        <c:v>41486</c:v>
                      </c:pt>
                      <c:pt idx="43">
                        <c:v>41517</c:v>
                      </c:pt>
                      <c:pt idx="44">
                        <c:v>41547</c:v>
                      </c:pt>
                      <c:pt idx="45">
                        <c:v>41578</c:v>
                      </c:pt>
                      <c:pt idx="46">
                        <c:v>41608</c:v>
                      </c:pt>
                      <c:pt idx="47">
                        <c:v>41639</c:v>
                      </c:pt>
                      <c:pt idx="48">
                        <c:v>41670</c:v>
                      </c:pt>
                      <c:pt idx="49">
                        <c:v>41698</c:v>
                      </c:pt>
                      <c:pt idx="50">
                        <c:v>41729</c:v>
                      </c:pt>
                      <c:pt idx="51">
                        <c:v>41759</c:v>
                      </c:pt>
                      <c:pt idx="52">
                        <c:v>41790</c:v>
                      </c:pt>
                      <c:pt idx="53">
                        <c:v>41820</c:v>
                      </c:pt>
                      <c:pt idx="54">
                        <c:v>41851</c:v>
                      </c:pt>
                      <c:pt idx="55">
                        <c:v>41882</c:v>
                      </c:pt>
                      <c:pt idx="56">
                        <c:v>41912</c:v>
                      </c:pt>
                      <c:pt idx="57">
                        <c:v>41943</c:v>
                      </c:pt>
                      <c:pt idx="58">
                        <c:v>41973</c:v>
                      </c:pt>
                      <c:pt idx="59">
                        <c:v>42004</c:v>
                      </c:pt>
                      <c:pt idx="60">
                        <c:v>42035</c:v>
                      </c:pt>
                      <c:pt idx="61">
                        <c:v>42063</c:v>
                      </c:pt>
                      <c:pt idx="62">
                        <c:v>42094</c:v>
                      </c:pt>
                      <c:pt idx="63">
                        <c:v>42124</c:v>
                      </c:pt>
                      <c:pt idx="64">
                        <c:v>42155</c:v>
                      </c:pt>
                      <c:pt idx="65">
                        <c:v>42185</c:v>
                      </c:pt>
                      <c:pt idx="66">
                        <c:v>42216</c:v>
                      </c:pt>
                      <c:pt idx="67">
                        <c:v>42247</c:v>
                      </c:pt>
                      <c:pt idx="68">
                        <c:v>42277</c:v>
                      </c:pt>
                      <c:pt idx="69">
                        <c:v>42308</c:v>
                      </c:pt>
                      <c:pt idx="70">
                        <c:v>42338</c:v>
                      </c:pt>
                      <c:pt idx="71">
                        <c:v>42369</c:v>
                      </c:pt>
                      <c:pt idx="72">
                        <c:v>42400</c:v>
                      </c:pt>
                      <c:pt idx="73">
                        <c:v>42429</c:v>
                      </c:pt>
                      <c:pt idx="74">
                        <c:v>42460</c:v>
                      </c:pt>
                      <c:pt idx="75">
                        <c:v>42490</c:v>
                      </c:pt>
                      <c:pt idx="76">
                        <c:v>42521</c:v>
                      </c:pt>
                      <c:pt idx="77">
                        <c:v>42551</c:v>
                      </c:pt>
                      <c:pt idx="78">
                        <c:v>42582</c:v>
                      </c:pt>
                      <c:pt idx="79">
                        <c:v>42613</c:v>
                      </c:pt>
                      <c:pt idx="80">
                        <c:v>42643</c:v>
                      </c:pt>
                      <c:pt idx="81">
                        <c:v>42674</c:v>
                      </c:pt>
                      <c:pt idx="82">
                        <c:v>42704</c:v>
                      </c:pt>
                      <c:pt idx="83">
                        <c:v>42735</c:v>
                      </c:pt>
                      <c:pt idx="84">
                        <c:v>42766</c:v>
                      </c:pt>
                      <c:pt idx="85">
                        <c:v>42794</c:v>
                      </c:pt>
                      <c:pt idx="86">
                        <c:v>42825</c:v>
                      </c:pt>
                      <c:pt idx="87">
                        <c:v>42855</c:v>
                      </c:pt>
                      <c:pt idx="88">
                        <c:v>42886</c:v>
                      </c:pt>
                      <c:pt idx="89">
                        <c:v>42916</c:v>
                      </c:pt>
                      <c:pt idx="90">
                        <c:v>42947</c:v>
                      </c:pt>
                      <c:pt idx="91">
                        <c:v>42978</c:v>
                      </c:pt>
                      <c:pt idx="92">
                        <c:v>43008</c:v>
                      </c:pt>
                      <c:pt idx="93">
                        <c:v>43039</c:v>
                      </c:pt>
                      <c:pt idx="94">
                        <c:v>43069</c:v>
                      </c:pt>
                      <c:pt idx="95">
                        <c:v>43100</c:v>
                      </c:pt>
                      <c:pt idx="96">
                        <c:v>43131</c:v>
                      </c:pt>
                      <c:pt idx="97">
                        <c:v>43159</c:v>
                      </c:pt>
                      <c:pt idx="98">
                        <c:v>43190</c:v>
                      </c:pt>
                      <c:pt idx="99">
                        <c:v>43220</c:v>
                      </c:pt>
                      <c:pt idx="100">
                        <c:v>43251</c:v>
                      </c:pt>
                      <c:pt idx="101">
                        <c:v>43281</c:v>
                      </c:pt>
                      <c:pt idx="102">
                        <c:v>43312</c:v>
                      </c:pt>
                      <c:pt idx="103">
                        <c:v>43343</c:v>
                      </c:pt>
                      <c:pt idx="104">
                        <c:v>43373</c:v>
                      </c:pt>
                      <c:pt idx="105">
                        <c:v>43404</c:v>
                      </c:pt>
                      <c:pt idx="106">
                        <c:v>43434</c:v>
                      </c:pt>
                      <c:pt idx="107">
                        <c:v>43465</c:v>
                      </c:pt>
                      <c:pt idx="108">
                        <c:v>43496</c:v>
                      </c:pt>
                      <c:pt idx="109">
                        <c:v>43524</c:v>
                      </c:pt>
                      <c:pt idx="110">
                        <c:v>43555</c:v>
                      </c:pt>
                      <c:pt idx="111">
                        <c:v>43585</c:v>
                      </c:pt>
                      <c:pt idx="112">
                        <c:v>43616</c:v>
                      </c:pt>
                      <c:pt idx="113">
                        <c:v>43646</c:v>
                      </c:pt>
                      <c:pt idx="114">
                        <c:v>43677</c:v>
                      </c:pt>
                      <c:pt idx="115">
                        <c:v>43708</c:v>
                      </c:pt>
                      <c:pt idx="116">
                        <c:v>43738</c:v>
                      </c:pt>
                      <c:pt idx="117">
                        <c:v>43769</c:v>
                      </c:pt>
                      <c:pt idx="118">
                        <c:v>43799</c:v>
                      </c:pt>
                      <c:pt idx="119">
                        <c:v>43830</c:v>
                      </c:pt>
                      <c:pt idx="120">
                        <c:v>43861</c:v>
                      </c:pt>
                      <c:pt idx="121">
                        <c:v>43890</c:v>
                      </c:pt>
                      <c:pt idx="122">
                        <c:v>43921</c:v>
                      </c:pt>
                      <c:pt idx="123">
                        <c:v>43951</c:v>
                      </c:pt>
                      <c:pt idx="124">
                        <c:v>43982</c:v>
                      </c:pt>
                      <c:pt idx="125">
                        <c:v>44012</c:v>
                      </c:pt>
                      <c:pt idx="126">
                        <c:v>44043</c:v>
                      </c:pt>
                      <c:pt idx="127">
                        <c:v>44074</c:v>
                      </c:pt>
                      <c:pt idx="128">
                        <c:v>44104</c:v>
                      </c:pt>
                      <c:pt idx="129">
                        <c:v>44135</c:v>
                      </c:pt>
                      <c:pt idx="130">
                        <c:v>44165</c:v>
                      </c:pt>
                      <c:pt idx="131">
                        <c:v>44196</c:v>
                      </c:pt>
                      <c:pt idx="132">
                        <c:v>44227</c:v>
                      </c:pt>
                      <c:pt idx="133">
                        <c:v>44255</c:v>
                      </c:pt>
                      <c:pt idx="134">
                        <c:v>44286</c:v>
                      </c:pt>
                      <c:pt idx="135">
                        <c:v>44316</c:v>
                      </c:pt>
                      <c:pt idx="136">
                        <c:v>44347</c:v>
                      </c:pt>
                      <c:pt idx="137">
                        <c:v>44377</c:v>
                      </c:pt>
                      <c:pt idx="138">
                        <c:v>44408</c:v>
                      </c:pt>
                      <c:pt idx="139">
                        <c:v>44439</c:v>
                      </c:pt>
                      <c:pt idx="140">
                        <c:v>44469</c:v>
                      </c:pt>
                      <c:pt idx="141">
                        <c:v>44500</c:v>
                      </c:pt>
                      <c:pt idx="142">
                        <c:v>44530</c:v>
                      </c:pt>
                      <c:pt idx="143">
                        <c:v>44561</c:v>
                      </c:pt>
                      <c:pt idx="144">
                        <c:v>44592</c:v>
                      </c:pt>
                      <c:pt idx="145">
                        <c:v>44620</c:v>
                      </c:pt>
                      <c:pt idx="146">
                        <c:v>44651</c:v>
                      </c:pt>
                      <c:pt idx="147">
                        <c:v>44681</c:v>
                      </c:pt>
                      <c:pt idx="148">
                        <c:v>44712</c:v>
                      </c:pt>
                      <c:pt idx="149">
                        <c:v>44742</c:v>
                      </c:pt>
                      <c:pt idx="150">
                        <c:v>44773</c:v>
                      </c:pt>
                      <c:pt idx="151">
                        <c:v>44804</c:v>
                      </c:pt>
                      <c:pt idx="152">
                        <c:v>44834</c:v>
                      </c:pt>
                      <c:pt idx="153">
                        <c:v>44865</c:v>
                      </c:pt>
                      <c:pt idx="154">
                        <c:v>44895</c:v>
                      </c:pt>
                      <c:pt idx="155">
                        <c:v>44926</c:v>
                      </c:pt>
                      <c:pt idx="156">
                        <c:v>44957</c:v>
                      </c:pt>
                      <c:pt idx="157">
                        <c:v>44985</c:v>
                      </c:pt>
                      <c:pt idx="158">
                        <c:v>45016</c:v>
                      </c:pt>
                      <c:pt idx="159">
                        <c:v>45046</c:v>
                      </c:pt>
                      <c:pt idx="160">
                        <c:v>45077</c:v>
                      </c:pt>
                      <c:pt idx="161">
                        <c:v>45107</c:v>
                      </c:pt>
                      <c:pt idx="162">
                        <c:v>45138</c:v>
                      </c:pt>
                      <c:pt idx="163">
                        <c:v>45169</c:v>
                      </c:pt>
                      <c:pt idx="164">
                        <c:v>45199</c:v>
                      </c:pt>
                      <c:pt idx="165">
                        <c:v>45230</c:v>
                      </c:pt>
                      <c:pt idx="166">
                        <c:v>45260</c:v>
                      </c:pt>
                      <c:pt idx="167">
                        <c:v>45291</c:v>
                      </c:pt>
                      <c:pt idx="168">
                        <c:v>45322</c:v>
                      </c:pt>
                      <c:pt idx="169">
                        <c:v>45351</c:v>
                      </c:pt>
                      <c:pt idx="170">
                        <c:v>45382</c:v>
                      </c:pt>
                      <c:pt idx="171">
                        <c:v>45412</c:v>
                      </c:pt>
                      <c:pt idx="172">
                        <c:v>45443</c:v>
                      </c:pt>
                      <c:pt idx="173">
                        <c:v>45473</c:v>
                      </c:pt>
                      <c:pt idx="174">
                        <c:v>45504</c:v>
                      </c:pt>
                      <c:pt idx="175">
                        <c:v>45535</c:v>
                      </c:pt>
                      <c:pt idx="176">
                        <c:v>45565</c:v>
                      </c:pt>
                      <c:pt idx="177">
                        <c:v>45596</c:v>
                      </c:pt>
                      <c:pt idx="178">
                        <c:v>45626</c:v>
                      </c:pt>
                      <c:pt idx="179">
                        <c:v>45657</c:v>
                      </c:pt>
                      <c:pt idx="180">
                        <c:v>45688</c:v>
                      </c:pt>
                      <c:pt idx="181">
                        <c:v>45689</c:v>
                      </c:pt>
                    </c:numCache>
                  </c:numRef>
                </c15:cat>
              </c15:filteredCategoryTitle>
            </c:ext>
            <c:ext xmlns:c16="http://schemas.microsoft.com/office/drawing/2014/chart" uri="{C3380CC4-5D6E-409C-BE32-E72D297353CC}">
              <c16:uniqueId val="{00000001-99F0-4FA5-885D-D63C18D29EEF}"/>
            </c:ext>
          </c:extLst>
        </c:ser>
        <c:dLbls>
          <c:showLegendKey val="0"/>
          <c:showVal val="0"/>
          <c:showCatName val="0"/>
          <c:showSerName val="0"/>
          <c:showPercent val="0"/>
          <c:showBubbleSize val="0"/>
        </c:dLbls>
        <c:smooth val="0"/>
        <c:axId val="1252852256"/>
        <c:axId val="1252847456"/>
      </c:lineChart>
      <c:catAx>
        <c:axId val="1252852256"/>
        <c:scaling>
          <c:orientation val="minMax"/>
        </c:scaling>
        <c:delete val="0"/>
        <c:axPos val="b"/>
        <c:numFmt formatCode="[$-413]\ \ yyyy;@" sourceLinked="0"/>
        <c:majorTickMark val="out"/>
        <c:minorTickMark val="out"/>
        <c:tickLblPos val="low"/>
        <c:spPr>
          <a:noFill/>
          <a:ln w="9525"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252847456"/>
        <c:crosses val="autoZero"/>
        <c:auto val="1"/>
        <c:lblAlgn val="ctr"/>
        <c:lblOffset val="100"/>
        <c:tickLblSkip val="1"/>
        <c:noMultiLvlLbl val="1"/>
      </c:catAx>
      <c:valAx>
        <c:axId val="1252847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a:t>Jaarmutatie (%)</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252852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ysClr val="windowText" lastClr="000000"/>
          </a:solidFill>
          <a:latin typeface="Verdana" panose="020B0604030504040204" pitchFamily="34" charset="0"/>
          <a:ea typeface="Verdana" panose="020B0604030504040204" pitchFamily="34" charset="0"/>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0" i="1"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en-US" i="1"/>
              <a:t>Figuur 2. CPI inflatie en bijdragen (2019 - 2025), jaarmutaties</a:t>
            </a:r>
          </a:p>
        </c:rich>
      </c:tx>
      <c:overlay val="0"/>
      <c:spPr>
        <a:noFill/>
        <a:ln>
          <a:noFill/>
        </a:ln>
        <a:effectLst/>
      </c:spPr>
      <c:txPr>
        <a:bodyPr rot="0" spcFirstLastPara="1" vertOverflow="ellipsis" vert="horz" wrap="square" anchor="ctr" anchorCtr="1"/>
        <a:lstStyle/>
        <a:p>
          <a:pPr>
            <a:defRPr sz="960" b="0" i="1"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autoTitleDeleted val="0"/>
    <c:plotArea>
      <c:layout/>
      <c:barChart>
        <c:barDir val="col"/>
        <c:grouping val="stacked"/>
        <c:varyColors val="0"/>
        <c:ser>
          <c:idx val="1"/>
          <c:order val="1"/>
          <c:tx>
            <c:strRef>
              <c:f>'Bijdrage aan de jaarmutatie CPI'!$C$1</c:f>
              <c:strCache>
                <c:ptCount val="1"/>
                <c:pt idx="0">
                  <c:v>Diensten niet i.v.m. huisvesting</c:v>
                </c:pt>
              </c:strCache>
            </c:strRef>
          </c:tx>
          <c:spPr>
            <a:solidFill>
              <a:schemeClr val="accent2"/>
            </a:solidFill>
            <a:ln>
              <a:noFill/>
            </a:ln>
            <a:effectLst/>
          </c:spPr>
          <c:invertIfNegative val="0"/>
          <c:cat>
            <c:numRef>
              <c:f>'Bijdrage aan de jaarmutatie CPI'!$A$38:$A$111</c:f>
              <c:numCache>
                <c:formatCode>mmm\-yy</c:formatCode>
                <c:ptCount val="74"/>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pt idx="58">
                  <c:v>45231</c:v>
                </c:pt>
                <c:pt idx="59">
                  <c:v>45261</c:v>
                </c:pt>
                <c:pt idx="60">
                  <c:v>45292</c:v>
                </c:pt>
                <c:pt idx="61">
                  <c:v>45323</c:v>
                </c:pt>
                <c:pt idx="62">
                  <c:v>45352</c:v>
                </c:pt>
                <c:pt idx="63">
                  <c:v>45383</c:v>
                </c:pt>
                <c:pt idx="64">
                  <c:v>45413</c:v>
                </c:pt>
                <c:pt idx="65">
                  <c:v>45444</c:v>
                </c:pt>
                <c:pt idx="66">
                  <c:v>45474</c:v>
                </c:pt>
                <c:pt idx="67">
                  <c:v>45505</c:v>
                </c:pt>
                <c:pt idx="68">
                  <c:v>45536</c:v>
                </c:pt>
                <c:pt idx="69">
                  <c:v>45566</c:v>
                </c:pt>
                <c:pt idx="70">
                  <c:v>45597</c:v>
                </c:pt>
                <c:pt idx="71" formatCode="m/d/yyyy">
                  <c:v>45627</c:v>
                </c:pt>
                <c:pt idx="72" formatCode="m/d/yyyy">
                  <c:v>45658</c:v>
                </c:pt>
                <c:pt idx="73" formatCode="m/d/yyyy">
                  <c:v>45689</c:v>
                </c:pt>
              </c:numCache>
            </c:numRef>
          </c:cat>
          <c:val>
            <c:numRef>
              <c:f>'Bijdrage aan de jaarmutatie CPI'!$C$38:$C$111</c:f>
              <c:numCache>
                <c:formatCode>General</c:formatCode>
                <c:ptCount val="74"/>
                <c:pt idx="0">
                  <c:v>0.35</c:v>
                </c:pt>
                <c:pt idx="1">
                  <c:v>0.57999999999999996</c:v>
                </c:pt>
                <c:pt idx="2">
                  <c:v>0.71</c:v>
                </c:pt>
                <c:pt idx="3">
                  <c:v>0.98</c:v>
                </c:pt>
                <c:pt idx="4">
                  <c:v>0.57999999999999996</c:v>
                </c:pt>
                <c:pt idx="5">
                  <c:v>0.93</c:v>
                </c:pt>
                <c:pt idx="6">
                  <c:v>0.77</c:v>
                </c:pt>
                <c:pt idx="7">
                  <c:v>0.92</c:v>
                </c:pt>
                <c:pt idx="8">
                  <c:v>0.88</c:v>
                </c:pt>
                <c:pt idx="9">
                  <c:v>1</c:v>
                </c:pt>
                <c:pt idx="10">
                  <c:v>0.78</c:v>
                </c:pt>
                <c:pt idx="11">
                  <c:v>0.84</c:v>
                </c:pt>
                <c:pt idx="12">
                  <c:v>0.82</c:v>
                </c:pt>
                <c:pt idx="13">
                  <c:v>0.74</c:v>
                </c:pt>
                <c:pt idx="14">
                  <c:v>0.75</c:v>
                </c:pt>
                <c:pt idx="15">
                  <c:v>0.87</c:v>
                </c:pt>
                <c:pt idx="16">
                  <c:v>0.81</c:v>
                </c:pt>
                <c:pt idx="17">
                  <c:v>0.89</c:v>
                </c:pt>
                <c:pt idx="18">
                  <c:v>0.94</c:v>
                </c:pt>
                <c:pt idx="19">
                  <c:v>0.3</c:v>
                </c:pt>
                <c:pt idx="20">
                  <c:v>0.41</c:v>
                </c:pt>
                <c:pt idx="21">
                  <c:v>0.43</c:v>
                </c:pt>
                <c:pt idx="22">
                  <c:v>0.4</c:v>
                </c:pt>
                <c:pt idx="23">
                  <c:v>0.52</c:v>
                </c:pt>
                <c:pt idx="24">
                  <c:v>0.69</c:v>
                </c:pt>
                <c:pt idx="25">
                  <c:v>0.62</c:v>
                </c:pt>
                <c:pt idx="26">
                  <c:v>0.53</c:v>
                </c:pt>
                <c:pt idx="27">
                  <c:v>0.15</c:v>
                </c:pt>
                <c:pt idx="28">
                  <c:v>0.48</c:v>
                </c:pt>
                <c:pt idx="29">
                  <c:v>0.31</c:v>
                </c:pt>
                <c:pt idx="30">
                  <c:v>-0.18</c:v>
                </c:pt>
                <c:pt idx="31">
                  <c:v>0.43</c:v>
                </c:pt>
                <c:pt idx="32">
                  <c:v>0.45</c:v>
                </c:pt>
                <c:pt idx="33">
                  <c:v>0.35</c:v>
                </c:pt>
                <c:pt idx="34">
                  <c:v>0.66</c:v>
                </c:pt>
                <c:pt idx="35">
                  <c:v>0.37</c:v>
                </c:pt>
                <c:pt idx="36">
                  <c:v>0.47</c:v>
                </c:pt>
                <c:pt idx="37">
                  <c:v>0.42</c:v>
                </c:pt>
                <c:pt idx="38">
                  <c:v>0.46</c:v>
                </c:pt>
                <c:pt idx="39">
                  <c:v>0.85</c:v>
                </c:pt>
                <c:pt idx="40">
                  <c:v>0.83</c:v>
                </c:pt>
                <c:pt idx="41">
                  <c:v>0.81</c:v>
                </c:pt>
                <c:pt idx="42">
                  <c:v>1.26</c:v>
                </c:pt>
                <c:pt idx="43">
                  <c:v>1.32</c:v>
                </c:pt>
                <c:pt idx="44">
                  <c:v>1.58</c:v>
                </c:pt>
                <c:pt idx="45">
                  <c:v>1.61</c:v>
                </c:pt>
                <c:pt idx="46">
                  <c:v>1.44</c:v>
                </c:pt>
                <c:pt idx="47">
                  <c:v>1.57</c:v>
                </c:pt>
                <c:pt idx="48">
                  <c:v>1.86</c:v>
                </c:pt>
                <c:pt idx="49">
                  <c:v>2.04</c:v>
                </c:pt>
                <c:pt idx="50">
                  <c:v>1.94</c:v>
                </c:pt>
                <c:pt idx="51">
                  <c:v>2.25</c:v>
                </c:pt>
                <c:pt idx="52">
                  <c:v>2.31</c:v>
                </c:pt>
                <c:pt idx="53">
                  <c:v>2.11</c:v>
                </c:pt>
                <c:pt idx="54">
                  <c:v>2.42</c:v>
                </c:pt>
                <c:pt idx="55">
                  <c:v>2.2400000000000002</c:v>
                </c:pt>
                <c:pt idx="56">
                  <c:v>1.72</c:v>
                </c:pt>
                <c:pt idx="57">
                  <c:v>1.83</c:v>
                </c:pt>
                <c:pt idx="58">
                  <c:v>1.52</c:v>
                </c:pt>
                <c:pt idx="59">
                  <c:v>1.52</c:v>
                </c:pt>
                <c:pt idx="60">
                  <c:v>1.92</c:v>
                </c:pt>
                <c:pt idx="61">
                  <c:v>1.76</c:v>
                </c:pt>
                <c:pt idx="62">
                  <c:v>1.79</c:v>
                </c:pt>
                <c:pt idx="63">
                  <c:v>1.51</c:v>
                </c:pt>
                <c:pt idx="64">
                  <c:v>1.77</c:v>
                </c:pt>
                <c:pt idx="65">
                  <c:v>1.8</c:v>
                </c:pt>
                <c:pt idx="66">
                  <c:v>1.78</c:v>
                </c:pt>
                <c:pt idx="67">
                  <c:v>1.89</c:v>
                </c:pt>
                <c:pt idx="68">
                  <c:v>1.73</c:v>
                </c:pt>
                <c:pt idx="69">
                  <c:v>1.58</c:v>
                </c:pt>
                <c:pt idx="70">
                  <c:v>1.63</c:v>
                </c:pt>
                <c:pt idx="71">
                  <c:v>1.83</c:v>
                </c:pt>
                <c:pt idx="72">
                  <c:v>1.17</c:v>
                </c:pt>
                <c:pt idx="73">
                  <c:v>1.25</c:v>
                </c:pt>
              </c:numCache>
            </c:numRef>
          </c:val>
          <c:extLst>
            <c:ext xmlns:c16="http://schemas.microsoft.com/office/drawing/2014/chart" uri="{C3380CC4-5D6E-409C-BE32-E72D297353CC}">
              <c16:uniqueId val="{00000000-5F3F-4AF0-AFF0-6A624D79A431}"/>
            </c:ext>
          </c:extLst>
        </c:ser>
        <c:ser>
          <c:idx val="2"/>
          <c:order val="2"/>
          <c:tx>
            <c:strRef>
              <c:f>'Bijdrage aan de jaarmutatie CPI'!$D$1</c:f>
              <c:strCache>
                <c:ptCount val="1"/>
                <c:pt idx="0">
                  <c:v>Diensten i.v.m. huisvesting</c:v>
                </c:pt>
              </c:strCache>
            </c:strRef>
          </c:tx>
          <c:spPr>
            <a:solidFill>
              <a:schemeClr val="accent3"/>
            </a:solidFill>
            <a:ln>
              <a:noFill/>
            </a:ln>
            <a:effectLst/>
          </c:spPr>
          <c:invertIfNegative val="0"/>
          <c:cat>
            <c:numRef>
              <c:f>'Bijdrage aan de jaarmutatie CPI'!$A$38:$A$111</c:f>
              <c:numCache>
                <c:formatCode>mmm\-yy</c:formatCode>
                <c:ptCount val="74"/>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pt idx="58">
                  <c:v>45231</c:v>
                </c:pt>
                <c:pt idx="59">
                  <c:v>45261</c:v>
                </c:pt>
                <c:pt idx="60">
                  <c:v>45292</c:v>
                </c:pt>
                <c:pt idx="61">
                  <c:v>45323</c:v>
                </c:pt>
                <c:pt idx="62">
                  <c:v>45352</c:v>
                </c:pt>
                <c:pt idx="63">
                  <c:v>45383</c:v>
                </c:pt>
                <c:pt idx="64">
                  <c:v>45413</c:v>
                </c:pt>
                <c:pt idx="65">
                  <c:v>45444</c:v>
                </c:pt>
                <c:pt idx="66">
                  <c:v>45474</c:v>
                </c:pt>
                <c:pt idx="67">
                  <c:v>45505</c:v>
                </c:pt>
                <c:pt idx="68">
                  <c:v>45536</c:v>
                </c:pt>
                <c:pt idx="69">
                  <c:v>45566</c:v>
                </c:pt>
                <c:pt idx="70">
                  <c:v>45597</c:v>
                </c:pt>
                <c:pt idx="71" formatCode="m/d/yyyy">
                  <c:v>45627</c:v>
                </c:pt>
                <c:pt idx="72" formatCode="m/d/yyyy">
                  <c:v>45658</c:v>
                </c:pt>
                <c:pt idx="73" formatCode="m/d/yyyy">
                  <c:v>45689</c:v>
                </c:pt>
              </c:numCache>
            </c:numRef>
          </c:cat>
          <c:val>
            <c:numRef>
              <c:f>'Bijdrage aan de jaarmutatie CPI'!$D$38:$D$111</c:f>
              <c:numCache>
                <c:formatCode>General</c:formatCode>
                <c:ptCount val="74"/>
                <c:pt idx="0">
                  <c:v>0.54</c:v>
                </c:pt>
                <c:pt idx="1">
                  <c:v>0.53</c:v>
                </c:pt>
                <c:pt idx="2">
                  <c:v>0.52</c:v>
                </c:pt>
                <c:pt idx="3">
                  <c:v>0.53</c:v>
                </c:pt>
                <c:pt idx="4">
                  <c:v>0.53</c:v>
                </c:pt>
                <c:pt idx="5">
                  <c:v>0.54</c:v>
                </c:pt>
                <c:pt idx="6">
                  <c:v>0.62</c:v>
                </c:pt>
                <c:pt idx="7">
                  <c:v>0.62</c:v>
                </c:pt>
                <c:pt idx="8">
                  <c:v>0.62</c:v>
                </c:pt>
                <c:pt idx="9">
                  <c:v>0.62</c:v>
                </c:pt>
                <c:pt idx="10">
                  <c:v>0.62</c:v>
                </c:pt>
                <c:pt idx="11">
                  <c:v>0.62</c:v>
                </c:pt>
                <c:pt idx="12">
                  <c:v>0.61</c:v>
                </c:pt>
                <c:pt idx="13">
                  <c:v>0.61</c:v>
                </c:pt>
                <c:pt idx="14">
                  <c:v>0.61</c:v>
                </c:pt>
                <c:pt idx="15">
                  <c:v>0.6</c:v>
                </c:pt>
                <c:pt idx="16">
                  <c:v>0.6</c:v>
                </c:pt>
                <c:pt idx="17">
                  <c:v>0.6</c:v>
                </c:pt>
                <c:pt idx="18">
                  <c:v>0.67</c:v>
                </c:pt>
                <c:pt idx="19">
                  <c:v>0.66</c:v>
                </c:pt>
                <c:pt idx="20">
                  <c:v>0.67</c:v>
                </c:pt>
                <c:pt idx="21">
                  <c:v>0.68</c:v>
                </c:pt>
                <c:pt idx="22">
                  <c:v>0.69</c:v>
                </c:pt>
                <c:pt idx="23">
                  <c:v>0.69</c:v>
                </c:pt>
                <c:pt idx="24">
                  <c:v>0.71</c:v>
                </c:pt>
                <c:pt idx="25">
                  <c:v>0.69</c:v>
                </c:pt>
                <c:pt idx="26">
                  <c:v>0.69</c:v>
                </c:pt>
                <c:pt idx="27">
                  <c:v>0.69</c:v>
                </c:pt>
                <c:pt idx="28">
                  <c:v>0.67</c:v>
                </c:pt>
                <c:pt idx="29">
                  <c:v>0.67</c:v>
                </c:pt>
                <c:pt idx="30">
                  <c:v>0.25</c:v>
                </c:pt>
                <c:pt idx="31">
                  <c:v>0.27</c:v>
                </c:pt>
                <c:pt idx="32">
                  <c:v>0.27</c:v>
                </c:pt>
                <c:pt idx="33">
                  <c:v>0.24</c:v>
                </c:pt>
                <c:pt idx="34">
                  <c:v>0.26</c:v>
                </c:pt>
                <c:pt idx="35">
                  <c:v>0.26</c:v>
                </c:pt>
                <c:pt idx="36">
                  <c:v>0.21</c:v>
                </c:pt>
                <c:pt idx="37">
                  <c:v>0.22</c:v>
                </c:pt>
                <c:pt idx="38">
                  <c:v>0.23</c:v>
                </c:pt>
                <c:pt idx="39">
                  <c:v>0.22</c:v>
                </c:pt>
                <c:pt idx="40">
                  <c:v>0.25</c:v>
                </c:pt>
                <c:pt idx="41">
                  <c:v>0.25</c:v>
                </c:pt>
                <c:pt idx="42">
                  <c:v>0.77</c:v>
                </c:pt>
                <c:pt idx="43">
                  <c:v>0.76</c:v>
                </c:pt>
                <c:pt idx="44">
                  <c:v>0.76</c:v>
                </c:pt>
                <c:pt idx="45">
                  <c:v>0.75</c:v>
                </c:pt>
                <c:pt idx="46">
                  <c:v>0.71</c:v>
                </c:pt>
                <c:pt idx="47">
                  <c:v>0.71</c:v>
                </c:pt>
                <c:pt idx="48">
                  <c:v>0.77</c:v>
                </c:pt>
                <c:pt idx="49">
                  <c:v>0.77</c:v>
                </c:pt>
                <c:pt idx="50">
                  <c:v>0.74</c:v>
                </c:pt>
                <c:pt idx="51">
                  <c:v>0.72</c:v>
                </c:pt>
                <c:pt idx="52">
                  <c:v>0.73</c:v>
                </c:pt>
                <c:pt idx="53">
                  <c:v>0.73</c:v>
                </c:pt>
                <c:pt idx="54">
                  <c:v>0.54</c:v>
                </c:pt>
                <c:pt idx="55">
                  <c:v>0.53</c:v>
                </c:pt>
                <c:pt idx="56">
                  <c:v>0.52</c:v>
                </c:pt>
                <c:pt idx="57">
                  <c:v>0.46</c:v>
                </c:pt>
                <c:pt idx="58">
                  <c:v>0.49</c:v>
                </c:pt>
                <c:pt idx="59">
                  <c:v>0.54</c:v>
                </c:pt>
                <c:pt idx="60">
                  <c:v>0.53</c:v>
                </c:pt>
                <c:pt idx="61">
                  <c:v>0.54</c:v>
                </c:pt>
                <c:pt idx="62">
                  <c:v>0.54</c:v>
                </c:pt>
                <c:pt idx="63">
                  <c:v>0.55000000000000004</c:v>
                </c:pt>
                <c:pt idx="64">
                  <c:v>0.54</c:v>
                </c:pt>
                <c:pt idx="65">
                  <c:v>0.54</c:v>
                </c:pt>
                <c:pt idx="66">
                  <c:v>1.1399999999999999</c:v>
                </c:pt>
                <c:pt idx="67">
                  <c:v>1.1299999999999999</c:v>
                </c:pt>
                <c:pt idx="68">
                  <c:v>1.1299999999999999</c:v>
                </c:pt>
                <c:pt idx="69">
                  <c:v>1.18</c:v>
                </c:pt>
                <c:pt idx="70">
                  <c:v>1.19</c:v>
                </c:pt>
                <c:pt idx="71">
                  <c:v>1.1200000000000001</c:v>
                </c:pt>
                <c:pt idx="72">
                  <c:v>1.1100000000000001</c:v>
                </c:pt>
                <c:pt idx="73">
                  <c:v>1.1100000000000001</c:v>
                </c:pt>
              </c:numCache>
            </c:numRef>
          </c:val>
          <c:extLst>
            <c:ext xmlns:c16="http://schemas.microsoft.com/office/drawing/2014/chart" uri="{C3380CC4-5D6E-409C-BE32-E72D297353CC}">
              <c16:uniqueId val="{00000001-5F3F-4AF0-AFF0-6A624D79A431}"/>
            </c:ext>
          </c:extLst>
        </c:ser>
        <c:ser>
          <c:idx val="3"/>
          <c:order val="3"/>
          <c:tx>
            <c:strRef>
              <c:f>'Bijdrage aan de jaarmutatie CPI'!$E$1</c:f>
              <c:strCache>
                <c:ptCount val="1"/>
                <c:pt idx="0">
                  <c:v>Energie incl. andere brandstoffen</c:v>
                </c:pt>
              </c:strCache>
            </c:strRef>
          </c:tx>
          <c:spPr>
            <a:solidFill>
              <a:schemeClr val="accent4"/>
            </a:solidFill>
            <a:ln>
              <a:noFill/>
            </a:ln>
            <a:effectLst/>
          </c:spPr>
          <c:invertIfNegative val="0"/>
          <c:cat>
            <c:numRef>
              <c:f>'Bijdrage aan de jaarmutatie CPI'!$A$38:$A$111</c:f>
              <c:numCache>
                <c:formatCode>mmm\-yy</c:formatCode>
                <c:ptCount val="74"/>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pt idx="58">
                  <c:v>45231</c:v>
                </c:pt>
                <c:pt idx="59">
                  <c:v>45261</c:v>
                </c:pt>
                <c:pt idx="60">
                  <c:v>45292</c:v>
                </c:pt>
                <c:pt idx="61">
                  <c:v>45323</c:v>
                </c:pt>
                <c:pt idx="62">
                  <c:v>45352</c:v>
                </c:pt>
                <c:pt idx="63">
                  <c:v>45383</c:v>
                </c:pt>
                <c:pt idx="64">
                  <c:v>45413</c:v>
                </c:pt>
                <c:pt idx="65">
                  <c:v>45444</c:v>
                </c:pt>
                <c:pt idx="66">
                  <c:v>45474</c:v>
                </c:pt>
                <c:pt idx="67">
                  <c:v>45505</c:v>
                </c:pt>
                <c:pt idx="68">
                  <c:v>45536</c:v>
                </c:pt>
                <c:pt idx="69">
                  <c:v>45566</c:v>
                </c:pt>
                <c:pt idx="70">
                  <c:v>45597</c:v>
                </c:pt>
                <c:pt idx="71" formatCode="m/d/yyyy">
                  <c:v>45627</c:v>
                </c:pt>
                <c:pt idx="72" formatCode="m/d/yyyy">
                  <c:v>45658</c:v>
                </c:pt>
                <c:pt idx="73" formatCode="m/d/yyyy">
                  <c:v>45689</c:v>
                </c:pt>
              </c:numCache>
            </c:numRef>
          </c:cat>
          <c:val>
            <c:numRef>
              <c:f>'Bijdrage aan de jaarmutatie CPI'!$E$38:$E$111</c:f>
              <c:numCache>
                <c:formatCode>General</c:formatCode>
                <c:ptCount val="74"/>
                <c:pt idx="0">
                  <c:v>0.57999999999999996</c:v>
                </c:pt>
                <c:pt idx="1">
                  <c:v>0.72</c:v>
                </c:pt>
                <c:pt idx="2">
                  <c:v>0.8</c:v>
                </c:pt>
                <c:pt idx="3">
                  <c:v>0.82</c:v>
                </c:pt>
                <c:pt idx="4">
                  <c:v>0.71</c:v>
                </c:pt>
                <c:pt idx="5">
                  <c:v>0.57999999999999996</c:v>
                </c:pt>
                <c:pt idx="6">
                  <c:v>0.41</c:v>
                </c:pt>
                <c:pt idx="7">
                  <c:v>0.31</c:v>
                </c:pt>
                <c:pt idx="8">
                  <c:v>0.28999999999999998</c:v>
                </c:pt>
                <c:pt idx="9">
                  <c:v>0.27</c:v>
                </c:pt>
                <c:pt idx="10">
                  <c:v>0.37</c:v>
                </c:pt>
                <c:pt idx="11">
                  <c:v>0.55000000000000004</c:v>
                </c:pt>
                <c:pt idx="12">
                  <c:v>-0.11</c:v>
                </c:pt>
                <c:pt idx="13">
                  <c:v>-0.3</c:v>
                </c:pt>
                <c:pt idx="14">
                  <c:v>-0.61</c:v>
                </c:pt>
                <c:pt idx="15">
                  <c:v>-0.97</c:v>
                </c:pt>
                <c:pt idx="16">
                  <c:v>-1.01</c:v>
                </c:pt>
                <c:pt idx="17">
                  <c:v>-0.8</c:v>
                </c:pt>
                <c:pt idx="18">
                  <c:v>-0.74</c:v>
                </c:pt>
                <c:pt idx="19">
                  <c:v>-0.67</c:v>
                </c:pt>
                <c:pt idx="20">
                  <c:v>-0.69</c:v>
                </c:pt>
                <c:pt idx="21">
                  <c:v>-0.68</c:v>
                </c:pt>
                <c:pt idx="22">
                  <c:v>-0.75</c:v>
                </c:pt>
                <c:pt idx="23">
                  <c:v>-0.68</c:v>
                </c:pt>
                <c:pt idx="24">
                  <c:v>-0.36</c:v>
                </c:pt>
                <c:pt idx="25">
                  <c:v>-0.06</c:v>
                </c:pt>
                <c:pt idx="26">
                  <c:v>0.33</c:v>
                </c:pt>
                <c:pt idx="27">
                  <c:v>0.62</c:v>
                </c:pt>
                <c:pt idx="28">
                  <c:v>0.69</c:v>
                </c:pt>
                <c:pt idx="29">
                  <c:v>0.71</c:v>
                </c:pt>
                <c:pt idx="30">
                  <c:v>0.98</c:v>
                </c:pt>
                <c:pt idx="31">
                  <c:v>1.03</c:v>
                </c:pt>
                <c:pt idx="32">
                  <c:v>1.29</c:v>
                </c:pt>
                <c:pt idx="33">
                  <c:v>1.93</c:v>
                </c:pt>
                <c:pt idx="34">
                  <c:v>3.01</c:v>
                </c:pt>
                <c:pt idx="35">
                  <c:v>3.48</c:v>
                </c:pt>
                <c:pt idx="36">
                  <c:v>3.9</c:v>
                </c:pt>
                <c:pt idx="37">
                  <c:v>3.52</c:v>
                </c:pt>
                <c:pt idx="38">
                  <c:v>6.81</c:v>
                </c:pt>
                <c:pt idx="39">
                  <c:v>5.71</c:v>
                </c:pt>
                <c:pt idx="40">
                  <c:v>4.68</c:v>
                </c:pt>
                <c:pt idx="41">
                  <c:v>4.2</c:v>
                </c:pt>
                <c:pt idx="42">
                  <c:v>4.95</c:v>
                </c:pt>
                <c:pt idx="43">
                  <c:v>6.39</c:v>
                </c:pt>
                <c:pt idx="44">
                  <c:v>8.4700000000000006</c:v>
                </c:pt>
                <c:pt idx="45">
                  <c:v>7.92</c:v>
                </c:pt>
                <c:pt idx="46">
                  <c:v>3.64</c:v>
                </c:pt>
                <c:pt idx="47">
                  <c:v>2.77</c:v>
                </c:pt>
                <c:pt idx="48">
                  <c:v>0.6</c:v>
                </c:pt>
                <c:pt idx="49">
                  <c:v>0.57999999999999996</c:v>
                </c:pt>
                <c:pt idx="50">
                  <c:v>-2.75</c:v>
                </c:pt>
                <c:pt idx="51">
                  <c:v>-1.8</c:v>
                </c:pt>
                <c:pt idx="52">
                  <c:v>-1.1399999999999999</c:v>
                </c:pt>
                <c:pt idx="53">
                  <c:v>-0.84</c:v>
                </c:pt>
                <c:pt idx="54">
                  <c:v>-1.59</c:v>
                </c:pt>
                <c:pt idx="55">
                  <c:v>-2.77</c:v>
                </c:pt>
                <c:pt idx="56">
                  <c:v>-4.6500000000000004</c:v>
                </c:pt>
                <c:pt idx="57">
                  <c:v>-4.8899999999999997</c:v>
                </c:pt>
                <c:pt idx="58">
                  <c:v>-2.16</c:v>
                </c:pt>
                <c:pt idx="59">
                  <c:v>-1.96</c:v>
                </c:pt>
                <c:pt idx="60">
                  <c:v>-0.11</c:v>
                </c:pt>
                <c:pt idx="61">
                  <c:v>0.12</c:v>
                </c:pt>
                <c:pt idx="62">
                  <c:v>0.28999999999999998</c:v>
                </c:pt>
                <c:pt idx="63">
                  <c:v>0.25</c:v>
                </c:pt>
                <c:pt idx="64">
                  <c:v>0.26</c:v>
                </c:pt>
                <c:pt idx="65">
                  <c:v>0.22</c:v>
                </c:pt>
                <c:pt idx="66">
                  <c:v>0.01</c:v>
                </c:pt>
                <c:pt idx="67">
                  <c:v>-0.2</c:v>
                </c:pt>
                <c:pt idx="68">
                  <c:v>-0.39</c:v>
                </c:pt>
                <c:pt idx="69">
                  <c:v>-0.17</c:v>
                </c:pt>
                <c:pt idx="70">
                  <c:v>0</c:v>
                </c:pt>
                <c:pt idx="71">
                  <c:v>0.1</c:v>
                </c:pt>
                <c:pt idx="72">
                  <c:v>-0.12</c:v>
                </c:pt>
                <c:pt idx="73">
                  <c:v>-0.16</c:v>
                </c:pt>
              </c:numCache>
            </c:numRef>
          </c:val>
          <c:extLst>
            <c:ext xmlns:c16="http://schemas.microsoft.com/office/drawing/2014/chart" uri="{C3380CC4-5D6E-409C-BE32-E72D297353CC}">
              <c16:uniqueId val="{00000002-5F3F-4AF0-AFF0-6A624D79A431}"/>
            </c:ext>
          </c:extLst>
        </c:ser>
        <c:ser>
          <c:idx val="4"/>
          <c:order val="4"/>
          <c:tx>
            <c:strRef>
              <c:f>'Bijdrage aan de jaarmutatie CPI'!$F$1</c:f>
              <c:strCache>
                <c:ptCount val="1"/>
                <c:pt idx="0">
                  <c:v>Industriële goederen excl. energie</c:v>
                </c:pt>
              </c:strCache>
            </c:strRef>
          </c:tx>
          <c:spPr>
            <a:solidFill>
              <a:schemeClr val="accent5"/>
            </a:solidFill>
            <a:ln>
              <a:noFill/>
            </a:ln>
            <a:effectLst/>
          </c:spPr>
          <c:invertIfNegative val="0"/>
          <c:cat>
            <c:numRef>
              <c:f>'Bijdrage aan de jaarmutatie CPI'!$A$38:$A$111</c:f>
              <c:numCache>
                <c:formatCode>mmm\-yy</c:formatCode>
                <c:ptCount val="74"/>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pt idx="58">
                  <c:v>45231</c:v>
                </c:pt>
                <c:pt idx="59">
                  <c:v>45261</c:v>
                </c:pt>
                <c:pt idx="60">
                  <c:v>45292</c:v>
                </c:pt>
                <c:pt idx="61">
                  <c:v>45323</c:v>
                </c:pt>
                <c:pt idx="62">
                  <c:v>45352</c:v>
                </c:pt>
                <c:pt idx="63">
                  <c:v>45383</c:v>
                </c:pt>
                <c:pt idx="64">
                  <c:v>45413</c:v>
                </c:pt>
                <c:pt idx="65">
                  <c:v>45444</c:v>
                </c:pt>
                <c:pt idx="66">
                  <c:v>45474</c:v>
                </c:pt>
                <c:pt idx="67">
                  <c:v>45505</c:v>
                </c:pt>
                <c:pt idx="68">
                  <c:v>45536</c:v>
                </c:pt>
                <c:pt idx="69">
                  <c:v>45566</c:v>
                </c:pt>
                <c:pt idx="70">
                  <c:v>45597</c:v>
                </c:pt>
                <c:pt idx="71" formatCode="m/d/yyyy">
                  <c:v>45627</c:v>
                </c:pt>
                <c:pt idx="72" formatCode="m/d/yyyy">
                  <c:v>45658</c:v>
                </c:pt>
                <c:pt idx="73" formatCode="m/d/yyyy">
                  <c:v>45689</c:v>
                </c:pt>
              </c:numCache>
            </c:numRef>
          </c:cat>
          <c:val>
            <c:numRef>
              <c:f>'Bijdrage aan de jaarmutatie CPI'!$F$38:$F$111</c:f>
              <c:numCache>
                <c:formatCode>General</c:formatCode>
                <c:ptCount val="74"/>
                <c:pt idx="0">
                  <c:v>0.14000000000000001</c:v>
                </c:pt>
                <c:pt idx="1">
                  <c:v>0.25</c:v>
                </c:pt>
                <c:pt idx="2">
                  <c:v>0.17</c:v>
                </c:pt>
                <c:pt idx="3">
                  <c:v>-0.09</c:v>
                </c:pt>
                <c:pt idx="4">
                  <c:v>-0.03</c:v>
                </c:pt>
                <c:pt idx="5">
                  <c:v>-0.08</c:v>
                </c:pt>
                <c:pt idx="6">
                  <c:v>0.03</c:v>
                </c:pt>
                <c:pt idx="7">
                  <c:v>0.31</c:v>
                </c:pt>
                <c:pt idx="8">
                  <c:v>0.2</c:v>
                </c:pt>
                <c:pt idx="9">
                  <c:v>0.17</c:v>
                </c:pt>
                <c:pt idx="10">
                  <c:v>0.23</c:v>
                </c:pt>
                <c:pt idx="11">
                  <c:v>0.22</c:v>
                </c:pt>
                <c:pt idx="12">
                  <c:v>0.19</c:v>
                </c:pt>
                <c:pt idx="13">
                  <c:v>0.14000000000000001</c:v>
                </c:pt>
                <c:pt idx="14">
                  <c:v>0.11</c:v>
                </c:pt>
                <c:pt idx="15">
                  <c:v>0.23</c:v>
                </c:pt>
                <c:pt idx="16">
                  <c:v>0.31</c:v>
                </c:pt>
                <c:pt idx="17">
                  <c:v>0.42</c:v>
                </c:pt>
                <c:pt idx="18">
                  <c:v>0.38</c:v>
                </c:pt>
                <c:pt idx="19">
                  <c:v>0.15</c:v>
                </c:pt>
                <c:pt idx="20">
                  <c:v>0.44</c:v>
                </c:pt>
                <c:pt idx="21">
                  <c:v>0.54</c:v>
                </c:pt>
                <c:pt idx="22">
                  <c:v>0.28000000000000003</c:v>
                </c:pt>
                <c:pt idx="23">
                  <c:v>0.28999999999999998</c:v>
                </c:pt>
                <c:pt idx="24">
                  <c:v>0.38</c:v>
                </c:pt>
                <c:pt idx="25">
                  <c:v>0.39</c:v>
                </c:pt>
                <c:pt idx="26">
                  <c:v>0.37</c:v>
                </c:pt>
                <c:pt idx="27">
                  <c:v>0.43</c:v>
                </c:pt>
                <c:pt idx="28">
                  <c:v>0.3</c:v>
                </c:pt>
                <c:pt idx="29">
                  <c:v>0.4</c:v>
                </c:pt>
                <c:pt idx="30">
                  <c:v>0.33</c:v>
                </c:pt>
                <c:pt idx="31">
                  <c:v>0.44</c:v>
                </c:pt>
                <c:pt idx="32">
                  <c:v>0.45</c:v>
                </c:pt>
                <c:pt idx="33">
                  <c:v>0.6</c:v>
                </c:pt>
                <c:pt idx="34">
                  <c:v>0.75</c:v>
                </c:pt>
                <c:pt idx="35">
                  <c:v>0.86</c:v>
                </c:pt>
                <c:pt idx="36">
                  <c:v>0.87</c:v>
                </c:pt>
                <c:pt idx="37">
                  <c:v>1.02</c:v>
                </c:pt>
                <c:pt idx="38">
                  <c:v>1.06</c:v>
                </c:pt>
                <c:pt idx="39">
                  <c:v>1.23</c:v>
                </c:pt>
                <c:pt idx="40">
                  <c:v>1.35</c:v>
                </c:pt>
                <c:pt idx="41">
                  <c:v>1.35</c:v>
                </c:pt>
                <c:pt idx="42">
                  <c:v>1.25</c:v>
                </c:pt>
                <c:pt idx="43">
                  <c:v>1.4</c:v>
                </c:pt>
                <c:pt idx="44">
                  <c:v>1.76</c:v>
                </c:pt>
                <c:pt idx="45">
                  <c:v>1.92</c:v>
                </c:pt>
                <c:pt idx="46">
                  <c:v>1.76</c:v>
                </c:pt>
                <c:pt idx="47">
                  <c:v>2.12</c:v>
                </c:pt>
                <c:pt idx="48">
                  <c:v>1.95</c:v>
                </c:pt>
                <c:pt idx="49">
                  <c:v>2.09</c:v>
                </c:pt>
                <c:pt idx="50">
                  <c:v>2.06</c:v>
                </c:pt>
                <c:pt idx="51">
                  <c:v>1.96</c:v>
                </c:pt>
                <c:pt idx="52">
                  <c:v>2.11</c:v>
                </c:pt>
                <c:pt idx="53">
                  <c:v>1.73</c:v>
                </c:pt>
                <c:pt idx="54">
                  <c:v>1.45</c:v>
                </c:pt>
                <c:pt idx="55">
                  <c:v>1.44</c:v>
                </c:pt>
                <c:pt idx="56">
                  <c:v>1.01</c:v>
                </c:pt>
                <c:pt idx="57">
                  <c:v>0.77</c:v>
                </c:pt>
                <c:pt idx="58">
                  <c:v>0.61</c:v>
                </c:pt>
                <c:pt idx="59">
                  <c:v>0.26</c:v>
                </c:pt>
                <c:pt idx="60">
                  <c:v>0.09</c:v>
                </c:pt>
                <c:pt idx="61">
                  <c:v>-0.11</c:v>
                </c:pt>
                <c:pt idx="62">
                  <c:v>-0.06</c:v>
                </c:pt>
                <c:pt idx="63">
                  <c:v>-0.19</c:v>
                </c:pt>
                <c:pt idx="64">
                  <c:v>-0.44</c:v>
                </c:pt>
                <c:pt idx="65">
                  <c:v>-0.12</c:v>
                </c:pt>
                <c:pt idx="66">
                  <c:v>-0.16</c:v>
                </c:pt>
                <c:pt idx="67">
                  <c:v>-0.21</c:v>
                </c:pt>
                <c:pt idx="68">
                  <c:v>0.1</c:v>
                </c:pt>
                <c:pt idx="69">
                  <c:v>0.11</c:v>
                </c:pt>
                <c:pt idx="70">
                  <c:v>0.28999999999999998</c:v>
                </c:pt>
                <c:pt idx="71">
                  <c:v>0</c:v>
                </c:pt>
                <c:pt idx="72">
                  <c:v>0.03</c:v>
                </c:pt>
                <c:pt idx="73">
                  <c:v>0.34</c:v>
                </c:pt>
              </c:numCache>
            </c:numRef>
          </c:val>
          <c:extLst>
            <c:ext xmlns:c16="http://schemas.microsoft.com/office/drawing/2014/chart" uri="{C3380CC4-5D6E-409C-BE32-E72D297353CC}">
              <c16:uniqueId val="{00000003-5F3F-4AF0-AFF0-6A624D79A431}"/>
            </c:ext>
          </c:extLst>
        </c:ser>
        <c:ser>
          <c:idx val="5"/>
          <c:order val="5"/>
          <c:tx>
            <c:strRef>
              <c:f>'Bijdrage aan de jaarmutatie CPI'!$G$1</c:f>
              <c:strCache>
                <c:ptCount val="1"/>
                <c:pt idx="0">
                  <c:v>Voedingsmiddelen, dranken en tabak</c:v>
                </c:pt>
              </c:strCache>
            </c:strRef>
          </c:tx>
          <c:spPr>
            <a:solidFill>
              <a:schemeClr val="accent6"/>
            </a:solidFill>
            <a:ln>
              <a:noFill/>
            </a:ln>
            <a:effectLst/>
          </c:spPr>
          <c:invertIfNegative val="0"/>
          <c:cat>
            <c:numRef>
              <c:f>'Bijdrage aan de jaarmutatie CPI'!$A$38:$A$111</c:f>
              <c:numCache>
                <c:formatCode>mmm\-yy</c:formatCode>
                <c:ptCount val="74"/>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pt idx="58">
                  <c:v>45231</c:v>
                </c:pt>
                <c:pt idx="59">
                  <c:v>45261</c:v>
                </c:pt>
                <c:pt idx="60">
                  <c:v>45292</c:v>
                </c:pt>
                <c:pt idx="61">
                  <c:v>45323</c:v>
                </c:pt>
                <c:pt idx="62">
                  <c:v>45352</c:v>
                </c:pt>
                <c:pt idx="63">
                  <c:v>45383</c:v>
                </c:pt>
                <c:pt idx="64">
                  <c:v>45413</c:v>
                </c:pt>
                <c:pt idx="65">
                  <c:v>45444</c:v>
                </c:pt>
                <c:pt idx="66">
                  <c:v>45474</c:v>
                </c:pt>
                <c:pt idx="67">
                  <c:v>45505</c:v>
                </c:pt>
                <c:pt idx="68">
                  <c:v>45536</c:v>
                </c:pt>
                <c:pt idx="69">
                  <c:v>45566</c:v>
                </c:pt>
                <c:pt idx="70">
                  <c:v>45597</c:v>
                </c:pt>
                <c:pt idx="71" formatCode="m/d/yyyy">
                  <c:v>45627</c:v>
                </c:pt>
                <c:pt idx="72" formatCode="m/d/yyyy">
                  <c:v>45658</c:v>
                </c:pt>
                <c:pt idx="73" formatCode="m/d/yyyy">
                  <c:v>45689</c:v>
                </c:pt>
              </c:numCache>
            </c:numRef>
          </c:cat>
          <c:val>
            <c:numRef>
              <c:f>'Bijdrage aan de jaarmutatie CPI'!$G$38:$G$111</c:f>
              <c:numCache>
                <c:formatCode>General</c:formatCode>
                <c:ptCount val="74"/>
                <c:pt idx="0">
                  <c:v>0.43</c:v>
                </c:pt>
                <c:pt idx="1">
                  <c:v>0.43</c:v>
                </c:pt>
                <c:pt idx="2">
                  <c:v>0.52</c:v>
                </c:pt>
                <c:pt idx="3">
                  <c:v>0.49</c:v>
                </c:pt>
                <c:pt idx="4">
                  <c:v>0.45</c:v>
                </c:pt>
                <c:pt idx="5">
                  <c:v>0.54</c:v>
                </c:pt>
                <c:pt idx="6">
                  <c:v>0.59</c:v>
                </c:pt>
                <c:pt idx="7">
                  <c:v>0.6</c:v>
                </c:pt>
                <c:pt idx="8">
                  <c:v>0.57999999999999996</c:v>
                </c:pt>
                <c:pt idx="9">
                  <c:v>0.59</c:v>
                </c:pt>
                <c:pt idx="10">
                  <c:v>0.52</c:v>
                </c:pt>
                <c:pt idx="11">
                  <c:v>0.45</c:v>
                </c:pt>
                <c:pt idx="12">
                  <c:v>0.26</c:v>
                </c:pt>
                <c:pt idx="13">
                  <c:v>0.26</c:v>
                </c:pt>
                <c:pt idx="14">
                  <c:v>0.42</c:v>
                </c:pt>
                <c:pt idx="15">
                  <c:v>0.45</c:v>
                </c:pt>
                <c:pt idx="16">
                  <c:v>0.55000000000000004</c:v>
                </c:pt>
                <c:pt idx="17">
                  <c:v>0.6</c:v>
                </c:pt>
                <c:pt idx="18">
                  <c:v>0.52</c:v>
                </c:pt>
                <c:pt idx="19">
                  <c:v>0.41</c:v>
                </c:pt>
                <c:pt idx="20">
                  <c:v>0.45</c:v>
                </c:pt>
                <c:pt idx="21">
                  <c:v>0.42</c:v>
                </c:pt>
                <c:pt idx="22">
                  <c:v>0.38</c:v>
                </c:pt>
                <c:pt idx="23">
                  <c:v>0.36</c:v>
                </c:pt>
                <c:pt idx="24">
                  <c:v>0.32</c:v>
                </c:pt>
                <c:pt idx="25">
                  <c:v>0.32</c:v>
                </c:pt>
                <c:pt idx="26">
                  <c:v>0.11</c:v>
                </c:pt>
                <c:pt idx="27">
                  <c:v>0.02</c:v>
                </c:pt>
                <c:pt idx="28">
                  <c:v>-0.04</c:v>
                </c:pt>
                <c:pt idx="29">
                  <c:v>-0.14000000000000001</c:v>
                </c:pt>
                <c:pt idx="30">
                  <c:v>-0.02</c:v>
                </c:pt>
                <c:pt idx="31">
                  <c:v>0.1</c:v>
                </c:pt>
                <c:pt idx="32">
                  <c:v>7.0000000000000007E-2</c:v>
                </c:pt>
                <c:pt idx="33">
                  <c:v>0.11</c:v>
                </c:pt>
                <c:pt idx="34">
                  <c:v>0.24</c:v>
                </c:pt>
                <c:pt idx="35">
                  <c:v>0.42</c:v>
                </c:pt>
                <c:pt idx="36">
                  <c:v>0.67</c:v>
                </c:pt>
                <c:pt idx="37">
                  <c:v>0.73</c:v>
                </c:pt>
                <c:pt idx="38">
                  <c:v>0.87</c:v>
                </c:pt>
                <c:pt idx="39">
                  <c:v>1.1299999999999999</c:v>
                </c:pt>
                <c:pt idx="40">
                  <c:v>1.27</c:v>
                </c:pt>
                <c:pt idx="41">
                  <c:v>1.51</c:v>
                </c:pt>
                <c:pt idx="42">
                  <c:v>1.6</c:v>
                </c:pt>
                <c:pt idx="43">
                  <c:v>1.7</c:v>
                </c:pt>
                <c:pt idx="44">
                  <c:v>1.66</c:v>
                </c:pt>
                <c:pt idx="45">
                  <c:v>1.79</c:v>
                </c:pt>
                <c:pt idx="46">
                  <c:v>2</c:v>
                </c:pt>
                <c:pt idx="47">
                  <c:v>2.17</c:v>
                </c:pt>
                <c:pt idx="48">
                  <c:v>2.23</c:v>
                </c:pt>
                <c:pt idx="49">
                  <c:v>2.31</c:v>
                </c:pt>
                <c:pt idx="50">
                  <c:v>2.23</c:v>
                </c:pt>
                <c:pt idx="51">
                  <c:v>1.97</c:v>
                </c:pt>
                <c:pt idx="52">
                  <c:v>1.93</c:v>
                </c:pt>
                <c:pt idx="53">
                  <c:v>1.91</c:v>
                </c:pt>
                <c:pt idx="54">
                  <c:v>1.72</c:v>
                </c:pt>
                <c:pt idx="55">
                  <c:v>1.5</c:v>
                </c:pt>
                <c:pt idx="56">
                  <c:v>1.44</c:v>
                </c:pt>
                <c:pt idx="57">
                  <c:v>1.24</c:v>
                </c:pt>
                <c:pt idx="58">
                  <c:v>1.07</c:v>
                </c:pt>
                <c:pt idx="59">
                  <c:v>0.78</c:v>
                </c:pt>
                <c:pt idx="60">
                  <c:v>0.62</c:v>
                </c:pt>
                <c:pt idx="61">
                  <c:v>0.4</c:v>
                </c:pt>
                <c:pt idx="62">
                  <c:v>0.42</c:v>
                </c:pt>
                <c:pt idx="63">
                  <c:v>0.47</c:v>
                </c:pt>
                <c:pt idx="64">
                  <c:v>0.45</c:v>
                </c:pt>
                <c:pt idx="65">
                  <c:v>0.65</c:v>
                </c:pt>
                <c:pt idx="66">
                  <c:v>0.79</c:v>
                </c:pt>
                <c:pt idx="67">
                  <c:v>0.82</c:v>
                </c:pt>
                <c:pt idx="68">
                  <c:v>0.87</c:v>
                </c:pt>
                <c:pt idx="69">
                  <c:v>0.86</c:v>
                </c:pt>
                <c:pt idx="70">
                  <c:v>0.9</c:v>
                </c:pt>
                <c:pt idx="71">
                  <c:v>0.97</c:v>
                </c:pt>
                <c:pt idx="72">
                  <c:v>1.03</c:v>
                </c:pt>
                <c:pt idx="73">
                  <c:v>1.0900000000000001</c:v>
                </c:pt>
              </c:numCache>
            </c:numRef>
          </c:val>
          <c:extLst>
            <c:ext xmlns:c16="http://schemas.microsoft.com/office/drawing/2014/chart" uri="{C3380CC4-5D6E-409C-BE32-E72D297353CC}">
              <c16:uniqueId val="{00000004-5F3F-4AF0-AFF0-6A624D79A431}"/>
            </c:ext>
          </c:extLst>
        </c:ser>
        <c:ser>
          <c:idx val="6"/>
          <c:order val="6"/>
          <c:tx>
            <c:strRef>
              <c:f>'Bijdrage aan de jaarmutatie CPI'!$H$1</c:f>
              <c:strCache>
                <c:ptCount val="1"/>
                <c:pt idx="0">
                  <c:v>Overig en afrondingsverschillen</c:v>
                </c:pt>
              </c:strCache>
            </c:strRef>
          </c:tx>
          <c:spPr>
            <a:solidFill>
              <a:schemeClr val="accent1">
                <a:lumMod val="60000"/>
              </a:schemeClr>
            </a:solidFill>
            <a:ln>
              <a:noFill/>
            </a:ln>
            <a:effectLst/>
          </c:spPr>
          <c:invertIfNegative val="0"/>
          <c:cat>
            <c:numRef>
              <c:f>'Bijdrage aan de jaarmutatie CPI'!$A$38:$A$111</c:f>
              <c:numCache>
                <c:formatCode>mmm\-yy</c:formatCode>
                <c:ptCount val="74"/>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pt idx="58">
                  <c:v>45231</c:v>
                </c:pt>
                <c:pt idx="59">
                  <c:v>45261</c:v>
                </c:pt>
                <c:pt idx="60">
                  <c:v>45292</c:v>
                </c:pt>
                <c:pt idx="61">
                  <c:v>45323</c:v>
                </c:pt>
                <c:pt idx="62">
                  <c:v>45352</c:v>
                </c:pt>
                <c:pt idx="63">
                  <c:v>45383</c:v>
                </c:pt>
                <c:pt idx="64">
                  <c:v>45413</c:v>
                </c:pt>
                <c:pt idx="65">
                  <c:v>45444</c:v>
                </c:pt>
                <c:pt idx="66">
                  <c:v>45474</c:v>
                </c:pt>
                <c:pt idx="67">
                  <c:v>45505</c:v>
                </c:pt>
                <c:pt idx="68">
                  <c:v>45536</c:v>
                </c:pt>
                <c:pt idx="69">
                  <c:v>45566</c:v>
                </c:pt>
                <c:pt idx="70">
                  <c:v>45597</c:v>
                </c:pt>
                <c:pt idx="71" formatCode="m/d/yyyy">
                  <c:v>45627</c:v>
                </c:pt>
                <c:pt idx="72" formatCode="m/d/yyyy">
                  <c:v>45658</c:v>
                </c:pt>
                <c:pt idx="73" formatCode="m/d/yyyy">
                  <c:v>45689</c:v>
                </c:pt>
              </c:numCache>
            </c:numRef>
          </c:cat>
          <c:val>
            <c:numRef>
              <c:f>'Bijdrage aan de jaarmutatie CPI'!$H$38:$H$111</c:f>
              <c:numCache>
                <c:formatCode>General</c:formatCode>
                <c:ptCount val="74"/>
                <c:pt idx="0">
                  <c:v>0.16</c:v>
                </c:pt>
                <c:pt idx="1">
                  <c:v>0.09</c:v>
                </c:pt>
                <c:pt idx="2">
                  <c:v>0.08</c:v>
                </c:pt>
                <c:pt idx="3">
                  <c:v>0.17</c:v>
                </c:pt>
                <c:pt idx="4">
                  <c:v>0.16</c:v>
                </c:pt>
                <c:pt idx="5">
                  <c:v>0.19</c:v>
                </c:pt>
                <c:pt idx="6">
                  <c:v>0.08</c:v>
                </c:pt>
                <c:pt idx="7">
                  <c:v>0.04</c:v>
                </c:pt>
                <c:pt idx="8">
                  <c:v>0.03</c:v>
                </c:pt>
                <c:pt idx="9">
                  <c:v>0.05</c:v>
                </c:pt>
                <c:pt idx="10">
                  <c:v>0.08</c:v>
                </c:pt>
                <c:pt idx="11">
                  <c:v>0.02</c:v>
                </c:pt>
                <c:pt idx="12">
                  <c:v>0.03</c:v>
                </c:pt>
                <c:pt idx="13">
                  <c:v>0.15</c:v>
                </c:pt>
                <c:pt idx="14">
                  <c:v>0.12</c:v>
                </c:pt>
                <c:pt idx="15">
                  <c:v>0.02</c:v>
                </c:pt>
                <c:pt idx="16">
                  <c:v>-0.06</c:v>
                </c:pt>
                <c:pt idx="17">
                  <c:v>-0.11</c:v>
                </c:pt>
                <c:pt idx="18">
                  <c:v>-7.0000000000000007E-2</c:v>
                </c:pt>
                <c:pt idx="19">
                  <c:v>-0.15</c:v>
                </c:pt>
                <c:pt idx="20">
                  <c:v>-0.18</c:v>
                </c:pt>
                <c:pt idx="21">
                  <c:v>-0.19</c:v>
                </c:pt>
                <c:pt idx="22">
                  <c:v>-0.2</c:v>
                </c:pt>
                <c:pt idx="23">
                  <c:v>-0.18</c:v>
                </c:pt>
                <c:pt idx="24">
                  <c:v>-0.14000000000000001</c:v>
                </c:pt>
                <c:pt idx="25">
                  <c:v>-0.16</c:v>
                </c:pt>
                <c:pt idx="26">
                  <c:v>-0.13</c:v>
                </c:pt>
                <c:pt idx="27">
                  <c:v>-0.01</c:v>
                </c:pt>
                <c:pt idx="28">
                  <c:v>0</c:v>
                </c:pt>
                <c:pt idx="29">
                  <c:v>0.05</c:v>
                </c:pt>
                <c:pt idx="30">
                  <c:v>0.04</c:v>
                </c:pt>
                <c:pt idx="31">
                  <c:v>0.13</c:v>
                </c:pt>
                <c:pt idx="32">
                  <c:v>0.17</c:v>
                </c:pt>
                <c:pt idx="33">
                  <c:v>0.17</c:v>
                </c:pt>
                <c:pt idx="34">
                  <c:v>0.28000000000000003</c:v>
                </c:pt>
                <c:pt idx="35">
                  <c:v>0.31</c:v>
                </c:pt>
                <c:pt idx="36">
                  <c:v>0.28000000000000003</c:v>
                </c:pt>
                <c:pt idx="37">
                  <c:v>0.28999999999999998</c:v>
                </c:pt>
                <c:pt idx="38">
                  <c:v>0.27</c:v>
                </c:pt>
                <c:pt idx="39">
                  <c:v>0.46</c:v>
                </c:pt>
                <c:pt idx="40">
                  <c:v>0.42</c:v>
                </c:pt>
                <c:pt idx="41">
                  <c:v>0.48</c:v>
                </c:pt>
                <c:pt idx="42">
                  <c:v>0.47</c:v>
                </c:pt>
                <c:pt idx="43">
                  <c:v>0.43</c:v>
                </c:pt>
                <c:pt idx="44">
                  <c:v>0.27</c:v>
                </c:pt>
                <c:pt idx="45">
                  <c:v>0.31</c:v>
                </c:pt>
                <c:pt idx="46">
                  <c:v>0.35</c:v>
                </c:pt>
                <c:pt idx="47">
                  <c:v>0.26</c:v>
                </c:pt>
                <c:pt idx="48">
                  <c:v>0.19</c:v>
                </c:pt>
                <c:pt idx="49">
                  <c:v>0.21</c:v>
                </c:pt>
                <c:pt idx="50">
                  <c:v>0.18</c:v>
                </c:pt>
                <c:pt idx="51">
                  <c:v>0.1</c:v>
                </c:pt>
                <c:pt idx="52">
                  <c:v>0.16</c:v>
                </c:pt>
                <c:pt idx="53">
                  <c:v>0.06</c:v>
                </c:pt>
                <c:pt idx="54">
                  <c:v>0.06</c:v>
                </c:pt>
                <c:pt idx="55">
                  <c:v>0.06</c:v>
                </c:pt>
                <c:pt idx="56">
                  <c:v>0.16</c:v>
                </c:pt>
                <c:pt idx="57">
                  <c:v>0.19</c:v>
                </c:pt>
                <c:pt idx="58">
                  <c:v>7.0000000000000007E-2</c:v>
                </c:pt>
                <c:pt idx="59">
                  <c:v>0.06</c:v>
                </c:pt>
                <c:pt idx="60">
                  <c:v>0.15</c:v>
                </c:pt>
                <c:pt idx="61">
                  <c:v>0.09</c:v>
                </c:pt>
                <c:pt idx="62">
                  <c:v>0.12</c:v>
                </c:pt>
                <c:pt idx="63">
                  <c:v>0.11</c:v>
                </c:pt>
                <c:pt idx="64">
                  <c:v>0.12</c:v>
                </c:pt>
                <c:pt idx="65">
                  <c:v>0.11</c:v>
                </c:pt>
                <c:pt idx="66">
                  <c:v>0.14000000000000001</c:v>
                </c:pt>
                <c:pt idx="67">
                  <c:v>0.17</c:v>
                </c:pt>
                <c:pt idx="68">
                  <c:v>0.06</c:v>
                </c:pt>
                <c:pt idx="69">
                  <c:v>-0.06</c:v>
                </c:pt>
                <c:pt idx="70">
                  <c:v>-0.01</c:v>
                </c:pt>
                <c:pt idx="71">
                  <c:v>0.08</c:v>
                </c:pt>
                <c:pt idx="72">
                  <c:v>0.08</c:v>
                </c:pt>
                <c:pt idx="73">
                  <c:v>0.17</c:v>
                </c:pt>
              </c:numCache>
            </c:numRef>
          </c:val>
          <c:extLst>
            <c:ext xmlns:c16="http://schemas.microsoft.com/office/drawing/2014/chart" uri="{C3380CC4-5D6E-409C-BE32-E72D297353CC}">
              <c16:uniqueId val="{00000005-5F3F-4AF0-AFF0-6A624D79A431}"/>
            </c:ext>
          </c:extLst>
        </c:ser>
        <c:dLbls>
          <c:showLegendKey val="0"/>
          <c:showVal val="0"/>
          <c:showCatName val="0"/>
          <c:showSerName val="0"/>
          <c:showPercent val="0"/>
          <c:showBubbleSize val="0"/>
        </c:dLbls>
        <c:gapWidth val="100"/>
        <c:overlap val="100"/>
        <c:axId val="180363472"/>
        <c:axId val="180374992"/>
      </c:barChart>
      <c:lineChart>
        <c:grouping val="standard"/>
        <c:varyColors val="0"/>
        <c:ser>
          <c:idx val="0"/>
          <c:order val="0"/>
          <c:tx>
            <c:strRef>
              <c:f>'Bijdrage aan de jaarmutatie CPI'!$B$1</c:f>
              <c:strCache>
                <c:ptCount val="1"/>
                <c:pt idx="0">
                  <c:v>CPI</c:v>
                </c:pt>
              </c:strCache>
            </c:strRef>
          </c:tx>
          <c:spPr>
            <a:ln w="9525" cap="rnd">
              <a:solidFill>
                <a:schemeClr val="accent1"/>
              </a:solidFill>
              <a:round/>
            </a:ln>
            <a:effectLst/>
          </c:spPr>
          <c:marker>
            <c:symbol val="none"/>
          </c:marker>
          <c:cat>
            <c:numRef>
              <c:f>'Bijdrage aan de jaarmutatie CPI'!$A$38:$A$111</c:f>
              <c:numCache>
                <c:formatCode>mmm\-yy</c:formatCode>
                <c:ptCount val="74"/>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pt idx="58">
                  <c:v>45231</c:v>
                </c:pt>
                <c:pt idx="59">
                  <c:v>45261</c:v>
                </c:pt>
                <c:pt idx="60">
                  <c:v>45292</c:v>
                </c:pt>
                <c:pt idx="61">
                  <c:v>45323</c:v>
                </c:pt>
                <c:pt idx="62">
                  <c:v>45352</c:v>
                </c:pt>
                <c:pt idx="63">
                  <c:v>45383</c:v>
                </c:pt>
                <c:pt idx="64">
                  <c:v>45413</c:v>
                </c:pt>
                <c:pt idx="65">
                  <c:v>45444</c:v>
                </c:pt>
                <c:pt idx="66">
                  <c:v>45474</c:v>
                </c:pt>
                <c:pt idx="67">
                  <c:v>45505</c:v>
                </c:pt>
                <c:pt idx="68">
                  <c:v>45536</c:v>
                </c:pt>
                <c:pt idx="69">
                  <c:v>45566</c:v>
                </c:pt>
                <c:pt idx="70">
                  <c:v>45597</c:v>
                </c:pt>
                <c:pt idx="71" formatCode="m/d/yyyy">
                  <c:v>45627</c:v>
                </c:pt>
                <c:pt idx="72" formatCode="m/d/yyyy">
                  <c:v>45658</c:v>
                </c:pt>
                <c:pt idx="73" formatCode="m/d/yyyy">
                  <c:v>45689</c:v>
                </c:pt>
              </c:numCache>
            </c:numRef>
          </c:cat>
          <c:val>
            <c:numRef>
              <c:f>'Bijdrage aan de jaarmutatie CPI'!$B$38:$B$111</c:f>
              <c:numCache>
                <c:formatCode>General</c:formatCode>
                <c:ptCount val="74"/>
                <c:pt idx="0">
                  <c:v>2.2000000000000002</c:v>
                </c:pt>
                <c:pt idx="1">
                  <c:v>2.6</c:v>
                </c:pt>
                <c:pt idx="2">
                  <c:v>2.8</c:v>
                </c:pt>
                <c:pt idx="3">
                  <c:v>2.9</c:v>
                </c:pt>
                <c:pt idx="4">
                  <c:v>2.4</c:v>
                </c:pt>
                <c:pt idx="5">
                  <c:v>2.7</c:v>
                </c:pt>
                <c:pt idx="6">
                  <c:v>2.5</c:v>
                </c:pt>
                <c:pt idx="7">
                  <c:v>2.8</c:v>
                </c:pt>
                <c:pt idx="8">
                  <c:v>2.6</c:v>
                </c:pt>
                <c:pt idx="9">
                  <c:v>2.7</c:v>
                </c:pt>
                <c:pt idx="10">
                  <c:v>2.6</c:v>
                </c:pt>
                <c:pt idx="11">
                  <c:v>2.7</c:v>
                </c:pt>
                <c:pt idx="12">
                  <c:v>1.8</c:v>
                </c:pt>
                <c:pt idx="13">
                  <c:v>1.6</c:v>
                </c:pt>
                <c:pt idx="14">
                  <c:v>1.4</c:v>
                </c:pt>
                <c:pt idx="15">
                  <c:v>1.2</c:v>
                </c:pt>
                <c:pt idx="16">
                  <c:v>1.2</c:v>
                </c:pt>
                <c:pt idx="17">
                  <c:v>1.6</c:v>
                </c:pt>
                <c:pt idx="18">
                  <c:v>1.7</c:v>
                </c:pt>
                <c:pt idx="19">
                  <c:v>0.7</c:v>
                </c:pt>
                <c:pt idx="20">
                  <c:v>1.1000000000000001</c:v>
                </c:pt>
                <c:pt idx="21">
                  <c:v>1.2</c:v>
                </c:pt>
                <c:pt idx="22">
                  <c:v>0.8</c:v>
                </c:pt>
                <c:pt idx="23">
                  <c:v>1</c:v>
                </c:pt>
                <c:pt idx="24">
                  <c:v>1.6</c:v>
                </c:pt>
                <c:pt idx="25">
                  <c:v>1.8</c:v>
                </c:pt>
                <c:pt idx="26">
                  <c:v>1.9</c:v>
                </c:pt>
                <c:pt idx="27">
                  <c:v>1.9</c:v>
                </c:pt>
                <c:pt idx="28">
                  <c:v>2.1</c:v>
                </c:pt>
                <c:pt idx="29">
                  <c:v>2</c:v>
                </c:pt>
                <c:pt idx="30">
                  <c:v>1.4</c:v>
                </c:pt>
                <c:pt idx="31">
                  <c:v>2.4</c:v>
                </c:pt>
                <c:pt idx="32">
                  <c:v>2.7</c:v>
                </c:pt>
                <c:pt idx="33">
                  <c:v>3.4</c:v>
                </c:pt>
                <c:pt idx="34">
                  <c:v>5.2</c:v>
                </c:pt>
                <c:pt idx="35">
                  <c:v>5.7</c:v>
                </c:pt>
                <c:pt idx="36">
                  <c:v>6.4</c:v>
                </c:pt>
                <c:pt idx="37">
                  <c:v>6.2</c:v>
                </c:pt>
                <c:pt idx="38">
                  <c:v>9.6999999999999993</c:v>
                </c:pt>
                <c:pt idx="39">
                  <c:v>9.6</c:v>
                </c:pt>
                <c:pt idx="40">
                  <c:v>8.8000000000000007</c:v>
                </c:pt>
                <c:pt idx="41">
                  <c:v>8.6</c:v>
                </c:pt>
                <c:pt idx="42">
                  <c:v>10.3</c:v>
                </c:pt>
                <c:pt idx="43">
                  <c:v>12</c:v>
                </c:pt>
                <c:pt idx="44">
                  <c:v>14.5</c:v>
                </c:pt>
                <c:pt idx="45">
                  <c:v>14.3</c:v>
                </c:pt>
                <c:pt idx="46">
                  <c:v>9.9</c:v>
                </c:pt>
                <c:pt idx="47">
                  <c:v>9.6</c:v>
                </c:pt>
                <c:pt idx="48">
                  <c:v>7.6</c:v>
                </c:pt>
                <c:pt idx="49">
                  <c:v>8</c:v>
                </c:pt>
                <c:pt idx="50">
                  <c:v>4.4000000000000004</c:v>
                </c:pt>
                <c:pt idx="51">
                  <c:v>5.2</c:v>
                </c:pt>
                <c:pt idx="52">
                  <c:v>6.1</c:v>
                </c:pt>
                <c:pt idx="53">
                  <c:v>5.7</c:v>
                </c:pt>
                <c:pt idx="54">
                  <c:v>4.5999999999999996</c:v>
                </c:pt>
                <c:pt idx="55">
                  <c:v>3</c:v>
                </c:pt>
                <c:pt idx="56">
                  <c:v>0.2</c:v>
                </c:pt>
                <c:pt idx="57">
                  <c:v>-0.4</c:v>
                </c:pt>
                <c:pt idx="58">
                  <c:v>1.6</c:v>
                </c:pt>
                <c:pt idx="59">
                  <c:v>1.2</c:v>
                </c:pt>
                <c:pt idx="60">
                  <c:v>3.2</c:v>
                </c:pt>
                <c:pt idx="61">
                  <c:v>2.8</c:v>
                </c:pt>
                <c:pt idx="62">
                  <c:v>3.1</c:v>
                </c:pt>
                <c:pt idx="63">
                  <c:v>2.7</c:v>
                </c:pt>
                <c:pt idx="64">
                  <c:v>2.7</c:v>
                </c:pt>
                <c:pt idx="65">
                  <c:v>3.2</c:v>
                </c:pt>
                <c:pt idx="66">
                  <c:v>3.7</c:v>
                </c:pt>
                <c:pt idx="67">
                  <c:v>3.6</c:v>
                </c:pt>
                <c:pt idx="68">
                  <c:v>3.5</c:v>
                </c:pt>
                <c:pt idx="69">
                  <c:v>3.5</c:v>
                </c:pt>
                <c:pt idx="70">
                  <c:v>4</c:v>
                </c:pt>
                <c:pt idx="71">
                  <c:v>4.0999999999999996</c:v>
                </c:pt>
                <c:pt idx="72">
                  <c:v>3.3</c:v>
                </c:pt>
                <c:pt idx="73">
                  <c:v>3.8</c:v>
                </c:pt>
              </c:numCache>
            </c:numRef>
          </c:val>
          <c:smooth val="0"/>
          <c:extLst>
            <c:ext xmlns:c16="http://schemas.microsoft.com/office/drawing/2014/chart" uri="{C3380CC4-5D6E-409C-BE32-E72D297353CC}">
              <c16:uniqueId val="{00000006-5F3F-4AF0-AFF0-6A624D79A431}"/>
            </c:ext>
          </c:extLst>
        </c:ser>
        <c:dLbls>
          <c:showLegendKey val="0"/>
          <c:showVal val="0"/>
          <c:showCatName val="0"/>
          <c:showSerName val="0"/>
          <c:showPercent val="0"/>
          <c:showBubbleSize val="0"/>
        </c:dLbls>
        <c:marker val="1"/>
        <c:smooth val="0"/>
        <c:axId val="180363472"/>
        <c:axId val="180374992"/>
      </c:lineChart>
      <c:dateAx>
        <c:axId val="180363472"/>
        <c:scaling>
          <c:orientation val="minMax"/>
        </c:scaling>
        <c:delete val="0"/>
        <c:axPos val="b"/>
        <c:numFmt formatCode="yyyy" sourceLinked="0"/>
        <c:majorTickMark val="out"/>
        <c:minorTickMark val="none"/>
        <c:tickLblPos val="low"/>
        <c:spPr>
          <a:noFill/>
          <a:ln w="9525" cap="flat" cmpd="sng" algn="ctr">
            <a:solidFill>
              <a:sysClr val="windowText" lastClr="000000"/>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80374992"/>
        <c:crosses val="autoZero"/>
        <c:auto val="1"/>
        <c:lblOffset val="100"/>
        <c:baseTimeUnit val="months"/>
        <c:majorUnit val="12"/>
        <c:majorTimeUnit val="months"/>
      </c:dateAx>
      <c:valAx>
        <c:axId val="180374992"/>
        <c:scaling>
          <c:orientation val="minMax"/>
          <c:max val="15"/>
          <c:min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en-US"/>
                  <a:t>Ontwikkeling t.o.v. vorig jaar (%)</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80363472"/>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ysClr val="windowText" lastClr="000000"/>
          </a:solidFill>
          <a:latin typeface="Verdana" panose="020B0604030504040204" pitchFamily="34" charset="0"/>
          <a:ea typeface="Verdana" panose="020B0604030504040204" pitchFamily="34" charset="0"/>
        </a:defRPr>
      </a:pPr>
      <a:endParaRPr lang="nl-N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096017525368398E-2"/>
          <c:y val="5.2383517013738772E-2"/>
          <c:w val="0.88149266762599232"/>
          <c:h val="0.59802522846034289"/>
        </c:manualLayout>
      </c:layout>
      <c:barChart>
        <c:barDir val="col"/>
        <c:grouping val="stacked"/>
        <c:varyColors val="0"/>
        <c:ser>
          <c:idx val="1"/>
          <c:order val="0"/>
          <c:tx>
            <c:strRef>
              <c:f>decompositie!$BW$6</c:f>
              <c:strCache>
                <c:ptCount val="1"/>
                <c:pt idx="0">
                  <c:v>loon werknemers</c:v>
                </c:pt>
              </c:strCache>
            </c:strRef>
          </c:tx>
          <c:spPr>
            <a:solidFill>
              <a:schemeClr val="accent2"/>
            </a:solidFill>
            <a:ln>
              <a:noFill/>
            </a:ln>
            <a:effectLst/>
          </c:spPr>
          <c:invertIfNegative val="0"/>
          <c:cat>
            <c:strRef>
              <c:f>decompositie!$A$103:$A$126</c:f>
              <c:strCache>
                <c:ptCount val="24"/>
                <c:pt idx="0">
                  <c:v>19K1</c:v>
                </c:pt>
                <c:pt idx="1">
                  <c:v>19K2</c:v>
                </c:pt>
                <c:pt idx="2">
                  <c:v>19K3</c:v>
                </c:pt>
                <c:pt idx="3">
                  <c:v>19K4</c:v>
                </c:pt>
                <c:pt idx="4">
                  <c:v>20K1</c:v>
                </c:pt>
                <c:pt idx="5">
                  <c:v>20K2</c:v>
                </c:pt>
                <c:pt idx="6">
                  <c:v>20K3</c:v>
                </c:pt>
                <c:pt idx="7">
                  <c:v>20K4</c:v>
                </c:pt>
                <c:pt idx="8">
                  <c:v>21K1</c:v>
                </c:pt>
                <c:pt idx="9">
                  <c:v>21K2</c:v>
                </c:pt>
                <c:pt idx="10">
                  <c:v>21K3</c:v>
                </c:pt>
                <c:pt idx="11">
                  <c:v>21K4</c:v>
                </c:pt>
                <c:pt idx="12">
                  <c:v>22K1</c:v>
                </c:pt>
                <c:pt idx="13">
                  <c:v>22K2</c:v>
                </c:pt>
                <c:pt idx="14">
                  <c:v>22K3</c:v>
                </c:pt>
                <c:pt idx="15">
                  <c:v>22K4</c:v>
                </c:pt>
                <c:pt idx="16">
                  <c:v>23K1</c:v>
                </c:pt>
                <c:pt idx="17">
                  <c:v>23K2</c:v>
                </c:pt>
                <c:pt idx="18">
                  <c:v>23K3</c:v>
                </c:pt>
                <c:pt idx="19">
                  <c:v>23K4</c:v>
                </c:pt>
                <c:pt idx="20">
                  <c:v>24K1</c:v>
                </c:pt>
                <c:pt idx="21">
                  <c:v>24K2</c:v>
                </c:pt>
                <c:pt idx="22">
                  <c:v>24K3</c:v>
                </c:pt>
                <c:pt idx="23">
                  <c:v>24K4</c:v>
                </c:pt>
              </c:strCache>
              <c:extLst/>
            </c:strRef>
          </c:cat>
          <c:val>
            <c:numRef>
              <c:f>decompositie!$BW$103:$BW$126</c:f>
              <c:numCache>
                <c:formatCode>0.000</c:formatCode>
                <c:ptCount val="24"/>
                <c:pt idx="0">
                  <c:v>1.6348573891789895</c:v>
                </c:pt>
                <c:pt idx="1">
                  <c:v>1.8468191897578805</c:v>
                </c:pt>
                <c:pt idx="2">
                  <c:v>1.2072821468645887</c:v>
                </c:pt>
                <c:pt idx="3">
                  <c:v>1.5579198355122943</c:v>
                </c:pt>
                <c:pt idx="4">
                  <c:v>2.6640747310464929</c:v>
                </c:pt>
                <c:pt idx="5">
                  <c:v>6.5324217670003</c:v>
                </c:pt>
                <c:pt idx="6">
                  <c:v>3.3293658077641006</c:v>
                </c:pt>
                <c:pt idx="7">
                  <c:v>4.2364362134005953</c:v>
                </c:pt>
                <c:pt idx="8">
                  <c:v>1.9375513192762512</c:v>
                </c:pt>
                <c:pt idx="9">
                  <c:v>-3.6819565682462154</c:v>
                </c:pt>
                <c:pt idx="10">
                  <c:v>-1.2726682281170754</c:v>
                </c:pt>
                <c:pt idx="11">
                  <c:v>-2.2265093354033749</c:v>
                </c:pt>
                <c:pt idx="12">
                  <c:v>-0.25004560483929683</c:v>
                </c:pt>
                <c:pt idx="13">
                  <c:v>-0.1550673583052766</c:v>
                </c:pt>
                <c:pt idx="14">
                  <c:v>1.7147402701174601</c:v>
                </c:pt>
                <c:pt idx="15">
                  <c:v>1.8602611170336494</c:v>
                </c:pt>
                <c:pt idx="16">
                  <c:v>2.7963234741163556</c:v>
                </c:pt>
                <c:pt idx="17">
                  <c:v>4.9025838422831303</c:v>
                </c:pt>
                <c:pt idx="18">
                  <c:v>3.9224328358508336</c:v>
                </c:pt>
                <c:pt idx="19">
                  <c:v>3.7949169043651998</c:v>
                </c:pt>
                <c:pt idx="20">
                  <c:v>3.952699376386037</c:v>
                </c:pt>
                <c:pt idx="21">
                  <c:v>3.3033515772647521</c:v>
                </c:pt>
                <c:pt idx="22">
                  <c:v>2.3260512922312153</c:v>
                </c:pt>
                <c:pt idx="23">
                  <c:v>#N/A</c:v>
                </c:pt>
              </c:numCache>
              <c:extLst/>
            </c:numRef>
          </c:val>
          <c:extLst>
            <c:ext xmlns:c16="http://schemas.microsoft.com/office/drawing/2014/chart" uri="{C3380CC4-5D6E-409C-BE32-E72D297353CC}">
              <c16:uniqueId val="{00000000-5AC8-4CA4-8550-FCA3F3D9585B}"/>
            </c:ext>
          </c:extLst>
        </c:ser>
        <c:ser>
          <c:idx val="2"/>
          <c:order val="1"/>
          <c:tx>
            <c:strRef>
              <c:f>decompositie!$CC$3</c:f>
              <c:strCache>
                <c:ptCount val="1"/>
                <c:pt idx="0">
                  <c:v>inkomen zelfstandigen</c:v>
                </c:pt>
              </c:strCache>
            </c:strRef>
          </c:tx>
          <c:spPr>
            <a:solidFill>
              <a:schemeClr val="accent3"/>
            </a:solidFill>
            <a:ln>
              <a:noFill/>
            </a:ln>
            <a:effectLst/>
          </c:spPr>
          <c:invertIfNegative val="0"/>
          <c:cat>
            <c:strRef>
              <c:f>decompositie!$A$103:$A$126</c:f>
              <c:strCache>
                <c:ptCount val="24"/>
                <c:pt idx="0">
                  <c:v>19K1</c:v>
                </c:pt>
                <c:pt idx="1">
                  <c:v>19K2</c:v>
                </c:pt>
                <c:pt idx="2">
                  <c:v>19K3</c:v>
                </c:pt>
                <c:pt idx="3">
                  <c:v>19K4</c:v>
                </c:pt>
                <c:pt idx="4">
                  <c:v>20K1</c:v>
                </c:pt>
                <c:pt idx="5">
                  <c:v>20K2</c:v>
                </c:pt>
                <c:pt idx="6">
                  <c:v>20K3</c:v>
                </c:pt>
                <c:pt idx="7">
                  <c:v>20K4</c:v>
                </c:pt>
                <c:pt idx="8">
                  <c:v>21K1</c:v>
                </c:pt>
                <c:pt idx="9">
                  <c:v>21K2</c:v>
                </c:pt>
                <c:pt idx="10">
                  <c:v>21K3</c:v>
                </c:pt>
                <c:pt idx="11">
                  <c:v>21K4</c:v>
                </c:pt>
                <c:pt idx="12">
                  <c:v>22K1</c:v>
                </c:pt>
                <c:pt idx="13">
                  <c:v>22K2</c:v>
                </c:pt>
                <c:pt idx="14">
                  <c:v>22K3</c:v>
                </c:pt>
                <c:pt idx="15">
                  <c:v>22K4</c:v>
                </c:pt>
                <c:pt idx="16">
                  <c:v>23K1</c:v>
                </c:pt>
                <c:pt idx="17">
                  <c:v>23K2</c:v>
                </c:pt>
                <c:pt idx="18">
                  <c:v>23K3</c:v>
                </c:pt>
                <c:pt idx="19">
                  <c:v>23K4</c:v>
                </c:pt>
                <c:pt idx="20">
                  <c:v>24K1</c:v>
                </c:pt>
                <c:pt idx="21">
                  <c:v>24K2</c:v>
                </c:pt>
                <c:pt idx="22">
                  <c:v>24K3</c:v>
                </c:pt>
                <c:pt idx="23">
                  <c:v>24K4</c:v>
                </c:pt>
              </c:strCache>
              <c:extLst/>
            </c:strRef>
          </c:cat>
          <c:val>
            <c:numRef>
              <c:f>decompositie!$CC$103:$CC$126</c:f>
              <c:numCache>
                <c:formatCode>0.000</c:formatCode>
                <c:ptCount val="24"/>
                <c:pt idx="0">
                  <c:v>0.26995578232025669</c:v>
                </c:pt>
                <c:pt idx="1">
                  <c:v>0.22325738144575977</c:v>
                </c:pt>
                <c:pt idx="2">
                  <c:v>-0.16047460778096323</c:v>
                </c:pt>
                <c:pt idx="3">
                  <c:v>-3.1706287542975263E-3</c:v>
                </c:pt>
                <c:pt idx="4">
                  <c:v>0.11726663775402354</c:v>
                </c:pt>
                <c:pt idx="5">
                  <c:v>3.3111901801711349E-2</c:v>
                </c:pt>
                <c:pt idx="6">
                  <c:v>0.39048848315433043</c:v>
                </c:pt>
                <c:pt idx="7">
                  <c:v>-0.3132818379398582</c:v>
                </c:pt>
                <c:pt idx="8">
                  <c:v>0.19695165751834171</c:v>
                </c:pt>
                <c:pt idx="9">
                  <c:v>0.65527154975672197</c:v>
                </c:pt>
                <c:pt idx="10">
                  <c:v>0.55115481565151436</c:v>
                </c:pt>
                <c:pt idx="11">
                  <c:v>0.70619131464508544</c:v>
                </c:pt>
                <c:pt idx="12">
                  <c:v>0.28928129723909446</c:v>
                </c:pt>
                <c:pt idx="13">
                  <c:v>0.47243170282728381</c:v>
                </c:pt>
                <c:pt idx="14">
                  <c:v>1.0980045060998909</c:v>
                </c:pt>
                <c:pt idx="15">
                  <c:v>1.8854368132862303</c:v>
                </c:pt>
                <c:pt idx="16">
                  <c:v>2.9418337590568671</c:v>
                </c:pt>
                <c:pt idx="17">
                  <c:v>2.2657081064451687</c:v>
                </c:pt>
                <c:pt idx="18">
                  <c:v>1.9385765653647709</c:v>
                </c:pt>
                <c:pt idx="19">
                  <c:v>1.2928346588695105</c:v>
                </c:pt>
                <c:pt idx="20">
                  <c:v>0.88319743972379261</c:v>
                </c:pt>
                <c:pt idx="21">
                  <c:v>0.55771772489053995</c:v>
                </c:pt>
                <c:pt idx="22">
                  <c:v>0.28044774500729908</c:v>
                </c:pt>
                <c:pt idx="23">
                  <c:v>#N/A</c:v>
                </c:pt>
              </c:numCache>
              <c:extLst/>
            </c:numRef>
          </c:val>
          <c:extLst>
            <c:ext xmlns:c16="http://schemas.microsoft.com/office/drawing/2014/chart" uri="{C3380CC4-5D6E-409C-BE32-E72D297353CC}">
              <c16:uniqueId val="{00000001-5AC8-4CA4-8550-FCA3F3D9585B}"/>
            </c:ext>
          </c:extLst>
        </c:ser>
        <c:ser>
          <c:idx val="5"/>
          <c:order val="2"/>
          <c:tx>
            <c:strRef>
              <c:f>decompositie!$CB$6</c:f>
              <c:strCache>
                <c:ptCount val="1"/>
                <c:pt idx="0">
                  <c:v>nettowinst bedrijven</c:v>
                </c:pt>
              </c:strCache>
            </c:strRef>
          </c:tx>
          <c:spPr>
            <a:solidFill>
              <a:schemeClr val="accent6"/>
            </a:solidFill>
            <a:ln>
              <a:noFill/>
            </a:ln>
            <a:effectLst/>
          </c:spPr>
          <c:invertIfNegative val="0"/>
          <c:cat>
            <c:strRef>
              <c:f>decompositie!$A$103:$A$126</c:f>
              <c:strCache>
                <c:ptCount val="24"/>
                <c:pt idx="0">
                  <c:v>19K1</c:v>
                </c:pt>
                <c:pt idx="1">
                  <c:v>19K2</c:v>
                </c:pt>
                <c:pt idx="2">
                  <c:v>19K3</c:v>
                </c:pt>
                <c:pt idx="3">
                  <c:v>19K4</c:v>
                </c:pt>
                <c:pt idx="4">
                  <c:v>20K1</c:v>
                </c:pt>
                <c:pt idx="5">
                  <c:v>20K2</c:v>
                </c:pt>
                <c:pt idx="6">
                  <c:v>20K3</c:v>
                </c:pt>
                <c:pt idx="7">
                  <c:v>20K4</c:v>
                </c:pt>
                <c:pt idx="8">
                  <c:v>21K1</c:v>
                </c:pt>
                <c:pt idx="9">
                  <c:v>21K2</c:v>
                </c:pt>
                <c:pt idx="10">
                  <c:v>21K3</c:v>
                </c:pt>
                <c:pt idx="11">
                  <c:v>21K4</c:v>
                </c:pt>
                <c:pt idx="12">
                  <c:v>22K1</c:v>
                </c:pt>
                <c:pt idx="13">
                  <c:v>22K2</c:v>
                </c:pt>
                <c:pt idx="14">
                  <c:v>22K3</c:v>
                </c:pt>
                <c:pt idx="15">
                  <c:v>22K4</c:v>
                </c:pt>
                <c:pt idx="16">
                  <c:v>23K1</c:v>
                </c:pt>
                <c:pt idx="17">
                  <c:v>23K2</c:v>
                </c:pt>
                <c:pt idx="18">
                  <c:v>23K3</c:v>
                </c:pt>
                <c:pt idx="19">
                  <c:v>23K4</c:v>
                </c:pt>
                <c:pt idx="20">
                  <c:v>24K1</c:v>
                </c:pt>
                <c:pt idx="21">
                  <c:v>24K2</c:v>
                </c:pt>
                <c:pt idx="22">
                  <c:v>24K3</c:v>
                </c:pt>
                <c:pt idx="23">
                  <c:v>24K4</c:v>
                </c:pt>
              </c:strCache>
              <c:extLst/>
            </c:strRef>
          </c:cat>
          <c:val>
            <c:numRef>
              <c:f>decompositie!$CB$103:$CB$126</c:f>
              <c:numCache>
                <c:formatCode>0.000</c:formatCode>
                <c:ptCount val="24"/>
                <c:pt idx="0">
                  <c:v>0.5041267134610945</c:v>
                </c:pt>
                <c:pt idx="1">
                  <c:v>0.66064074411298157</c:v>
                </c:pt>
                <c:pt idx="2">
                  <c:v>1.1386830962479024</c:v>
                </c:pt>
                <c:pt idx="3">
                  <c:v>0.5339935694385699</c:v>
                </c:pt>
                <c:pt idx="4">
                  <c:v>-0.66706146103362873</c:v>
                </c:pt>
                <c:pt idx="5">
                  <c:v>-0.64056218673349707</c:v>
                </c:pt>
                <c:pt idx="6">
                  <c:v>-1.060338632119086</c:v>
                </c:pt>
                <c:pt idx="7">
                  <c:v>1.5519567791341937</c:v>
                </c:pt>
                <c:pt idx="8">
                  <c:v>1.641555276323416</c:v>
                </c:pt>
                <c:pt idx="9">
                  <c:v>2.7292922042020846</c:v>
                </c:pt>
                <c:pt idx="10">
                  <c:v>3.413974227662115</c:v>
                </c:pt>
                <c:pt idx="11">
                  <c:v>1.9678349376813031</c:v>
                </c:pt>
                <c:pt idx="12">
                  <c:v>2.8959692571851723</c:v>
                </c:pt>
                <c:pt idx="13">
                  <c:v>1.2486434338285499</c:v>
                </c:pt>
                <c:pt idx="14">
                  <c:v>2.2127568201684085</c:v>
                </c:pt>
                <c:pt idx="15">
                  <c:v>1.4885922082691343</c:v>
                </c:pt>
                <c:pt idx="16">
                  <c:v>2.0779568984685621</c:v>
                </c:pt>
                <c:pt idx="17">
                  <c:v>1.8990400608420028</c:v>
                </c:pt>
                <c:pt idx="18">
                  <c:v>1.2075418831082616</c:v>
                </c:pt>
                <c:pt idx="19">
                  <c:v>0.31700060264815871</c:v>
                </c:pt>
                <c:pt idx="20">
                  <c:v>-1.1321713221873071</c:v>
                </c:pt>
                <c:pt idx="21">
                  <c:v>7.1608564980638056E-3</c:v>
                </c:pt>
                <c:pt idx="22">
                  <c:v>0.62603271173943664</c:v>
                </c:pt>
                <c:pt idx="23">
                  <c:v>#N/A</c:v>
                </c:pt>
              </c:numCache>
              <c:extLst/>
            </c:numRef>
          </c:val>
          <c:extLst>
            <c:ext xmlns:c16="http://schemas.microsoft.com/office/drawing/2014/chart" uri="{C3380CC4-5D6E-409C-BE32-E72D297353CC}">
              <c16:uniqueId val="{00000002-5AC8-4CA4-8550-FCA3F3D9585B}"/>
            </c:ext>
          </c:extLst>
        </c:ser>
        <c:ser>
          <c:idx val="0"/>
          <c:order val="3"/>
          <c:tx>
            <c:strRef>
              <c:f>decompositie!$BV$6</c:f>
              <c:strCache>
                <c:ptCount val="1"/>
                <c:pt idx="0">
                  <c:v>afschrijvingen</c:v>
                </c:pt>
              </c:strCache>
            </c:strRef>
          </c:tx>
          <c:spPr>
            <a:solidFill>
              <a:schemeClr val="accent1"/>
            </a:solidFill>
            <a:ln>
              <a:noFill/>
            </a:ln>
            <a:effectLst/>
          </c:spPr>
          <c:invertIfNegative val="0"/>
          <c:cat>
            <c:strRef>
              <c:f>decompositie!$A$103:$A$126</c:f>
              <c:strCache>
                <c:ptCount val="24"/>
                <c:pt idx="0">
                  <c:v>19K1</c:v>
                </c:pt>
                <c:pt idx="1">
                  <c:v>19K2</c:v>
                </c:pt>
                <c:pt idx="2">
                  <c:v>19K3</c:v>
                </c:pt>
                <c:pt idx="3">
                  <c:v>19K4</c:v>
                </c:pt>
                <c:pt idx="4">
                  <c:v>20K1</c:v>
                </c:pt>
                <c:pt idx="5">
                  <c:v>20K2</c:v>
                </c:pt>
                <c:pt idx="6">
                  <c:v>20K3</c:v>
                </c:pt>
                <c:pt idx="7">
                  <c:v>20K4</c:v>
                </c:pt>
                <c:pt idx="8">
                  <c:v>21K1</c:v>
                </c:pt>
                <c:pt idx="9">
                  <c:v>21K2</c:v>
                </c:pt>
                <c:pt idx="10">
                  <c:v>21K3</c:v>
                </c:pt>
                <c:pt idx="11">
                  <c:v>21K4</c:v>
                </c:pt>
                <c:pt idx="12">
                  <c:v>22K1</c:v>
                </c:pt>
                <c:pt idx="13">
                  <c:v>22K2</c:v>
                </c:pt>
                <c:pt idx="14">
                  <c:v>22K3</c:v>
                </c:pt>
                <c:pt idx="15">
                  <c:v>22K4</c:v>
                </c:pt>
                <c:pt idx="16">
                  <c:v>23K1</c:v>
                </c:pt>
                <c:pt idx="17">
                  <c:v>23K2</c:v>
                </c:pt>
                <c:pt idx="18">
                  <c:v>23K3</c:v>
                </c:pt>
                <c:pt idx="19">
                  <c:v>23K4</c:v>
                </c:pt>
                <c:pt idx="20">
                  <c:v>24K1</c:v>
                </c:pt>
                <c:pt idx="21">
                  <c:v>24K2</c:v>
                </c:pt>
                <c:pt idx="22">
                  <c:v>24K3</c:v>
                </c:pt>
                <c:pt idx="23">
                  <c:v>24K4</c:v>
                </c:pt>
              </c:strCache>
              <c:extLst/>
            </c:strRef>
          </c:cat>
          <c:val>
            <c:numRef>
              <c:f>decompositie!$BV$103:$BV$126</c:f>
              <c:numCache>
                <c:formatCode>0.000</c:formatCode>
                <c:ptCount val="24"/>
                <c:pt idx="0">
                  <c:v>0.40298954910820023</c:v>
                </c:pt>
                <c:pt idx="1">
                  <c:v>0.39850889763521552</c:v>
                </c:pt>
                <c:pt idx="2">
                  <c:v>0.36257238883095327</c:v>
                </c:pt>
                <c:pt idx="3">
                  <c:v>0.37812917908064708</c:v>
                </c:pt>
                <c:pt idx="4">
                  <c:v>0.86520731626346492</c:v>
                </c:pt>
                <c:pt idx="5">
                  <c:v>2.5267998345213645</c:v>
                </c:pt>
                <c:pt idx="6">
                  <c:v>1.5683257837664915</c:v>
                </c:pt>
                <c:pt idx="7">
                  <c:v>1.3602745639890479</c:v>
                </c:pt>
                <c:pt idx="8">
                  <c:v>1.0598820429992208</c:v>
                </c:pt>
                <c:pt idx="9">
                  <c:v>-1.2108747265849067</c:v>
                </c:pt>
                <c:pt idx="10">
                  <c:v>-0.36484549117757731</c:v>
                </c:pt>
                <c:pt idx="11">
                  <c:v>-0.3635812533428795</c:v>
                </c:pt>
                <c:pt idx="12">
                  <c:v>0.36268568072175839</c:v>
                </c:pt>
                <c:pt idx="13">
                  <c:v>0.44835304555513233</c:v>
                </c:pt>
                <c:pt idx="14">
                  <c:v>0.73391972939885675</c:v>
                </c:pt>
                <c:pt idx="15">
                  <c:v>0.60748831713285212</c:v>
                </c:pt>
                <c:pt idx="16">
                  <c:v>0.79998429822726158</c:v>
                </c:pt>
                <c:pt idx="17">
                  <c:v>1.1448336544664282</c:v>
                </c:pt>
                <c:pt idx="18">
                  <c:v>1.2075452220330651</c:v>
                </c:pt>
                <c:pt idx="19">
                  <c:v>1.0921838794421412</c:v>
                </c:pt>
                <c:pt idx="20">
                  <c:v>1.2250825715351374</c:v>
                </c:pt>
                <c:pt idx="21">
                  <c:v>0.90256728961054067</c:v>
                </c:pt>
                <c:pt idx="22">
                  <c:v>0.7745799012162331</c:v>
                </c:pt>
                <c:pt idx="23">
                  <c:v>#N/A</c:v>
                </c:pt>
              </c:numCache>
              <c:extLst/>
            </c:numRef>
          </c:val>
          <c:extLst>
            <c:ext xmlns:c16="http://schemas.microsoft.com/office/drawing/2014/chart" uri="{C3380CC4-5D6E-409C-BE32-E72D297353CC}">
              <c16:uniqueId val="{00000003-5AC8-4CA4-8550-FCA3F3D9585B}"/>
            </c:ext>
          </c:extLst>
        </c:ser>
        <c:ser>
          <c:idx val="3"/>
          <c:order val="4"/>
          <c:tx>
            <c:strRef>
              <c:f>decompositie!$CD$3</c:f>
              <c:strCache>
                <c:ptCount val="1"/>
                <c:pt idx="0">
                  <c:v>niet-productgebonden belastingen</c:v>
                </c:pt>
              </c:strCache>
            </c:strRef>
          </c:tx>
          <c:spPr>
            <a:solidFill>
              <a:schemeClr val="accent4"/>
            </a:solidFill>
            <a:ln>
              <a:noFill/>
            </a:ln>
            <a:effectLst/>
          </c:spPr>
          <c:invertIfNegative val="0"/>
          <c:cat>
            <c:strRef>
              <c:f>decompositie!$A$103:$A$126</c:f>
              <c:strCache>
                <c:ptCount val="24"/>
                <c:pt idx="0">
                  <c:v>19K1</c:v>
                </c:pt>
                <c:pt idx="1">
                  <c:v>19K2</c:v>
                </c:pt>
                <c:pt idx="2">
                  <c:v>19K3</c:v>
                </c:pt>
                <c:pt idx="3">
                  <c:v>19K4</c:v>
                </c:pt>
                <c:pt idx="4">
                  <c:v>20K1</c:v>
                </c:pt>
                <c:pt idx="5">
                  <c:v>20K2</c:v>
                </c:pt>
                <c:pt idx="6">
                  <c:v>20K3</c:v>
                </c:pt>
                <c:pt idx="7">
                  <c:v>20K4</c:v>
                </c:pt>
                <c:pt idx="8">
                  <c:v>21K1</c:v>
                </c:pt>
                <c:pt idx="9">
                  <c:v>21K2</c:v>
                </c:pt>
                <c:pt idx="10">
                  <c:v>21K3</c:v>
                </c:pt>
                <c:pt idx="11">
                  <c:v>21K4</c:v>
                </c:pt>
                <c:pt idx="12">
                  <c:v>22K1</c:v>
                </c:pt>
                <c:pt idx="13">
                  <c:v>22K2</c:v>
                </c:pt>
                <c:pt idx="14">
                  <c:v>22K3</c:v>
                </c:pt>
                <c:pt idx="15">
                  <c:v>22K4</c:v>
                </c:pt>
                <c:pt idx="16">
                  <c:v>23K1</c:v>
                </c:pt>
                <c:pt idx="17">
                  <c:v>23K2</c:v>
                </c:pt>
                <c:pt idx="18">
                  <c:v>23K3</c:v>
                </c:pt>
                <c:pt idx="19">
                  <c:v>23K4</c:v>
                </c:pt>
                <c:pt idx="20">
                  <c:v>24K1</c:v>
                </c:pt>
                <c:pt idx="21">
                  <c:v>24K2</c:v>
                </c:pt>
                <c:pt idx="22">
                  <c:v>24K3</c:v>
                </c:pt>
                <c:pt idx="23">
                  <c:v>24K4</c:v>
                </c:pt>
              </c:strCache>
              <c:extLst/>
            </c:strRef>
          </c:cat>
          <c:val>
            <c:numRef>
              <c:f>decompositie!$CD$103:$CD$126</c:f>
              <c:numCache>
                <c:formatCode>0.000</c:formatCode>
                <c:ptCount val="24"/>
                <c:pt idx="0">
                  <c:v>-7.9037820785324744E-2</c:v>
                </c:pt>
                <c:pt idx="1">
                  <c:v>-3.4713999150766062E-2</c:v>
                </c:pt>
                <c:pt idx="2">
                  <c:v>-5.3859795904137343E-3</c:v>
                </c:pt>
                <c:pt idx="3">
                  <c:v>2.903081543695285E-3</c:v>
                </c:pt>
                <c:pt idx="4">
                  <c:v>-0.3878059686839741</c:v>
                </c:pt>
                <c:pt idx="5">
                  <c:v>-6.4017337473610274</c:v>
                </c:pt>
                <c:pt idx="6">
                  <c:v>-1.7978570541556151</c:v>
                </c:pt>
                <c:pt idx="7">
                  <c:v>-4.1291100187741865</c:v>
                </c:pt>
                <c:pt idx="8">
                  <c:v>-3.3547739433163795</c:v>
                </c:pt>
                <c:pt idx="9">
                  <c:v>3.8345199955998477</c:v>
                </c:pt>
                <c:pt idx="10">
                  <c:v>0.28933538179094498</c:v>
                </c:pt>
                <c:pt idx="11">
                  <c:v>1.3772186214013684</c:v>
                </c:pt>
                <c:pt idx="12">
                  <c:v>2.1592832593260622</c:v>
                </c:pt>
                <c:pt idx="13">
                  <c:v>1.1386796677880757</c:v>
                </c:pt>
                <c:pt idx="14">
                  <c:v>0.10954695814010346</c:v>
                </c:pt>
                <c:pt idx="15">
                  <c:v>1.9591451353220879</c:v>
                </c:pt>
                <c:pt idx="16">
                  <c:v>0.98693356292925438</c:v>
                </c:pt>
                <c:pt idx="17">
                  <c:v>0.72658413899407948</c:v>
                </c:pt>
                <c:pt idx="18">
                  <c:v>0.69020296422089922</c:v>
                </c:pt>
                <c:pt idx="19">
                  <c:v>0.16568152757267576</c:v>
                </c:pt>
                <c:pt idx="20">
                  <c:v>9.6514482773384536E-2</c:v>
                </c:pt>
                <c:pt idx="21">
                  <c:v>-7.5090876220288386E-2</c:v>
                </c:pt>
                <c:pt idx="22">
                  <c:v>2.2278981820971412E-2</c:v>
                </c:pt>
                <c:pt idx="23">
                  <c:v>#N/A</c:v>
                </c:pt>
              </c:numCache>
              <c:extLst/>
            </c:numRef>
          </c:val>
          <c:extLst>
            <c:ext xmlns:c16="http://schemas.microsoft.com/office/drawing/2014/chart" uri="{C3380CC4-5D6E-409C-BE32-E72D297353CC}">
              <c16:uniqueId val="{00000004-5AC8-4CA4-8550-FCA3F3D9585B}"/>
            </c:ext>
          </c:extLst>
        </c:ser>
        <c:dLbls>
          <c:showLegendKey val="0"/>
          <c:showVal val="0"/>
          <c:showCatName val="0"/>
          <c:showSerName val="0"/>
          <c:showPercent val="0"/>
          <c:showBubbleSize val="0"/>
        </c:dLbls>
        <c:gapWidth val="150"/>
        <c:overlap val="100"/>
        <c:axId val="1828005824"/>
        <c:axId val="677192368"/>
      </c:barChart>
      <c:lineChart>
        <c:grouping val="standard"/>
        <c:varyColors val="0"/>
        <c:ser>
          <c:idx val="4"/>
          <c:order val="5"/>
          <c:tx>
            <c:strRef>
              <c:f>decompositie!$CE$3</c:f>
              <c:strCache>
                <c:ptCount val="1"/>
                <c:pt idx="0">
                  <c:v>bbp-deflator</c:v>
                </c:pt>
              </c:strCache>
            </c:strRef>
          </c:tx>
          <c:spPr>
            <a:ln w="19050" cap="rnd">
              <a:solidFill>
                <a:srgbClr val="156082">
                  <a:lumMod val="40000"/>
                  <a:lumOff val="60000"/>
                </a:srgbClr>
              </a:solidFill>
              <a:round/>
            </a:ln>
            <a:effectLst/>
          </c:spPr>
          <c:marker>
            <c:symbol val="none"/>
          </c:marker>
          <c:cat>
            <c:strRef>
              <c:f>decompositie!$A$103:$A$126</c:f>
              <c:strCache>
                <c:ptCount val="24"/>
                <c:pt idx="0">
                  <c:v>19K1</c:v>
                </c:pt>
                <c:pt idx="1">
                  <c:v>19K2</c:v>
                </c:pt>
                <c:pt idx="2">
                  <c:v>19K3</c:v>
                </c:pt>
                <c:pt idx="3">
                  <c:v>19K4</c:v>
                </c:pt>
                <c:pt idx="4">
                  <c:v>20K1</c:v>
                </c:pt>
                <c:pt idx="5">
                  <c:v>20K2</c:v>
                </c:pt>
                <c:pt idx="6">
                  <c:v>20K3</c:v>
                </c:pt>
                <c:pt idx="7">
                  <c:v>20K4</c:v>
                </c:pt>
                <c:pt idx="8">
                  <c:v>21K1</c:v>
                </c:pt>
                <c:pt idx="9">
                  <c:v>21K2</c:v>
                </c:pt>
                <c:pt idx="10">
                  <c:v>21K3</c:v>
                </c:pt>
                <c:pt idx="11">
                  <c:v>21K4</c:v>
                </c:pt>
                <c:pt idx="12">
                  <c:v>22K1</c:v>
                </c:pt>
                <c:pt idx="13">
                  <c:v>22K2</c:v>
                </c:pt>
                <c:pt idx="14">
                  <c:v>22K3</c:v>
                </c:pt>
                <c:pt idx="15">
                  <c:v>22K4</c:v>
                </c:pt>
                <c:pt idx="16">
                  <c:v>23K1</c:v>
                </c:pt>
                <c:pt idx="17">
                  <c:v>23K2</c:v>
                </c:pt>
                <c:pt idx="18">
                  <c:v>23K3</c:v>
                </c:pt>
                <c:pt idx="19">
                  <c:v>23K4</c:v>
                </c:pt>
                <c:pt idx="20">
                  <c:v>24K1</c:v>
                </c:pt>
                <c:pt idx="21">
                  <c:v>24K2</c:v>
                </c:pt>
                <c:pt idx="22">
                  <c:v>24K3</c:v>
                </c:pt>
                <c:pt idx="23">
                  <c:v>24K4</c:v>
                </c:pt>
              </c:strCache>
              <c:extLst/>
            </c:strRef>
          </c:cat>
          <c:val>
            <c:numRef>
              <c:f>decompositie!$CE$103:$CE$126</c:f>
              <c:numCache>
                <c:formatCode>0.000</c:formatCode>
                <c:ptCount val="24"/>
                <c:pt idx="0">
                  <c:v>2.6351322336956251</c:v>
                </c:pt>
                <c:pt idx="1">
                  <c:v>3.0810675938210963</c:v>
                </c:pt>
                <c:pt idx="2">
                  <c:v>2.5334765207030818</c:v>
                </c:pt>
                <c:pt idx="3">
                  <c:v>2.370683217298053</c:v>
                </c:pt>
                <c:pt idx="4">
                  <c:v>2.3563289435283297</c:v>
                </c:pt>
                <c:pt idx="5">
                  <c:v>2.0158766627741631</c:v>
                </c:pt>
                <c:pt idx="6">
                  <c:v>2.4040217622337989</c:v>
                </c:pt>
                <c:pt idx="7">
                  <c:v>2.4464550478432434</c:v>
                </c:pt>
                <c:pt idx="8">
                  <c:v>1.8883230437338083</c:v>
                </c:pt>
                <c:pt idx="9">
                  <c:v>2.3825772207139106</c:v>
                </c:pt>
                <c:pt idx="10">
                  <c:v>2.6529097734137252</c:v>
                </c:pt>
                <c:pt idx="11">
                  <c:v>1.8832619904717074</c:v>
                </c:pt>
                <c:pt idx="12">
                  <c:v>5.2921302321762731</c:v>
                </c:pt>
                <c:pt idx="13">
                  <c:v>4.7983750369162914</c:v>
                </c:pt>
                <c:pt idx="14">
                  <c:v>6.9547244608396674</c:v>
                </c:pt>
                <c:pt idx="15">
                  <c:v>7.5477887637097618</c:v>
                </c:pt>
                <c:pt idx="16">
                  <c:v>9.3627931477968431</c:v>
                </c:pt>
                <c:pt idx="17">
                  <c:v>9.2525599165858008</c:v>
                </c:pt>
                <c:pt idx="18">
                  <c:v>7.8417083078116789</c:v>
                </c:pt>
                <c:pt idx="19">
                  <c:v>6.5139882588291398</c:v>
                </c:pt>
                <c:pt idx="20">
                  <c:v>5.4475456943609002</c:v>
                </c:pt>
                <c:pt idx="21">
                  <c:v>4.9082459777905152</c:v>
                </c:pt>
                <c:pt idx="22">
                  <c:v>4.184317363833201</c:v>
                </c:pt>
                <c:pt idx="23">
                  <c:v>#N/A</c:v>
                </c:pt>
              </c:numCache>
              <c:extLst/>
            </c:numRef>
          </c:val>
          <c:smooth val="0"/>
          <c:extLst>
            <c:ext xmlns:c16="http://schemas.microsoft.com/office/drawing/2014/chart" uri="{C3380CC4-5D6E-409C-BE32-E72D297353CC}">
              <c16:uniqueId val="{00000005-5AC8-4CA4-8550-FCA3F3D9585B}"/>
            </c:ext>
          </c:extLst>
        </c:ser>
        <c:dLbls>
          <c:showLegendKey val="0"/>
          <c:showVal val="0"/>
          <c:showCatName val="0"/>
          <c:showSerName val="0"/>
          <c:showPercent val="0"/>
          <c:showBubbleSize val="0"/>
        </c:dLbls>
        <c:marker val="1"/>
        <c:smooth val="0"/>
        <c:axId val="1828005824"/>
        <c:axId val="677192368"/>
      </c:lineChart>
      <c:dateAx>
        <c:axId val="1828005824"/>
        <c:scaling>
          <c:orientation val="minMax"/>
        </c:scaling>
        <c:delete val="0"/>
        <c:axPos val="b"/>
        <c:numFmt formatCode="General" sourceLinked="1"/>
        <c:majorTickMark val="out"/>
        <c:minorTickMark val="none"/>
        <c:tickLblPos val="low"/>
        <c:spPr>
          <a:noFill/>
          <a:ln w="9525" cap="flat" cmpd="sng" algn="ctr">
            <a:solidFill>
              <a:schemeClr val="tx1"/>
            </a:solidFill>
            <a:round/>
          </a:ln>
          <a:effectLst/>
        </c:spPr>
        <c:txPr>
          <a:bodyPr rot="-5400000" spcFirstLastPara="1" vertOverflow="ellipsis"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nl-NL"/>
          </a:p>
        </c:txPr>
        <c:crossAx val="677192368"/>
        <c:crosses val="autoZero"/>
        <c:auto val="0"/>
        <c:lblOffset val="100"/>
        <c:baseTimeUnit val="days"/>
        <c:majorUnit val="2"/>
      </c:dateAx>
      <c:valAx>
        <c:axId val="677192368"/>
        <c:scaling>
          <c:orientation val="minMax"/>
          <c:max val="12"/>
          <c:min val="-8"/>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Verdana" panose="020B0604030504040204" pitchFamily="34" charset="0"/>
                <a:ea typeface="Verdana" panose="020B0604030504040204" pitchFamily="34" charset="0"/>
                <a:cs typeface="+mn-cs"/>
              </a:defRPr>
            </a:pPr>
            <a:endParaRPr lang="nl-NL"/>
          </a:p>
        </c:txPr>
        <c:crossAx val="1828005824"/>
        <c:crosses val="autoZero"/>
        <c:crossBetween val="between"/>
        <c:majorUnit val="2"/>
      </c:valAx>
      <c:spPr>
        <a:noFill/>
        <a:ln>
          <a:noFill/>
        </a:ln>
        <a:effectLst/>
      </c:spPr>
    </c:plotArea>
    <c:legend>
      <c:legendPos val="b"/>
      <c:layout>
        <c:manualLayout>
          <c:xMode val="edge"/>
          <c:yMode val="edge"/>
          <c:x val="0"/>
          <c:y val="0.83236220472440947"/>
          <c:w val="0.99757476181619031"/>
          <c:h val="0.1344992995507463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25548474241945"/>
          <c:y val="9.2115957735031159E-2"/>
          <c:w val="0.57347191029303779"/>
          <c:h val="0.7960354725369434"/>
        </c:manualLayout>
      </c:layout>
      <c:barChart>
        <c:barDir val="col"/>
        <c:grouping val="stacked"/>
        <c:varyColors val="0"/>
        <c:ser>
          <c:idx val="0"/>
          <c:order val="0"/>
          <c:tx>
            <c:strRef>
              <c:f>'Inflatiebrief CPI CPI afgeleid '!$B$2</c:f>
              <c:strCache>
                <c:ptCount val="1"/>
                <c:pt idx="0">
                  <c:v>Overige oorzaken</c:v>
                </c:pt>
              </c:strCache>
            </c:strRef>
          </c:tx>
          <c:spPr>
            <a:solidFill>
              <a:schemeClr val="accent1"/>
            </a:solidFill>
            <a:ln>
              <a:noFill/>
            </a:ln>
            <a:effectLst/>
          </c:spPr>
          <c:invertIfNegative val="0"/>
          <c:cat>
            <c:numRef>
              <c:f>'Inflatiebrief CPI CPI afgeleid '!$A$3:$A$9</c:f>
              <c:numCache>
                <c:formatCode>General</c:formatCode>
                <c:ptCount val="7"/>
                <c:pt idx="0">
                  <c:v>2018</c:v>
                </c:pt>
                <c:pt idx="1">
                  <c:v>2019</c:v>
                </c:pt>
                <c:pt idx="2">
                  <c:v>2020</c:v>
                </c:pt>
                <c:pt idx="3">
                  <c:v>2021</c:v>
                </c:pt>
                <c:pt idx="4">
                  <c:v>2022</c:v>
                </c:pt>
                <c:pt idx="5">
                  <c:v>2023</c:v>
                </c:pt>
                <c:pt idx="6">
                  <c:v>2024</c:v>
                </c:pt>
              </c:numCache>
            </c:numRef>
          </c:cat>
          <c:val>
            <c:numRef>
              <c:f>'Inflatiebrief CPI CPI afgeleid '!$B$3:$B$9</c:f>
              <c:numCache>
                <c:formatCode>General</c:formatCode>
                <c:ptCount val="7"/>
                <c:pt idx="0">
                  <c:v>1.4</c:v>
                </c:pt>
                <c:pt idx="1">
                  <c:v>1.6</c:v>
                </c:pt>
                <c:pt idx="2">
                  <c:v>1.2</c:v>
                </c:pt>
                <c:pt idx="3">
                  <c:v>2.5</c:v>
                </c:pt>
                <c:pt idx="4">
                  <c:v>11.8</c:v>
                </c:pt>
                <c:pt idx="5">
                  <c:v>3</c:v>
                </c:pt>
                <c:pt idx="6">
                  <c:v>2.4</c:v>
                </c:pt>
              </c:numCache>
            </c:numRef>
          </c:val>
          <c:extLst>
            <c:ext xmlns:c16="http://schemas.microsoft.com/office/drawing/2014/chart" uri="{C3380CC4-5D6E-409C-BE32-E72D297353CC}">
              <c16:uniqueId val="{00000000-79AC-42AF-97BD-91073ECE455B}"/>
            </c:ext>
          </c:extLst>
        </c:ser>
        <c:ser>
          <c:idx val="2"/>
          <c:order val="2"/>
          <c:tx>
            <c:strRef>
              <c:f>'Inflatiebrief CPI CPI afgeleid '!$D$2</c:f>
              <c:strCache>
                <c:ptCount val="1"/>
                <c:pt idx="0">
                  <c:v>Totaal aandeel productgebonden belastingen en subsidies</c:v>
                </c:pt>
              </c:strCache>
            </c:strRef>
          </c:tx>
          <c:spPr>
            <a:solidFill>
              <a:schemeClr val="tx2">
                <a:lumMod val="25000"/>
                <a:lumOff val="75000"/>
              </a:schemeClr>
            </a:solidFill>
            <a:ln>
              <a:noFill/>
            </a:ln>
            <a:effectLst/>
          </c:spPr>
          <c:invertIfNegative val="0"/>
          <c:cat>
            <c:numRef>
              <c:f>'Inflatiebrief CPI CPI afgeleid '!$A$3:$A$9</c:f>
              <c:numCache>
                <c:formatCode>General</c:formatCode>
                <c:ptCount val="7"/>
                <c:pt idx="0">
                  <c:v>2018</c:v>
                </c:pt>
                <c:pt idx="1">
                  <c:v>2019</c:v>
                </c:pt>
                <c:pt idx="2">
                  <c:v>2020</c:v>
                </c:pt>
                <c:pt idx="3">
                  <c:v>2021</c:v>
                </c:pt>
                <c:pt idx="4">
                  <c:v>2022</c:v>
                </c:pt>
                <c:pt idx="5">
                  <c:v>2023</c:v>
                </c:pt>
                <c:pt idx="6">
                  <c:v>2024</c:v>
                </c:pt>
              </c:numCache>
            </c:numRef>
          </c:cat>
          <c:val>
            <c:numRef>
              <c:f>'Inflatiebrief CPI CPI afgeleid '!$D$3:$D$9</c:f>
              <c:numCache>
                <c:formatCode>General</c:formatCode>
                <c:ptCount val="7"/>
                <c:pt idx="0">
                  <c:v>0.3</c:v>
                </c:pt>
                <c:pt idx="1">
                  <c:v>1</c:v>
                </c:pt>
                <c:pt idx="2">
                  <c:v>0.1</c:v>
                </c:pt>
                <c:pt idx="3">
                  <c:v>0.2</c:v>
                </c:pt>
                <c:pt idx="4">
                  <c:v>-1.8</c:v>
                </c:pt>
                <c:pt idx="5">
                  <c:v>0.8</c:v>
                </c:pt>
                <c:pt idx="6">
                  <c:v>0.9</c:v>
                </c:pt>
              </c:numCache>
            </c:numRef>
          </c:val>
          <c:extLst>
            <c:ext xmlns:c16="http://schemas.microsoft.com/office/drawing/2014/chart" uri="{C3380CC4-5D6E-409C-BE32-E72D297353CC}">
              <c16:uniqueId val="{00000001-79AC-42AF-97BD-91073ECE455B}"/>
            </c:ext>
          </c:extLst>
        </c:ser>
        <c:dLbls>
          <c:showLegendKey val="0"/>
          <c:showVal val="0"/>
          <c:showCatName val="0"/>
          <c:showSerName val="0"/>
          <c:showPercent val="0"/>
          <c:showBubbleSize val="0"/>
        </c:dLbls>
        <c:gapWidth val="150"/>
        <c:overlap val="100"/>
        <c:axId val="1027996640"/>
        <c:axId val="1027997120"/>
      </c:barChart>
      <c:lineChart>
        <c:grouping val="standard"/>
        <c:varyColors val="0"/>
        <c:ser>
          <c:idx val="1"/>
          <c:order val="1"/>
          <c:tx>
            <c:strRef>
              <c:f>'Inflatiebrief CPI CPI afgeleid '!$C$2</c:f>
              <c:strCache>
                <c:ptCount val="1"/>
                <c:pt idx="0">
                  <c:v>Totale jaarinflatie</c:v>
                </c:pt>
              </c:strCache>
            </c:strRef>
          </c:tx>
          <c:spPr>
            <a:ln w="28575" cap="rnd">
              <a:noFill/>
              <a:round/>
            </a:ln>
            <a:effectLst/>
          </c:spPr>
          <c:marker>
            <c:symbol val="circle"/>
            <c:size val="5"/>
            <c:spPr>
              <a:solidFill>
                <a:schemeClr val="accent2"/>
              </a:solidFill>
              <a:ln w="9525">
                <a:noFill/>
              </a:ln>
              <a:effectLst/>
            </c:spPr>
          </c:marker>
          <c:cat>
            <c:numRef>
              <c:f>'Inflatiebrief CPI CPI afgeleid '!$A$3:$A$9</c:f>
              <c:numCache>
                <c:formatCode>General</c:formatCode>
                <c:ptCount val="7"/>
                <c:pt idx="0">
                  <c:v>2018</c:v>
                </c:pt>
                <c:pt idx="1">
                  <c:v>2019</c:v>
                </c:pt>
                <c:pt idx="2">
                  <c:v>2020</c:v>
                </c:pt>
                <c:pt idx="3">
                  <c:v>2021</c:v>
                </c:pt>
                <c:pt idx="4">
                  <c:v>2022</c:v>
                </c:pt>
                <c:pt idx="5">
                  <c:v>2023</c:v>
                </c:pt>
                <c:pt idx="6">
                  <c:v>2024</c:v>
                </c:pt>
              </c:numCache>
            </c:numRef>
          </c:cat>
          <c:val>
            <c:numRef>
              <c:f>'Inflatiebrief CPI CPI afgeleid '!$C$3:$C$9</c:f>
              <c:numCache>
                <c:formatCode>General</c:formatCode>
                <c:ptCount val="7"/>
                <c:pt idx="0">
                  <c:v>1.7</c:v>
                </c:pt>
                <c:pt idx="1">
                  <c:v>2.6</c:v>
                </c:pt>
                <c:pt idx="2">
                  <c:v>1.3</c:v>
                </c:pt>
                <c:pt idx="3">
                  <c:v>2.7</c:v>
                </c:pt>
                <c:pt idx="4">
                  <c:v>10</c:v>
                </c:pt>
                <c:pt idx="5">
                  <c:v>3.8</c:v>
                </c:pt>
                <c:pt idx="6">
                  <c:v>3.3</c:v>
                </c:pt>
              </c:numCache>
            </c:numRef>
          </c:val>
          <c:smooth val="0"/>
          <c:extLst>
            <c:ext xmlns:c16="http://schemas.microsoft.com/office/drawing/2014/chart" uri="{C3380CC4-5D6E-409C-BE32-E72D297353CC}">
              <c16:uniqueId val="{00000002-79AC-42AF-97BD-91073ECE455B}"/>
            </c:ext>
          </c:extLst>
        </c:ser>
        <c:dLbls>
          <c:showLegendKey val="0"/>
          <c:showVal val="0"/>
          <c:showCatName val="0"/>
          <c:showSerName val="0"/>
          <c:showPercent val="0"/>
          <c:showBubbleSize val="0"/>
        </c:dLbls>
        <c:marker val="1"/>
        <c:smooth val="0"/>
        <c:axId val="1027996640"/>
        <c:axId val="1027997120"/>
      </c:lineChart>
      <c:catAx>
        <c:axId val="102799664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027997120"/>
        <c:crosses val="autoZero"/>
        <c:auto val="1"/>
        <c:lblAlgn val="ctr"/>
        <c:lblOffset val="100"/>
        <c:noMultiLvlLbl val="0"/>
      </c:catAx>
      <c:valAx>
        <c:axId val="1027997120"/>
        <c:scaling>
          <c:orientation val="minMax"/>
          <c:max val="12"/>
          <c:min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5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nl-NL"/>
                  <a:t>Jaarlijkse mutatie %</a:t>
                </a:r>
              </a:p>
            </c:rich>
          </c:tx>
          <c:overlay val="0"/>
          <c:spPr>
            <a:noFill/>
            <a:ln>
              <a:noFill/>
            </a:ln>
            <a:effectLst/>
          </c:spPr>
          <c:txPr>
            <a:bodyPr rot="-5400000" spcFirstLastPara="1" vertOverflow="ellipsis" vert="horz" wrap="square" anchor="ctr" anchorCtr="1"/>
            <a:lstStyle/>
            <a:p>
              <a:pPr>
                <a:defRPr sz="75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027996640"/>
        <c:crosses val="autoZero"/>
        <c:crossBetween val="between"/>
      </c:valAx>
      <c:spPr>
        <a:noFill/>
        <a:ln>
          <a:noFill/>
        </a:ln>
        <a:effectLst/>
      </c:spPr>
    </c:plotArea>
    <c:legend>
      <c:legendPos val="tr"/>
      <c:layout>
        <c:manualLayout>
          <c:xMode val="edge"/>
          <c:yMode val="edge"/>
          <c:x val="0.69732923722521456"/>
          <c:y val="5.5555555555555552E-2"/>
          <c:w val="0.27489282428968975"/>
          <c:h val="0.75654930691623357"/>
        </c:manualLayout>
      </c:layout>
      <c:overlay val="0"/>
      <c:spPr>
        <a:noFill/>
        <a:ln>
          <a:noFill/>
        </a:ln>
        <a:effectLst/>
      </c:spPr>
      <c:txPr>
        <a:bodyPr rot="0" spcFirstLastPara="1" vertOverflow="ellipsis" vert="horz" wrap="square" anchor="ctr" anchorCtr="1"/>
        <a:lstStyle/>
        <a:p>
          <a:pPr>
            <a:defRPr sz="75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50">
          <a:latin typeface="Verdana" panose="020B0604030504040204" pitchFamily="34" charset="0"/>
          <a:ea typeface="Verdana" panose="020B0604030504040204" pitchFamily="34" charset="0"/>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12</ap:Pages>
  <ap:Words>5016</ap:Words>
  <ap:Characters>27588</ap:Characters>
  <ap:DocSecurity>0</ap:DocSecurity>
  <ap:Lines>229</ap:Lines>
  <ap:Paragraphs>65</ap:Paragraphs>
  <ap:ScaleCrop>false</ap:ScaleCrop>
  <ap:HeadingPairs>
    <vt:vector baseType="variant" size="2">
      <vt:variant>
        <vt:lpstr>Titel</vt:lpstr>
      </vt:variant>
      <vt:variant>
        <vt:i4>1</vt:i4>
      </vt:variant>
    </vt:vector>
  </ap:HeadingPairs>
  <ap:TitlesOfParts>
    <vt:vector baseType="lpstr" size="1">
      <vt:lpstr>Brief aan Eerste of Tweede Kamer - Een analyse van de Nederlandse inflatie</vt:lpstr>
    </vt:vector>
  </ap:TitlesOfParts>
  <ap:LinksUpToDate>false</ap:LinksUpToDate>
  <ap:CharactersWithSpaces>32539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2025-03-14T14:31:00.0000000Z</lastPrinted>
  <dcterms:created xsi:type="dcterms:W3CDTF">2025-03-14T14:31:00.0000000Z</dcterms:created>
  <dcterms:modified xsi:type="dcterms:W3CDTF">2025-03-14T14:32:00.0000000Z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Een analyse van de Nederlandse inflatie</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18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2025-0000075776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Een analyse van de Nederlandse inflatie</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2025-02-18T08:30:59Z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eee89e46-9065-4aa4-bbaa-a9da438896aa</vt:lpwstr>
  </property>
  <property fmtid="{D5CDD505-2E9C-101B-9397-08002B2CF9AE}" pid="37" name="MSIP_Label_112e3eac-4767-4d29-949e-d809b1160d11_ContentBits">
    <vt:lpwstr>0</vt:lpwstr>
  </property>
</Properties>
</file>