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854577" w14:textId="77777777">
        <w:tc>
          <w:tcPr>
            <w:tcW w:w="6379" w:type="dxa"/>
            <w:gridSpan w:val="2"/>
            <w:tcBorders>
              <w:top w:val="nil"/>
              <w:left w:val="nil"/>
              <w:bottom w:val="nil"/>
              <w:right w:val="nil"/>
            </w:tcBorders>
            <w:vAlign w:val="center"/>
          </w:tcPr>
          <w:p w:rsidR="004330ED" w:rsidP="00EA1CE4" w:rsidRDefault="004330ED" w14:paraId="06A306E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4BD05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215C6FC" w14:textId="77777777">
        <w:trPr>
          <w:cantSplit/>
        </w:trPr>
        <w:tc>
          <w:tcPr>
            <w:tcW w:w="10348" w:type="dxa"/>
            <w:gridSpan w:val="3"/>
            <w:tcBorders>
              <w:top w:val="single" w:color="auto" w:sz="4" w:space="0"/>
              <w:left w:val="nil"/>
              <w:bottom w:val="nil"/>
              <w:right w:val="nil"/>
            </w:tcBorders>
          </w:tcPr>
          <w:p w:rsidR="004330ED" w:rsidP="004A1E29" w:rsidRDefault="004330ED" w14:paraId="7DC6E3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188D5D3" w14:textId="77777777">
        <w:trPr>
          <w:cantSplit/>
        </w:trPr>
        <w:tc>
          <w:tcPr>
            <w:tcW w:w="10348" w:type="dxa"/>
            <w:gridSpan w:val="3"/>
            <w:tcBorders>
              <w:top w:val="nil"/>
              <w:left w:val="nil"/>
              <w:bottom w:val="nil"/>
              <w:right w:val="nil"/>
            </w:tcBorders>
          </w:tcPr>
          <w:p w:rsidR="004330ED" w:rsidP="00BF623B" w:rsidRDefault="004330ED" w14:paraId="287F9521" w14:textId="77777777">
            <w:pPr>
              <w:pStyle w:val="Amendement"/>
              <w:tabs>
                <w:tab w:val="clear" w:pos="3310"/>
                <w:tab w:val="clear" w:pos="3600"/>
              </w:tabs>
              <w:rPr>
                <w:rFonts w:ascii="Times New Roman" w:hAnsi="Times New Roman"/>
                <w:b w:val="0"/>
              </w:rPr>
            </w:pPr>
          </w:p>
        </w:tc>
      </w:tr>
      <w:tr w:rsidR="004330ED" w:rsidTr="00EA1CE4" w14:paraId="78EA06E4" w14:textId="77777777">
        <w:trPr>
          <w:cantSplit/>
        </w:trPr>
        <w:tc>
          <w:tcPr>
            <w:tcW w:w="10348" w:type="dxa"/>
            <w:gridSpan w:val="3"/>
            <w:tcBorders>
              <w:top w:val="nil"/>
              <w:left w:val="nil"/>
              <w:bottom w:val="single" w:color="auto" w:sz="4" w:space="0"/>
              <w:right w:val="nil"/>
            </w:tcBorders>
          </w:tcPr>
          <w:p w:rsidR="004330ED" w:rsidP="00BF623B" w:rsidRDefault="004330ED" w14:paraId="397FDA64" w14:textId="77777777">
            <w:pPr>
              <w:pStyle w:val="Amendement"/>
              <w:tabs>
                <w:tab w:val="clear" w:pos="3310"/>
                <w:tab w:val="clear" w:pos="3600"/>
              </w:tabs>
              <w:rPr>
                <w:rFonts w:ascii="Times New Roman" w:hAnsi="Times New Roman"/>
              </w:rPr>
            </w:pPr>
          </w:p>
        </w:tc>
      </w:tr>
      <w:tr w:rsidR="004330ED" w:rsidTr="00EA1CE4" w14:paraId="10838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174D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04AD92" w14:textId="77777777">
            <w:pPr>
              <w:suppressAutoHyphens/>
              <w:ind w:left="-70"/>
              <w:rPr>
                <w:b/>
              </w:rPr>
            </w:pPr>
          </w:p>
        </w:tc>
      </w:tr>
      <w:tr w:rsidR="003C21AC" w:rsidTr="00EA1CE4" w14:paraId="7DE7D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04A39" w14:paraId="2126636C" w14:textId="0662B30B">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304A39" w:rsidR="003C21AC" w:rsidP="00304A39" w:rsidRDefault="00304A39" w14:paraId="58C0F79B" w14:textId="34FE42E1">
            <w:pPr>
              <w:rPr>
                <w:b/>
                <w:bCs/>
                <w:szCs w:val="24"/>
              </w:rPr>
            </w:pPr>
            <w:r w:rsidRPr="00304A39">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23CDF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83E52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8FAAD0F" w14:textId="77777777">
            <w:pPr>
              <w:pStyle w:val="Amendement"/>
              <w:tabs>
                <w:tab w:val="clear" w:pos="3310"/>
                <w:tab w:val="clear" w:pos="3600"/>
              </w:tabs>
              <w:ind w:left="-70"/>
              <w:rPr>
                <w:rFonts w:ascii="Times New Roman" w:hAnsi="Times New Roman"/>
              </w:rPr>
            </w:pPr>
          </w:p>
        </w:tc>
      </w:tr>
      <w:tr w:rsidR="003C21AC" w:rsidTr="00EA1CE4" w14:paraId="235FB7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DD722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71A8A7" w14:textId="77777777">
            <w:pPr>
              <w:pStyle w:val="Amendement"/>
              <w:tabs>
                <w:tab w:val="clear" w:pos="3310"/>
                <w:tab w:val="clear" w:pos="3600"/>
              </w:tabs>
              <w:ind w:left="-70"/>
              <w:rPr>
                <w:rFonts w:ascii="Times New Roman" w:hAnsi="Times New Roman"/>
              </w:rPr>
            </w:pPr>
          </w:p>
        </w:tc>
      </w:tr>
      <w:tr w:rsidR="003C21AC" w:rsidTr="00EA1CE4" w14:paraId="4B354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156939" w14:textId="74C138CA">
            <w:pPr>
              <w:pStyle w:val="Amendement"/>
              <w:tabs>
                <w:tab w:val="clear" w:pos="3310"/>
                <w:tab w:val="clear" w:pos="3600"/>
              </w:tabs>
              <w:rPr>
                <w:rFonts w:ascii="Times New Roman" w:hAnsi="Times New Roman"/>
              </w:rPr>
            </w:pPr>
            <w:r w:rsidRPr="00C035D4">
              <w:rPr>
                <w:rFonts w:ascii="Times New Roman" w:hAnsi="Times New Roman"/>
              </w:rPr>
              <w:t xml:space="preserve">Nr. </w:t>
            </w:r>
            <w:r w:rsidR="00F630E9">
              <w:rPr>
                <w:rFonts w:ascii="Times New Roman" w:hAnsi="Times New Roman"/>
                <w:caps/>
              </w:rPr>
              <w:t>30</w:t>
            </w:r>
          </w:p>
        </w:tc>
        <w:tc>
          <w:tcPr>
            <w:tcW w:w="7371" w:type="dxa"/>
            <w:gridSpan w:val="2"/>
          </w:tcPr>
          <w:p w:rsidRPr="00C035D4" w:rsidR="003C21AC" w:rsidP="006E0971" w:rsidRDefault="003C21AC" w14:paraId="12726FBD" w14:textId="3BBAB8D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04A39">
              <w:rPr>
                <w:rFonts w:ascii="Times New Roman" w:hAnsi="Times New Roman"/>
                <w:caps/>
              </w:rPr>
              <w:t>Bruyning</w:t>
            </w:r>
          </w:p>
        </w:tc>
      </w:tr>
      <w:tr w:rsidR="003C21AC" w:rsidTr="00EA1CE4" w14:paraId="713D8B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701687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C115D84" w14:textId="33AC878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630E9">
              <w:rPr>
                <w:rFonts w:ascii="Times New Roman" w:hAnsi="Times New Roman"/>
                <w:b w:val="0"/>
              </w:rPr>
              <w:t>13 maart 2025</w:t>
            </w:r>
          </w:p>
        </w:tc>
      </w:tr>
      <w:tr w:rsidR="00B01BA6" w:rsidTr="00EA1CE4" w14:paraId="16C92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16475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EBCA9C1" w14:textId="77777777">
            <w:pPr>
              <w:pStyle w:val="Amendement"/>
              <w:tabs>
                <w:tab w:val="clear" w:pos="3310"/>
                <w:tab w:val="clear" w:pos="3600"/>
              </w:tabs>
              <w:ind w:left="-70"/>
              <w:rPr>
                <w:rFonts w:ascii="Times New Roman" w:hAnsi="Times New Roman"/>
                <w:b w:val="0"/>
              </w:rPr>
            </w:pPr>
          </w:p>
        </w:tc>
      </w:tr>
      <w:tr w:rsidRPr="00EA69AC" w:rsidR="00B01BA6" w:rsidTr="00EA1CE4" w14:paraId="35E97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E9003AB" w14:textId="77777777">
            <w:pPr>
              <w:ind w:firstLine="284"/>
            </w:pPr>
            <w:r w:rsidRPr="00EA69AC">
              <w:t>De ondergetekende stelt het volgende amendement voor:</w:t>
            </w:r>
          </w:p>
        </w:tc>
      </w:tr>
    </w:tbl>
    <w:p w:rsidRPr="00EA69AC" w:rsidR="004330ED" w:rsidP="00D774B3" w:rsidRDefault="004330ED" w14:paraId="59434361" w14:textId="77777777"/>
    <w:p w:rsidR="005B1DCC" w:rsidP="0088452C" w:rsidRDefault="00304A39" w14:paraId="008A3ADA" w14:textId="3A01298E">
      <w:pPr>
        <w:ind w:firstLine="284"/>
      </w:pPr>
      <w:r>
        <w:t>Artikel VII komt te luiden:</w:t>
      </w:r>
    </w:p>
    <w:p w:rsidR="00304A39" w:rsidP="0088452C" w:rsidRDefault="00304A39" w14:paraId="01D714F5" w14:textId="77777777">
      <w:pPr>
        <w:ind w:firstLine="284"/>
      </w:pPr>
    </w:p>
    <w:p w:rsidRPr="00304A39" w:rsidR="00304A39" w:rsidP="00304A39" w:rsidRDefault="00304A39" w14:paraId="06FBFA85" w14:textId="77777777">
      <w:pPr>
        <w:rPr>
          <w:b/>
          <w:bCs/>
        </w:rPr>
      </w:pPr>
      <w:r w:rsidRPr="00304A39">
        <w:rPr>
          <w:b/>
          <w:bCs/>
        </w:rPr>
        <w:t xml:space="preserve">ARTIKEL VII. EVALUATIEBEPALING </w:t>
      </w:r>
    </w:p>
    <w:p w:rsidR="00304A39" w:rsidP="00304A39" w:rsidRDefault="00304A39" w14:paraId="7B34C20D" w14:textId="77777777"/>
    <w:p w:rsidR="00304A39" w:rsidP="00304A39" w:rsidRDefault="00304A39" w14:paraId="4ABC85C3" w14:textId="0B0801C0">
      <w:pPr>
        <w:ind w:firstLine="284"/>
      </w:pPr>
      <w:r>
        <w:t>1.</w:t>
      </w:r>
      <w:r>
        <w:tab/>
      </w:r>
      <w:r w:rsidRPr="00657272" w:rsidR="00657272">
        <w:t>Onze Minister van Volksgezondheid, Welzijn en Sport en Onze Minister van Justitie en Veiligheid</w:t>
      </w:r>
      <w:r>
        <w:t xml:space="preserve">  zenden binnen </w:t>
      </w:r>
      <w:r w:rsidR="00F64DAE">
        <w:t>vijf</w:t>
      </w:r>
      <w:r>
        <w:t xml:space="preserve"> jaar en vervolgens telkens na twee jaar </w:t>
      </w:r>
      <w:r w:rsidRPr="00304A39">
        <w:t>een verslag over de doeltreffendheid en de effecten van deze wet in de praktijk</w:t>
      </w:r>
      <w:r>
        <w:t>.</w:t>
      </w:r>
    </w:p>
    <w:p w:rsidR="00304A39" w:rsidP="00304A39" w:rsidRDefault="00304A39" w14:paraId="3D6473CA" w14:textId="4D37E164">
      <w:pPr>
        <w:ind w:firstLine="284"/>
      </w:pPr>
      <w:r>
        <w:t>2.</w:t>
      </w:r>
      <w:r>
        <w:tab/>
        <w:t>De evaluatie, bedoeld in het eerste lid, wordt uitgevoerd door een onafhankelijke commissie bestaande uit deskundigen op het gebied van jeugdzorg, bestuurskunde en jeugdrecht, alsmede vertegenwoordigers van cliëntenorganisaties en gemeenten.</w:t>
      </w:r>
    </w:p>
    <w:p w:rsidR="00304A39" w:rsidP="005E298D" w:rsidRDefault="00304A39" w14:paraId="51BAE014" w14:textId="47BBC6D8">
      <w:pPr>
        <w:ind w:firstLine="284"/>
      </w:pPr>
      <w:r>
        <w:t>4.</w:t>
      </w:r>
      <w:r>
        <w:tab/>
        <w:t>In de evaluatie, bedoeld in het eerste lid, wordt</w:t>
      </w:r>
      <w:r w:rsidR="0002341E">
        <w:t xml:space="preserve"> beoordeeld of</w:t>
      </w:r>
      <w:r>
        <w:t xml:space="preserve">: </w:t>
      </w:r>
    </w:p>
    <w:p w:rsidR="00304A39" w:rsidP="005E298D" w:rsidRDefault="00304A39" w14:paraId="093334FD" w14:textId="77777777">
      <w:pPr>
        <w:ind w:firstLine="284"/>
      </w:pPr>
      <w:r>
        <w:t>a.</w:t>
      </w:r>
      <w:r>
        <w:tab/>
        <w:t>De mate waarin de regionale samenwerkingsverplichting leidt tot verbeterde beschikbaarheid van de jeugdzorg;</w:t>
      </w:r>
    </w:p>
    <w:p w:rsidR="00304A39" w:rsidP="005E298D" w:rsidRDefault="00304A39" w14:paraId="0C847999" w14:textId="77777777">
      <w:pPr>
        <w:ind w:firstLine="284"/>
      </w:pPr>
      <w:r>
        <w:t>b.</w:t>
      </w:r>
      <w:r>
        <w:tab/>
        <w:t>De impact van de wetswijziging op wachttijden, toegankelijkheid en zorgkwaliteit;</w:t>
      </w:r>
    </w:p>
    <w:p w:rsidR="00304A39" w:rsidP="005E298D" w:rsidRDefault="00304A39" w14:paraId="51399216" w14:textId="77777777">
      <w:pPr>
        <w:ind w:firstLine="284"/>
      </w:pPr>
      <w:r>
        <w:t>c.</w:t>
      </w:r>
      <w:r>
        <w:tab/>
        <w:t>De administratieve lasten voor gemeenten en zorgaanbieders;</w:t>
      </w:r>
    </w:p>
    <w:p w:rsidR="00304A39" w:rsidP="005E298D" w:rsidRDefault="00304A39" w14:paraId="28A635FA" w14:textId="5B7F405C">
      <w:pPr>
        <w:ind w:firstLine="284"/>
      </w:pPr>
      <w:r>
        <w:t>d.</w:t>
      </w:r>
      <w:r>
        <w:tab/>
        <w:t xml:space="preserve">De financiële </w:t>
      </w:r>
      <w:r w:rsidR="0002341E">
        <w:t xml:space="preserve">gevolgen </w:t>
      </w:r>
      <w:r>
        <w:t>van de maatregelen</w:t>
      </w:r>
      <w:r w:rsidR="0002341E">
        <w:t>, en</w:t>
      </w:r>
    </w:p>
    <w:p w:rsidR="00304A39" w:rsidP="005E298D" w:rsidRDefault="00304A39" w14:paraId="0B718573" w14:textId="77777777">
      <w:pPr>
        <w:ind w:firstLine="284"/>
      </w:pPr>
      <w:r>
        <w:t>e.</w:t>
      </w:r>
      <w:r>
        <w:tab/>
        <w:t xml:space="preserve">De ervaringen van jeugdigen en gezinnen met de beschikbaarheid en kwaliteit van jeugdzorg. </w:t>
      </w:r>
    </w:p>
    <w:p w:rsidR="00EA1CE4" w:rsidP="00F630E9" w:rsidRDefault="00304A39" w14:paraId="52006009" w14:textId="0FEE7F89">
      <w:pPr>
        <w:ind w:firstLine="284"/>
      </w:pPr>
      <w:r>
        <w:t>5.</w:t>
      </w:r>
      <w:r>
        <w:tab/>
        <w:t>Indien uit twee opeenvolgende evaluaties blijkt dat de beoogde doelen van deze wet</w:t>
      </w:r>
      <w:r w:rsidDel="00657272" w:rsidR="00657272">
        <w:t xml:space="preserve"> </w:t>
      </w:r>
      <w:r w:rsidR="00657272">
        <w:t>n</w:t>
      </w:r>
      <w:r>
        <w:t xml:space="preserve">iet worden behaald en er geen significant positieve impact wordt vastgesteld, </w:t>
      </w:r>
      <w:r w:rsidR="0002341E">
        <w:t>dient</w:t>
      </w:r>
      <w:r>
        <w:t xml:space="preserve"> </w:t>
      </w:r>
      <w:r w:rsidR="0002341E">
        <w:t>o</w:t>
      </w:r>
      <w:r w:rsidRPr="0002341E" w:rsidR="0002341E">
        <w:t xml:space="preserve">nze Minister van Volksgezondheid, Welzijn en Sport </w:t>
      </w:r>
      <w:r w:rsidR="0002341E">
        <w:t>in overeenstemming met</w:t>
      </w:r>
      <w:r w:rsidRPr="0002341E" w:rsidR="0002341E">
        <w:t xml:space="preserve"> </w:t>
      </w:r>
      <w:r w:rsidR="0002341E">
        <w:t>o</w:t>
      </w:r>
      <w:r w:rsidRPr="0002341E" w:rsidR="0002341E">
        <w:t>nze Minister van Justitie en Veiligheid</w:t>
      </w:r>
      <w:r w:rsidRPr="0002341E" w:rsidDel="0002341E" w:rsidR="0002341E">
        <w:t xml:space="preserve"> </w:t>
      </w:r>
      <w:r>
        <w:t xml:space="preserve"> binnen zes maanden een </w:t>
      </w:r>
      <w:r w:rsidR="00E92D11">
        <w:t>voorstel van wet in</w:t>
      </w:r>
      <w:r>
        <w:t xml:space="preserve"> om de</w:t>
      </w:r>
      <w:r w:rsidR="00E92D11">
        <w:t>ze</w:t>
      </w:r>
      <w:r>
        <w:t xml:space="preserve"> wet aan te passen of </w:t>
      </w:r>
      <w:r w:rsidR="0059781D">
        <w:t>in te trekken</w:t>
      </w:r>
      <w:r>
        <w:t>.</w:t>
      </w:r>
    </w:p>
    <w:p w:rsidR="00E92D11" w:rsidP="00EA1CE4" w:rsidRDefault="00E92D11" w14:paraId="3DB04677" w14:textId="77777777"/>
    <w:p w:rsidRPr="00EA69AC" w:rsidR="003C21AC" w:rsidP="00EA1CE4" w:rsidRDefault="003C21AC" w14:paraId="737124DD" w14:textId="77777777">
      <w:pPr>
        <w:rPr>
          <w:b/>
        </w:rPr>
      </w:pPr>
      <w:r w:rsidRPr="00EA69AC">
        <w:rPr>
          <w:b/>
        </w:rPr>
        <w:t>Toelichting</w:t>
      </w:r>
    </w:p>
    <w:p w:rsidRPr="00EA69AC" w:rsidR="003C21AC" w:rsidP="00BF623B" w:rsidRDefault="003C21AC" w14:paraId="56A037A8" w14:textId="77777777"/>
    <w:p w:rsidR="00E6619B" w:rsidP="00EA1CE4" w:rsidRDefault="00304A39" w14:paraId="5B840E28" w14:textId="4501BBB5">
      <w:r w:rsidRPr="00304A39">
        <w:t xml:space="preserve">Dit amendement beoogt te voorkomen dat de wetswijziging zonder duidelijke effectiviteit jarenlang van kracht blijft, zonder dat de doelen daadwerkelijk worden behaald. Periodieke evaluatie zorgt voor verantwoording en transparantie. De impact van de wet moet systematisch worden gemeten en beoordeeld. De evaluatie wordt niet alleen door </w:t>
      </w:r>
      <w:r w:rsidR="00E92D11">
        <w:t>de</w:t>
      </w:r>
      <w:r w:rsidRPr="00304A39" w:rsidR="00E92D11">
        <w:t xml:space="preserve"> </w:t>
      </w:r>
      <w:r w:rsidRPr="00304A39">
        <w:t>verantwoordelijke ministerie</w:t>
      </w:r>
      <w:r w:rsidR="00E92D11">
        <w:t>s</w:t>
      </w:r>
      <w:r w:rsidRPr="00304A39">
        <w:t xml:space="preserve"> uitgevoerd, maar ook door een onafhankelijke commissie</w:t>
      </w:r>
      <w:r w:rsidR="00B15825">
        <w:t>, bestaande uit (</w:t>
      </w:r>
      <w:proofErr w:type="spellStart"/>
      <w:r w:rsidR="00B15825">
        <w:t>ervarings</w:t>
      </w:r>
      <w:proofErr w:type="spellEnd"/>
      <w:r w:rsidR="00B15825">
        <w:t>)deskundigen</w:t>
      </w:r>
      <w:r w:rsidRPr="00304A39">
        <w:t>.</w:t>
      </w:r>
      <w:r w:rsidR="00B15825">
        <w:t xml:space="preserve"> Onder deze (</w:t>
      </w:r>
      <w:proofErr w:type="spellStart"/>
      <w:r w:rsidR="00B15825">
        <w:t>ervarings</w:t>
      </w:r>
      <w:proofErr w:type="spellEnd"/>
      <w:r w:rsidR="00B15825">
        <w:t xml:space="preserve">)deskundigen kunnen specialisten uit jeugdzorg, </w:t>
      </w:r>
      <w:r w:rsidR="00AF29ED">
        <w:t>kinderrechters, advocaten en vertegenwoordigers van cliëntenorganisaties en gemeenten worden verstaan.</w:t>
      </w:r>
      <w:r w:rsidRPr="00304A39">
        <w:t xml:space="preserve"> Onafhankelijke toetsing zou de garantie op objectiviteit moeten waarborgen. Als twee evaluaties aantonen dat de maatregelen niet bijdragen aan betere jeugdzorg, wordt een herziening of intrekking van de wet afgedwongen. Dit terugkeerpunt moet </w:t>
      </w:r>
      <w:r w:rsidRPr="00304A39">
        <w:lastRenderedPageBreak/>
        <w:t>voorkomen dat wetgeving zonder effect wordt ingevoerd. Indien de wet niet functioneert zoals bedoeld, blijft deze niet onnodig in stand. Hiermee wordt de voorkoming van onnodige bureaucratie en lasten beoogt.</w:t>
      </w:r>
      <w:r w:rsidR="00B02363">
        <w:t xml:space="preserve"> De eerste </w:t>
      </w:r>
      <w:proofErr w:type="spellStart"/>
      <w:r w:rsidR="00B02363">
        <w:t>evaluatia</w:t>
      </w:r>
      <w:proofErr w:type="spellEnd"/>
      <w:r w:rsidR="00B02363">
        <w:t xml:space="preserve"> na vijf jaar draagt zorg dat de regio</w:t>
      </w:r>
      <w:r w:rsidR="00AB3049">
        <w:t>’</w:t>
      </w:r>
      <w:r w:rsidR="00B02363">
        <w:t>s</w:t>
      </w:r>
      <w:r w:rsidR="00AB3049">
        <w:t xml:space="preserve"> de ruimte krijgen om wijzigingen van de wet te kunnen doorvoeren en dat de huidige lopende contracten van zorgaanbieders worden gerespecteerd.</w:t>
      </w:r>
    </w:p>
    <w:p w:rsidR="00AF29ED" w:rsidP="00EA1CE4" w:rsidRDefault="00AF29ED" w14:paraId="3E58AD51" w14:textId="4E570D8E"/>
    <w:p w:rsidRPr="008467D7" w:rsidR="00AF29ED" w:rsidP="00EA1CE4" w:rsidRDefault="00AF29ED" w14:paraId="015E3925" w14:textId="47E47DA7">
      <w:r>
        <w:t xml:space="preserve">De doelen van deze wet kunnen als volgende worden omschreven: </w:t>
      </w:r>
      <w:r w:rsidR="007B2A21">
        <w:t xml:space="preserve">de kwalitatieve en kwantitatieve veranderingen die deze wet beoogt, zoals omschreven in de memorie van toelichting. Deze wet beoogt om specialistisch zorgaanbod beter en georganiseerder aan te bieden in jeugdregio’s. Mocht uit een onderzoek blijken dat deze doelen niet worden gehaald, bijvoorbeeld omdat gemeenten niet kunnen voldoen aan aanbod, wachtlijsten te lang blijven of overige gebreken, kan dit amendement worden geactiveerd. </w:t>
      </w:r>
    </w:p>
    <w:p w:rsidRPr="00EA69AC" w:rsidR="005B1DCC" w:rsidP="00BF623B" w:rsidRDefault="005B1DCC" w14:paraId="74200479" w14:textId="77777777"/>
    <w:p w:rsidRPr="00EA69AC" w:rsidR="00B4708A" w:rsidP="00EA1CE4" w:rsidRDefault="00304A39" w14:paraId="0B587E09" w14:textId="33767EF0">
      <w:proofErr w:type="spellStart"/>
      <w:r>
        <w:t>Bruyning</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528EC" w14:textId="77777777" w:rsidR="009A431C" w:rsidRDefault="009A431C">
      <w:pPr>
        <w:spacing w:line="20" w:lineRule="exact"/>
      </w:pPr>
    </w:p>
  </w:endnote>
  <w:endnote w:type="continuationSeparator" w:id="0">
    <w:p w14:paraId="0B3C2A7D" w14:textId="77777777" w:rsidR="009A431C" w:rsidRDefault="009A431C">
      <w:pPr>
        <w:pStyle w:val="Amendement"/>
      </w:pPr>
      <w:r>
        <w:rPr>
          <w:b w:val="0"/>
        </w:rPr>
        <w:t xml:space="preserve"> </w:t>
      </w:r>
    </w:p>
  </w:endnote>
  <w:endnote w:type="continuationNotice" w:id="1">
    <w:p w14:paraId="355A6D0C" w14:textId="77777777" w:rsidR="009A431C" w:rsidRDefault="009A43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6250" w14:textId="77777777" w:rsidR="009A431C" w:rsidRDefault="009A431C">
      <w:pPr>
        <w:pStyle w:val="Amendement"/>
      </w:pPr>
      <w:r>
        <w:rPr>
          <w:b w:val="0"/>
        </w:rPr>
        <w:separator/>
      </w:r>
    </w:p>
  </w:footnote>
  <w:footnote w:type="continuationSeparator" w:id="0">
    <w:p w14:paraId="51869F12" w14:textId="77777777" w:rsidR="009A431C" w:rsidRDefault="009A4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39"/>
    <w:rsid w:val="0002341E"/>
    <w:rsid w:val="0007471A"/>
    <w:rsid w:val="000D17BF"/>
    <w:rsid w:val="00144C71"/>
    <w:rsid w:val="00157CAF"/>
    <w:rsid w:val="001656EE"/>
    <w:rsid w:val="0016653D"/>
    <w:rsid w:val="001B3C75"/>
    <w:rsid w:val="001D56AF"/>
    <w:rsid w:val="001E0E21"/>
    <w:rsid w:val="00212E0A"/>
    <w:rsid w:val="002153B0"/>
    <w:rsid w:val="0021777F"/>
    <w:rsid w:val="00241DD0"/>
    <w:rsid w:val="002A0713"/>
    <w:rsid w:val="002B7F90"/>
    <w:rsid w:val="00304A39"/>
    <w:rsid w:val="003C21AC"/>
    <w:rsid w:val="003C5218"/>
    <w:rsid w:val="003C7876"/>
    <w:rsid w:val="003D7FF4"/>
    <w:rsid w:val="003E2308"/>
    <w:rsid w:val="003E2F98"/>
    <w:rsid w:val="0042574B"/>
    <w:rsid w:val="004330ED"/>
    <w:rsid w:val="00481C91"/>
    <w:rsid w:val="004911E3"/>
    <w:rsid w:val="00497D57"/>
    <w:rsid w:val="004A1E29"/>
    <w:rsid w:val="004A7DD4"/>
    <w:rsid w:val="004B50D8"/>
    <w:rsid w:val="004B5B90"/>
    <w:rsid w:val="00501109"/>
    <w:rsid w:val="005703C9"/>
    <w:rsid w:val="0057222F"/>
    <w:rsid w:val="00597703"/>
    <w:rsid w:val="0059781D"/>
    <w:rsid w:val="005A6097"/>
    <w:rsid w:val="005B1DCC"/>
    <w:rsid w:val="005B7323"/>
    <w:rsid w:val="005C25B9"/>
    <w:rsid w:val="005E298D"/>
    <w:rsid w:val="00625275"/>
    <w:rsid w:val="006267E6"/>
    <w:rsid w:val="006558D2"/>
    <w:rsid w:val="00657272"/>
    <w:rsid w:val="00664802"/>
    <w:rsid w:val="00672D25"/>
    <w:rsid w:val="006738BC"/>
    <w:rsid w:val="006D3E69"/>
    <w:rsid w:val="006E0971"/>
    <w:rsid w:val="007709F6"/>
    <w:rsid w:val="00783215"/>
    <w:rsid w:val="007965FC"/>
    <w:rsid w:val="007B2A21"/>
    <w:rsid w:val="007D2608"/>
    <w:rsid w:val="008164E5"/>
    <w:rsid w:val="00830081"/>
    <w:rsid w:val="008467D7"/>
    <w:rsid w:val="00852541"/>
    <w:rsid w:val="00865D47"/>
    <w:rsid w:val="0088452C"/>
    <w:rsid w:val="008D7DCB"/>
    <w:rsid w:val="009055DB"/>
    <w:rsid w:val="00905ECB"/>
    <w:rsid w:val="0096165D"/>
    <w:rsid w:val="00993E91"/>
    <w:rsid w:val="009A409F"/>
    <w:rsid w:val="009A431C"/>
    <w:rsid w:val="009B5845"/>
    <w:rsid w:val="009C0C1F"/>
    <w:rsid w:val="00A10505"/>
    <w:rsid w:val="00A1288B"/>
    <w:rsid w:val="00A53203"/>
    <w:rsid w:val="00A772EB"/>
    <w:rsid w:val="00AB3049"/>
    <w:rsid w:val="00AD0F54"/>
    <w:rsid w:val="00AF29ED"/>
    <w:rsid w:val="00B01BA6"/>
    <w:rsid w:val="00B02363"/>
    <w:rsid w:val="00B15825"/>
    <w:rsid w:val="00B2799F"/>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12BFE"/>
    <w:rsid w:val="00E132F2"/>
    <w:rsid w:val="00E25DF4"/>
    <w:rsid w:val="00E3485D"/>
    <w:rsid w:val="00E649FA"/>
    <w:rsid w:val="00E6619B"/>
    <w:rsid w:val="00E908D7"/>
    <w:rsid w:val="00E92D11"/>
    <w:rsid w:val="00EA1CE4"/>
    <w:rsid w:val="00EA69AC"/>
    <w:rsid w:val="00EB40A1"/>
    <w:rsid w:val="00EC3112"/>
    <w:rsid w:val="00ED5E57"/>
    <w:rsid w:val="00EE1BD8"/>
    <w:rsid w:val="00F630E9"/>
    <w:rsid w:val="00F64DAE"/>
    <w:rsid w:val="00FA5BBE"/>
    <w:rsid w:val="00FE4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8C16"/>
  <w15:docId w15:val="{CD46E134-1DA4-424D-A00A-CC921216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04A39"/>
    <w:rPr>
      <w:sz w:val="24"/>
    </w:rPr>
  </w:style>
  <w:style w:type="character" w:styleId="Verwijzingopmerking">
    <w:name w:val="annotation reference"/>
    <w:basedOn w:val="Standaardalinea-lettertype"/>
    <w:semiHidden/>
    <w:unhideWhenUsed/>
    <w:rsid w:val="00304A39"/>
    <w:rPr>
      <w:sz w:val="16"/>
      <w:szCs w:val="16"/>
    </w:rPr>
  </w:style>
  <w:style w:type="paragraph" w:styleId="Tekstopmerking">
    <w:name w:val="annotation text"/>
    <w:basedOn w:val="Standaard"/>
    <w:link w:val="TekstopmerkingChar"/>
    <w:semiHidden/>
    <w:unhideWhenUsed/>
    <w:rsid w:val="00304A39"/>
    <w:rPr>
      <w:sz w:val="20"/>
    </w:rPr>
  </w:style>
  <w:style w:type="character" w:customStyle="1" w:styleId="TekstopmerkingChar">
    <w:name w:val="Tekst opmerking Char"/>
    <w:basedOn w:val="Standaardalinea-lettertype"/>
    <w:link w:val="Tekstopmerking"/>
    <w:semiHidden/>
    <w:rsid w:val="00304A39"/>
  </w:style>
  <w:style w:type="paragraph" w:styleId="Onderwerpvanopmerking">
    <w:name w:val="annotation subject"/>
    <w:basedOn w:val="Tekstopmerking"/>
    <w:next w:val="Tekstopmerking"/>
    <w:link w:val="OnderwerpvanopmerkingChar"/>
    <w:semiHidden/>
    <w:unhideWhenUsed/>
    <w:rsid w:val="00304A39"/>
    <w:rPr>
      <w:b/>
      <w:bCs/>
    </w:rPr>
  </w:style>
  <w:style w:type="character" w:customStyle="1" w:styleId="OnderwerpvanopmerkingChar">
    <w:name w:val="Onderwerp van opmerking Char"/>
    <w:basedOn w:val="TekstopmerkingChar"/>
    <w:link w:val="Onderwerpvanopmerking"/>
    <w:semiHidden/>
    <w:rsid w:val="00304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511</ap:Words>
  <ap:Characters>3214</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2025-03-13T08:51:00.0000000Z</dcterms:created>
  <dcterms:modified xsi:type="dcterms:W3CDTF">2025-03-13T08:51:00.0000000Z</dcterms:modified>
  <dc:description>------------------------</dc:description>
  <dc:subject/>
  <keywords/>
  <version/>
  <category/>
</coreProperties>
</file>