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4CFB586F">
            <w:pPr>
              <w:pStyle w:val="Amendement"/>
              <w:tabs>
                <w:tab w:val="clear" w:pos="3310"/>
                <w:tab w:val="clear" w:pos="3600"/>
              </w:tabs>
              <w:rPr>
                <w:rFonts w:ascii="Times New Roman" w:hAnsi="Times New Roman"/>
              </w:rPr>
            </w:pPr>
            <w:r w:rsidRPr="00C035D4">
              <w:rPr>
                <w:rFonts w:ascii="Times New Roman" w:hAnsi="Times New Roman"/>
              </w:rPr>
              <w:t xml:space="preserve">Nr. </w:t>
            </w:r>
            <w:r w:rsidR="00D14B2A">
              <w:rPr>
                <w:rFonts w:ascii="Times New Roman" w:hAnsi="Times New Roman"/>
                <w:caps/>
              </w:rPr>
              <w:t>45</w:t>
            </w:r>
          </w:p>
        </w:tc>
        <w:tc>
          <w:tcPr>
            <w:tcW w:w="7371" w:type="dxa"/>
            <w:gridSpan w:val="2"/>
          </w:tcPr>
          <w:p w:rsidRPr="00C035D4" w:rsidR="003C21AC" w:rsidP="006E0971" w:rsidRDefault="003C21AC" w14:paraId="26D0B6DE" w14:textId="689EBB30">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r w:rsidR="00CE7533">
              <w:rPr>
                <w:rFonts w:ascii="Times New Roman" w:hAnsi="Times New Roman"/>
                <w:caps/>
              </w:rPr>
              <w:t xml:space="preserve"> </w:t>
            </w:r>
            <w:r w:rsidRPr="00CE7533" w:rsidR="00CE7533">
              <w:rPr>
                <w:rFonts w:ascii="Times New Roman" w:hAnsi="Times New Roman"/>
                <w:bCs/>
                <w:caps/>
                <w:szCs w:val="24"/>
              </w:rPr>
              <w:t>TER VERVANGING VAN DAT GEDRUKT ONDER NR.</w:t>
            </w:r>
            <w:r w:rsidR="00CE7533">
              <w:rPr>
                <w:rFonts w:ascii="Times New Roman" w:hAnsi="Times New Roman"/>
                <w:caps/>
              </w:rPr>
              <w:t xml:space="preserve"> 18</w:t>
            </w:r>
            <w:r w:rsidR="00890860">
              <w:rPr>
                <w:rStyle w:val="Voetnootmarkering"/>
                <w:rFonts w:ascii="Times New Roman" w:hAnsi="Times New Roman"/>
                <w:caps/>
              </w:rPr>
              <w:footnoteReference w:id="1"/>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1E27B9D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4B2A">
              <w:rPr>
                <w:rFonts w:ascii="Times New Roman" w:hAnsi="Times New Roman"/>
                <w:b w:val="0"/>
              </w:rPr>
              <w:t>4</w:t>
            </w:r>
            <w:r w:rsidR="00CE7533">
              <w:rPr>
                <w:rFonts w:ascii="Times New Roman" w:hAnsi="Times New Roman"/>
                <w:b w:val="0"/>
              </w:rPr>
              <w:t xml:space="preserve"> maart</w:t>
            </w:r>
            <w:r w:rsidR="009A46D8">
              <w:rPr>
                <w:rFonts w:ascii="Times New Roman" w:hAnsi="Times New Roman"/>
                <w:b w:val="0"/>
              </w:rPr>
              <w:t xml:space="preserve"> 202</w:t>
            </w:r>
            <w:r w:rsidR="00D14B2A">
              <w:rPr>
                <w:rFonts w:ascii="Times New Roman" w:hAnsi="Times New Roman"/>
                <w:b w:val="0"/>
              </w:rPr>
              <w:t>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004330ED" w:rsidP="00EA1CE4" w:rsidRDefault="004330ED" w14:paraId="4A63DC82" w14:textId="515DDEC6"/>
    <w:p w:rsidRPr="00CE7533" w:rsidR="006E6E0B" w:rsidP="00CE7533" w:rsidRDefault="009A46D8" w14:paraId="0A6D10A6" w14:textId="385C66EE">
      <w:pPr>
        <w:ind w:firstLine="284"/>
        <w:rPr>
          <w:color w:val="000000" w:themeColor="text1"/>
        </w:rPr>
      </w:pPr>
      <w:r>
        <w:rPr>
          <w:color w:val="000000" w:themeColor="text1"/>
        </w:rPr>
        <w:t>In artikel 4.3.22, eerste lid, vervalt “van die beslissingen” en wordt aan het slot toegevoegd “</w:t>
      </w:r>
      <w:r w:rsidRPr="00C15860" w:rsidR="00A32888">
        <w:rPr>
          <w:color w:val="000000" w:themeColor="text1"/>
        </w:rPr>
        <w:t>, in die zin dat die beslissingen inzichtelijk en controleerbaar zijn</w:t>
      </w:r>
      <w:r>
        <w:rPr>
          <w:color w:val="000000" w:themeColor="text1"/>
        </w:rPr>
        <w:t>”</w:t>
      </w:r>
      <w:r w:rsidRPr="00C15860" w:rsidR="00A32888">
        <w:rPr>
          <w:color w:val="000000" w:themeColor="text1"/>
        </w:rPr>
        <w:t>.</w:t>
      </w:r>
    </w:p>
    <w:p w:rsidR="006E6E0B" w:rsidP="00EA1CE4" w:rsidRDefault="006E6E0B" w14:paraId="32DDA142" w14:textId="77777777"/>
    <w:p w:rsidRPr="00EA69AC" w:rsidR="003C21AC" w:rsidP="00EA1CE4" w:rsidRDefault="003C21AC" w14:paraId="652647DC" w14:textId="77777777">
      <w:pPr>
        <w:rPr>
          <w:b/>
        </w:rPr>
      </w:pPr>
      <w:r w:rsidRPr="00EA69AC">
        <w:rPr>
          <w:b/>
        </w:rPr>
        <w:t>Toelichting</w:t>
      </w:r>
    </w:p>
    <w:p w:rsidRPr="00EA69AC" w:rsidR="003C21AC" w:rsidP="00BF623B" w:rsidRDefault="003C21AC" w14:paraId="089FBAE3" w14:textId="77777777"/>
    <w:p w:rsidR="001B3495" w:rsidP="00D553BE" w:rsidRDefault="00B36476" w14:paraId="57075373" w14:textId="6C128989">
      <w:r>
        <w:t xml:space="preserve">Indiener acht het van groot belang dat </w:t>
      </w:r>
      <w:r w:rsidR="007D2057">
        <w:t xml:space="preserve">besluiten genomen in vonnissen goed worden gemotiveerd. </w:t>
      </w:r>
      <w:r w:rsidR="00CF1052">
        <w:t>U</w:t>
      </w:r>
      <w:r w:rsidR="009B0879">
        <w:t>it artikel 121 Grondwet volgt dat vonnissen de gronden</w:t>
      </w:r>
      <w:r w:rsidR="00C15860">
        <w:t xml:space="preserve"> bevatten </w:t>
      </w:r>
      <w:r w:rsidR="009B0879">
        <w:t>waarop zij rusten</w:t>
      </w:r>
      <w:r w:rsidR="00CF1052">
        <w:t xml:space="preserve">. De reden daarvan is </w:t>
      </w:r>
      <w:r w:rsidR="00C90A5D">
        <w:t>gelegen in de verstrekkendheid van rechterlijke beslissingen, waarmee inbreuk kan worden gemaakt op grondrechten.</w:t>
      </w:r>
      <w:r w:rsidR="009B0879">
        <w:t xml:space="preserve"> </w:t>
      </w:r>
      <w:r w:rsidR="003104BA">
        <w:t>Daarnaast dient het motiveren van vonnissen de begrijpelijkheid daarvan voo</w:t>
      </w:r>
      <w:r w:rsidR="00CD6150">
        <w:t>r de procespartijen, sl</w:t>
      </w:r>
      <w:r w:rsidR="00FE102F">
        <w:t xml:space="preserve">achtoffers en de maatschappij, de inscherping van het vonnis door de rechter zelf en de controle op het vonnis door een hogere rechtsmacht. </w:t>
      </w:r>
      <w:r w:rsidR="007C3A00">
        <w:t xml:space="preserve">Ook de mate waarin verschillende strafdoelen </w:t>
      </w:r>
      <w:r w:rsidR="00104F63">
        <w:t xml:space="preserve">met het vonnis </w:t>
      </w:r>
      <w:r w:rsidR="002E2131">
        <w:t xml:space="preserve">worden bereikt is daarin voor de indiener van belang. </w:t>
      </w:r>
      <w:r w:rsidR="00C72360">
        <w:br/>
      </w:r>
    </w:p>
    <w:p w:rsidRPr="004E3C16" w:rsidR="00D553BE" w:rsidP="00CE7533" w:rsidRDefault="00D553BE" w14:paraId="1C7017A9" w14:textId="0918DA40">
      <w:r w:rsidRPr="004E3C16">
        <w:t>Op basis van het huidige recht moeten bepaalde beslissingen altijd gemotiveerd in het vonnis worden opgenomen, en andere beslissingen slechts wanneer daarover door de procespartijen een duidelijk standpunt is ingenomen en de rechter daarvan afwijkt. Dit stelsel blijft in het wetsvoorstel in de kern behouden. Een belangrijke vernieuwing vormt het uitgangspunt dat rechterlijke beslissingen moeten worden gemotiveerd voor zover dat voor de begrijpelijkheid daarvan noodzakelijk is (art. 4.3.22 lid 1). Zoals de Raad van State ook stelt in haar advies wordt de begrijpelijkheid van de beslissing in belangrijke mate bepaald door de standpunten die daarover door de procesdeelnemers worden ingenomen.</w:t>
      </w:r>
      <w:r w:rsidR="004E3C16">
        <w:rPr>
          <w:rStyle w:val="Voetnootmarkering"/>
        </w:rPr>
        <w:footnoteReference w:id="2"/>
      </w:r>
      <w:r w:rsidRPr="004E3C16">
        <w:t xml:space="preserve"> </w:t>
      </w:r>
      <w:r w:rsidR="00CE7533">
        <w:t xml:space="preserve">Indiener deelt de zorg van de Raad van State dat de overige doelen van motivering (explicatiefunctie, inscherpingsfunctie en controlefunctie) in het geval dat daarover geen standpunt wordt ingenomen door procesdeelnemers mogelijk onvoldoende worden bereikt. Indiener beoogt met het amendement vast te stellen dat de motivering van vonnissen recht dient te doen aan alle doelen van motivering zoals voornoemd. Ook als procesdeelnemers geen standpunt hebben ingenomen kan motivering van een vonnis nog steeds wenselijk zijn indien dit nodig is om een vonnis controleerbaar te achten. Indiener erkent hierbij dat de omvang van een motivering kan verschillen en dat in bepaalde gevallen met een summiere motivering kan worden volstaan. Een korte motivering kan voldoende zijn indien hiermee aan alle motiveringsfuncties is voldaan. </w:t>
      </w:r>
      <w:r w:rsidR="00016680">
        <w:t xml:space="preserve"> </w:t>
      </w:r>
    </w:p>
    <w:p w:rsidR="00026CF4" w:rsidP="00445B67" w:rsidRDefault="00026CF4" w14:paraId="7BD709F0" w14:textId="77777777"/>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00B2" w14:textId="77777777" w:rsidR="00D351C1" w:rsidRDefault="00D351C1">
      <w:pPr>
        <w:spacing w:line="20" w:lineRule="exact"/>
      </w:pPr>
    </w:p>
  </w:endnote>
  <w:endnote w:type="continuationSeparator" w:id="0">
    <w:p w14:paraId="3A612136" w14:textId="77777777" w:rsidR="00D351C1" w:rsidRDefault="00D351C1">
      <w:pPr>
        <w:pStyle w:val="Amendement"/>
      </w:pPr>
      <w:r>
        <w:rPr>
          <w:b w:val="0"/>
        </w:rPr>
        <w:t xml:space="preserve"> </w:t>
      </w:r>
    </w:p>
  </w:endnote>
  <w:endnote w:type="continuationNotice" w:id="1">
    <w:p w14:paraId="3556F040" w14:textId="77777777" w:rsidR="00D351C1" w:rsidRDefault="00D35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D11B" w14:textId="77777777" w:rsidR="00D351C1" w:rsidRDefault="00D351C1">
      <w:pPr>
        <w:pStyle w:val="Amendement"/>
      </w:pPr>
      <w:r>
        <w:rPr>
          <w:b w:val="0"/>
        </w:rPr>
        <w:separator/>
      </w:r>
    </w:p>
  </w:footnote>
  <w:footnote w:type="continuationSeparator" w:id="0">
    <w:p w14:paraId="51F8D595" w14:textId="77777777" w:rsidR="00D351C1" w:rsidRDefault="00D351C1">
      <w:r>
        <w:continuationSeparator/>
      </w:r>
    </w:p>
  </w:footnote>
  <w:footnote w:id="1">
    <w:p w14:paraId="2C801B79" w14:textId="689797D1" w:rsidR="00890860" w:rsidRDefault="00890860">
      <w:pPr>
        <w:pStyle w:val="Voetnoottekst"/>
      </w:pPr>
      <w:r>
        <w:rPr>
          <w:rStyle w:val="Voetnootmarkering"/>
        </w:rPr>
        <w:footnoteRef/>
      </w:r>
      <w:r>
        <w:t xml:space="preserve"> </w:t>
      </w:r>
      <w:r w:rsidRPr="009F33B2">
        <w:rPr>
          <w:sz w:val="20"/>
        </w:rPr>
        <w:t>Vervanging in verband met een wijziging van de toelichting.</w:t>
      </w:r>
    </w:p>
  </w:footnote>
  <w:footnote w:id="2">
    <w:p w14:paraId="6F04E0C2" w14:textId="530F2116" w:rsidR="004E3C16" w:rsidRPr="001824BD" w:rsidRDefault="004E3C16">
      <w:pPr>
        <w:pStyle w:val="Voetnoottekst"/>
        <w:rPr>
          <w:sz w:val="20"/>
        </w:rPr>
      </w:pPr>
      <w:r w:rsidRPr="001824BD">
        <w:rPr>
          <w:rStyle w:val="Voetnootmarkering"/>
          <w:sz w:val="20"/>
        </w:rPr>
        <w:footnoteRef/>
      </w:r>
      <w:r w:rsidRPr="001824BD">
        <w:rPr>
          <w:sz w:val="20"/>
        </w:rPr>
        <w:t xml:space="preserve"> </w:t>
      </w:r>
      <w:r w:rsidR="008A544D" w:rsidRPr="001824BD">
        <w:rPr>
          <w:sz w:val="20"/>
        </w:rPr>
        <w:t xml:space="preserve">Advies </w:t>
      </w:r>
      <w:r w:rsidR="00322C8D" w:rsidRPr="001824BD">
        <w:rPr>
          <w:sz w:val="20"/>
        </w:rPr>
        <w:t>a</w:t>
      </w:r>
      <w:r w:rsidR="008A544D" w:rsidRPr="001824BD">
        <w:rPr>
          <w:sz w:val="20"/>
        </w:rPr>
        <w:t>fdeling</w:t>
      </w:r>
      <w:r w:rsidR="00322C8D" w:rsidRPr="001824BD">
        <w:rPr>
          <w:sz w:val="20"/>
        </w:rPr>
        <w:t xml:space="preserve"> Advisering </w:t>
      </w:r>
      <w:r w:rsidR="00ED23FC" w:rsidRPr="001824BD">
        <w:rPr>
          <w:sz w:val="20"/>
        </w:rPr>
        <w:t xml:space="preserve">Raad van State </w:t>
      </w:r>
      <w:r w:rsidR="00322C8D" w:rsidRPr="001824BD">
        <w:rPr>
          <w:sz w:val="20"/>
        </w:rPr>
        <w:t xml:space="preserve">en </w:t>
      </w:r>
      <w:r w:rsidR="00ED23FC" w:rsidRPr="001824BD">
        <w:rPr>
          <w:sz w:val="20"/>
        </w:rPr>
        <w:t>Nader rapport, pagina 174 en 175</w:t>
      </w:r>
      <w:r w:rsidR="001824BD">
        <w:rPr>
          <w:sz w:val="20"/>
        </w:rPr>
        <w:t>.</w:t>
      </w:r>
      <w:r w:rsidR="008A544D" w:rsidRPr="001824BD">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13C30"/>
    <w:multiLevelType w:val="hybridMultilevel"/>
    <w:tmpl w:val="5AD03F56"/>
    <w:lvl w:ilvl="0" w:tplc="13667BAA">
      <w:start w:val="1"/>
      <w:numFmt w:val="decimal"/>
      <w:lvlText w:val="%1."/>
      <w:lvlJc w:val="left"/>
      <w:pPr>
        <w:ind w:left="1020" w:hanging="360"/>
      </w:pPr>
    </w:lvl>
    <w:lvl w:ilvl="1" w:tplc="9F70FAF0">
      <w:start w:val="1"/>
      <w:numFmt w:val="decimal"/>
      <w:lvlText w:val="%2."/>
      <w:lvlJc w:val="left"/>
      <w:pPr>
        <w:ind w:left="1020" w:hanging="360"/>
      </w:pPr>
    </w:lvl>
    <w:lvl w:ilvl="2" w:tplc="5596DF84">
      <w:start w:val="1"/>
      <w:numFmt w:val="decimal"/>
      <w:lvlText w:val="%3."/>
      <w:lvlJc w:val="left"/>
      <w:pPr>
        <w:ind w:left="1020" w:hanging="360"/>
      </w:pPr>
    </w:lvl>
    <w:lvl w:ilvl="3" w:tplc="589A93D4">
      <w:start w:val="1"/>
      <w:numFmt w:val="decimal"/>
      <w:lvlText w:val="%4."/>
      <w:lvlJc w:val="left"/>
      <w:pPr>
        <w:ind w:left="1020" w:hanging="360"/>
      </w:pPr>
    </w:lvl>
    <w:lvl w:ilvl="4" w:tplc="CD248632">
      <w:start w:val="1"/>
      <w:numFmt w:val="decimal"/>
      <w:lvlText w:val="%5."/>
      <w:lvlJc w:val="left"/>
      <w:pPr>
        <w:ind w:left="1020" w:hanging="360"/>
      </w:pPr>
    </w:lvl>
    <w:lvl w:ilvl="5" w:tplc="C32AA5A4">
      <w:start w:val="1"/>
      <w:numFmt w:val="decimal"/>
      <w:lvlText w:val="%6."/>
      <w:lvlJc w:val="left"/>
      <w:pPr>
        <w:ind w:left="1020" w:hanging="360"/>
      </w:pPr>
    </w:lvl>
    <w:lvl w:ilvl="6" w:tplc="F2A2CB54">
      <w:start w:val="1"/>
      <w:numFmt w:val="decimal"/>
      <w:lvlText w:val="%7."/>
      <w:lvlJc w:val="left"/>
      <w:pPr>
        <w:ind w:left="1020" w:hanging="360"/>
      </w:pPr>
    </w:lvl>
    <w:lvl w:ilvl="7" w:tplc="D0C25C84">
      <w:start w:val="1"/>
      <w:numFmt w:val="decimal"/>
      <w:lvlText w:val="%8."/>
      <w:lvlJc w:val="left"/>
      <w:pPr>
        <w:ind w:left="1020" w:hanging="360"/>
      </w:pPr>
    </w:lvl>
    <w:lvl w:ilvl="8" w:tplc="D090ACB8">
      <w:start w:val="1"/>
      <w:numFmt w:val="decimal"/>
      <w:lvlText w:val="%9."/>
      <w:lvlJc w:val="left"/>
      <w:pPr>
        <w:ind w:left="1020" w:hanging="360"/>
      </w:pPr>
    </w:lvl>
  </w:abstractNum>
  <w:abstractNum w:abstractNumId="2"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3"/>
  </w:num>
  <w:num w:numId="3" w16cid:durableId="2116485653">
    <w:abstractNumId w:val="2"/>
  </w:num>
  <w:num w:numId="4" w16cid:durableId="546334246">
    <w:abstractNumId w:val="0"/>
  </w:num>
  <w:num w:numId="5" w16cid:durableId="1617757830">
    <w:abstractNumId w:val="4"/>
  </w:num>
  <w:num w:numId="6" w16cid:durableId="152871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6680"/>
    <w:rsid w:val="00026CF4"/>
    <w:rsid w:val="00033168"/>
    <w:rsid w:val="000C7B5D"/>
    <w:rsid w:val="000D17BF"/>
    <w:rsid w:val="00104F63"/>
    <w:rsid w:val="00157CAF"/>
    <w:rsid w:val="001656EE"/>
    <w:rsid w:val="0016653D"/>
    <w:rsid w:val="00173874"/>
    <w:rsid w:val="001824BD"/>
    <w:rsid w:val="001B3495"/>
    <w:rsid w:val="001C5072"/>
    <w:rsid w:val="001D56AF"/>
    <w:rsid w:val="001D673A"/>
    <w:rsid w:val="001E0D4B"/>
    <w:rsid w:val="001E0E21"/>
    <w:rsid w:val="00212E0A"/>
    <w:rsid w:val="002153B0"/>
    <w:rsid w:val="0021777F"/>
    <w:rsid w:val="00241DD0"/>
    <w:rsid w:val="00287D94"/>
    <w:rsid w:val="002A0713"/>
    <w:rsid w:val="002B7630"/>
    <w:rsid w:val="002E2131"/>
    <w:rsid w:val="003104BA"/>
    <w:rsid w:val="00322C8D"/>
    <w:rsid w:val="003362E1"/>
    <w:rsid w:val="003916B8"/>
    <w:rsid w:val="003C21AC"/>
    <w:rsid w:val="003C5218"/>
    <w:rsid w:val="003C7876"/>
    <w:rsid w:val="003E2F98"/>
    <w:rsid w:val="0042574B"/>
    <w:rsid w:val="004330ED"/>
    <w:rsid w:val="00445B67"/>
    <w:rsid w:val="004576E5"/>
    <w:rsid w:val="00481C91"/>
    <w:rsid w:val="004911E3"/>
    <w:rsid w:val="00497D57"/>
    <w:rsid w:val="004A1E29"/>
    <w:rsid w:val="004A7DD4"/>
    <w:rsid w:val="004B50D8"/>
    <w:rsid w:val="004B5B90"/>
    <w:rsid w:val="004E3C16"/>
    <w:rsid w:val="00501109"/>
    <w:rsid w:val="005703C9"/>
    <w:rsid w:val="00597703"/>
    <w:rsid w:val="005A3804"/>
    <w:rsid w:val="005A6097"/>
    <w:rsid w:val="005B1DCC"/>
    <w:rsid w:val="005B7323"/>
    <w:rsid w:val="005C25B9"/>
    <w:rsid w:val="006242D0"/>
    <w:rsid w:val="006267E6"/>
    <w:rsid w:val="00646181"/>
    <w:rsid w:val="006558D2"/>
    <w:rsid w:val="00662C46"/>
    <w:rsid w:val="00663C01"/>
    <w:rsid w:val="00672D25"/>
    <w:rsid w:val="006738BC"/>
    <w:rsid w:val="00687A9A"/>
    <w:rsid w:val="006D3E69"/>
    <w:rsid w:val="006E0971"/>
    <w:rsid w:val="006E6E0B"/>
    <w:rsid w:val="007026CD"/>
    <w:rsid w:val="007709F6"/>
    <w:rsid w:val="007965FC"/>
    <w:rsid w:val="007C3A00"/>
    <w:rsid w:val="007D2057"/>
    <w:rsid w:val="007D2608"/>
    <w:rsid w:val="007D2D89"/>
    <w:rsid w:val="00811484"/>
    <w:rsid w:val="008164E5"/>
    <w:rsid w:val="00830081"/>
    <w:rsid w:val="008467D7"/>
    <w:rsid w:val="00850F97"/>
    <w:rsid w:val="00852541"/>
    <w:rsid w:val="00865D47"/>
    <w:rsid w:val="00873913"/>
    <w:rsid w:val="0088452C"/>
    <w:rsid w:val="00890860"/>
    <w:rsid w:val="008A544D"/>
    <w:rsid w:val="008D7DCB"/>
    <w:rsid w:val="009055DB"/>
    <w:rsid w:val="00905ECB"/>
    <w:rsid w:val="00911DB8"/>
    <w:rsid w:val="009148B3"/>
    <w:rsid w:val="0096165D"/>
    <w:rsid w:val="00990F71"/>
    <w:rsid w:val="00993E91"/>
    <w:rsid w:val="009A409F"/>
    <w:rsid w:val="009A46D8"/>
    <w:rsid w:val="009B0879"/>
    <w:rsid w:val="009B5845"/>
    <w:rsid w:val="009C0C1F"/>
    <w:rsid w:val="009D068C"/>
    <w:rsid w:val="009D5768"/>
    <w:rsid w:val="00A10505"/>
    <w:rsid w:val="00A1288B"/>
    <w:rsid w:val="00A32888"/>
    <w:rsid w:val="00A52053"/>
    <w:rsid w:val="00A53203"/>
    <w:rsid w:val="00A772EB"/>
    <w:rsid w:val="00AC089C"/>
    <w:rsid w:val="00AD69D5"/>
    <w:rsid w:val="00B01BA6"/>
    <w:rsid w:val="00B36476"/>
    <w:rsid w:val="00B4708A"/>
    <w:rsid w:val="00B532AF"/>
    <w:rsid w:val="00BB09CD"/>
    <w:rsid w:val="00BF623B"/>
    <w:rsid w:val="00C035D4"/>
    <w:rsid w:val="00C15860"/>
    <w:rsid w:val="00C679BF"/>
    <w:rsid w:val="00C72360"/>
    <w:rsid w:val="00C81BBD"/>
    <w:rsid w:val="00C90A5D"/>
    <w:rsid w:val="00CA0C2D"/>
    <w:rsid w:val="00CA27E0"/>
    <w:rsid w:val="00CD3132"/>
    <w:rsid w:val="00CD6150"/>
    <w:rsid w:val="00CE27CD"/>
    <w:rsid w:val="00CE7533"/>
    <w:rsid w:val="00CF1052"/>
    <w:rsid w:val="00D134F3"/>
    <w:rsid w:val="00D14B2A"/>
    <w:rsid w:val="00D351C1"/>
    <w:rsid w:val="00D4276A"/>
    <w:rsid w:val="00D47D01"/>
    <w:rsid w:val="00D553BE"/>
    <w:rsid w:val="00D774B3"/>
    <w:rsid w:val="00DD35A5"/>
    <w:rsid w:val="00DE2948"/>
    <w:rsid w:val="00DF68BE"/>
    <w:rsid w:val="00DF712A"/>
    <w:rsid w:val="00E01159"/>
    <w:rsid w:val="00E25DF4"/>
    <w:rsid w:val="00E3485D"/>
    <w:rsid w:val="00E6619B"/>
    <w:rsid w:val="00E837DC"/>
    <w:rsid w:val="00E94B18"/>
    <w:rsid w:val="00EA1CE4"/>
    <w:rsid w:val="00EA69AC"/>
    <w:rsid w:val="00EB40A1"/>
    <w:rsid w:val="00EC3112"/>
    <w:rsid w:val="00ED23FC"/>
    <w:rsid w:val="00ED5E57"/>
    <w:rsid w:val="00EE1BD8"/>
    <w:rsid w:val="00F647F1"/>
    <w:rsid w:val="00FA12F3"/>
    <w:rsid w:val="00FA5BBE"/>
    <w:rsid w:val="00FE1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Revisie">
    <w:name w:val="Revision"/>
    <w:hidden/>
    <w:uiPriority w:val="99"/>
    <w:semiHidden/>
    <w:rsid w:val="00D55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84471">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2083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391</ap:Words>
  <ap:Characters>2330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2025-03-04T12:51:00.0000000Z</dcterms:created>
  <dcterms:modified xsi:type="dcterms:W3CDTF">2025-03-04T13:16:00.0000000Z</dcterms:modified>
  <dc:description>------------------------</dc:description>
  <dc:subject/>
  <keywords/>
  <version/>
  <category/>
</coreProperties>
</file>