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C68E5" w:rsidP="003C68E5" w:rsidRDefault="003C68E5" w14:paraId="32958C55" w14:textId="77777777">
      <w:pPr>
        <w:autoSpaceDE w:val="0"/>
        <w:rPr>
          <w:b/>
          <w:bCs/>
        </w:rPr>
      </w:pPr>
      <w:r>
        <w:rPr>
          <w:b/>
          <w:bCs/>
        </w:rPr>
        <w:t>AH 1474</w:t>
      </w:r>
    </w:p>
    <w:p w:rsidR="003C68E5" w:rsidP="003C68E5" w:rsidRDefault="003C68E5" w14:paraId="10243BEC" w14:textId="77777777">
      <w:pPr>
        <w:autoSpaceDE w:val="0"/>
        <w:rPr>
          <w:b/>
          <w:bCs/>
        </w:rPr>
      </w:pPr>
      <w:r>
        <w:rPr>
          <w:b/>
          <w:bCs/>
        </w:rPr>
        <w:t>2024Z19016</w:t>
      </w:r>
    </w:p>
    <w:p w:rsidR="003C68E5" w:rsidP="003C68E5" w:rsidRDefault="003C68E5" w14:paraId="49459E80" w14:textId="66A7130B">
      <w:pPr>
        <w:autoSpaceDE w:val="0"/>
        <w:rPr>
          <w:b/>
          <w:bCs/>
          <w:sz w:val="24"/>
          <w:szCs w:val="24"/>
        </w:rPr>
      </w:pPr>
      <w:r w:rsidRPr="003C68E5">
        <w:rPr>
          <w:b/>
          <w:bCs/>
          <w:sz w:val="24"/>
          <w:szCs w:val="24"/>
        </w:rPr>
        <w:t>Antwoord van minister Van Weel (Justitie en Veiligheid)</w:t>
      </w:r>
      <w:r>
        <w:rPr>
          <w:b/>
          <w:bCs/>
          <w:sz w:val="24"/>
          <w:szCs w:val="24"/>
        </w:rPr>
        <w:t xml:space="preserve">, mede namens de </w:t>
      </w:r>
      <w:r w:rsidRPr="003C68E5">
        <w:rPr>
          <w:b/>
          <w:bCs/>
          <w:sz w:val="24"/>
          <w:szCs w:val="24"/>
        </w:rPr>
        <w:t xml:space="preserve"> minister</w:t>
      </w:r>
      <w:r>
        <w:rPr>
          <w:b/>
          <w:bCs/>
          <w:sz w:val="24"/>
          <w:szCs w:val="24"/>
        </w:rPr>
        <w:t>s</w:t>
      </w:r>
      <w:r w:rsidRPr="003C68E5">
        <w:rPr>
          <w:b/>
          <w:bCs/>
          <w:sz w:val="24"/>
          <w:szCs w:val="24"/>
        </w:rPr>
        <w:t xml:space="preserve"> </w:t>
      </w:r>
      <w:r>
        <w:rPr>
          <w:b/>
          <w:bCs/>
          <w:sz w:val="24"/>
          <w:szCs w:val="24"/>
        </w:rPr>
        <w:t xml:space="preserve">van </w:t>
      </w:r>
      <w:r w:rsidRPr="003C68E5">
        <w:rPr>
          <w:b/>
          <w:bCs/>
          <w:sz w:val="24"/>
          <w:szCs w:val="24"/>
        </w:rPr>
        <w:t>Asiel en Migratie</w:t>
      </w:r>
      <w:r>
        <w:rPr>
          <w:b/>
          <w:bCs/>
          <w:sz w:val="24"/>
          <w:szCs w:val="24"/>
        </w:rPr>
        <w:t xml:space="preserve"> en</w:t>
      </w:r>
      <w:r w:rsidRPr="003C68E5">
        <w:rPr>
          <w:rFonts w:ascii="Times New Roman" w:hAnsi="Times New Roman"/>
          <w:b/>
          <w:bCs/>
          <w:sz w:val="24"/>
          <w:szCs w:val="24"/>
        </w:rPr>
        <w:t xml:space="preserve"> voor Buitenlandse Handel en Ontwikkelingshulp</w:t>
      </w:r>
      <w:r>
        <w:rPr>
          <w:rFonts w:ascii="Times New Roman" w:hAnsi="Times New Roman"/>
          <w:b/>
          <w:bCs/>
          <w:sz w:val="24"/>
          <w:szCs w:val="24"/>
        </w:rPr>
        <w:t xml:space="preserve"> </w:t>
      </w:r>
      <w:r w:rsidRPr="003C68E5">
        <w:rPr>
          <w:b/>
          <w:bCs/>
          <w:sz w:val="24"/>
          <w:szCs w:val="24"/>
        </w:rPr>
        <w:t>(ontvangen</w:t>
      </w:r>
      <w:r>
        <w:rPr>
          <w:b/>
          <w:bCs/>
          <w:sz w:val="24"/>
          <w:szCs w:val="24"/>
        </w:rPr>
        <w:t xml:space="preserve"> 3 maart 2025)</w:t>
      </w:r>
    </w:p>
    <w:p w:rsidR="003C68E5" w:rsidP="003C68E5" w:rsidRDefault="003C68E5" w14:paraId="3A11E83E" w14:textId="4DEF0AF1">
      <w:pPr>
        <w:autoSpaceDE w:val="0"/>
        <w:rPr>
          <w:b/>
          <w:bCs/>
          <w:sz w:val="24"/>
          <w:szCs w:val="24"/>
        </w:rPr>
      </w:pPr>
      <w:r w:rsidRPr="003C68E5">
        <w:rPr>
          <w:b/>
          <w:bCs/>
          <w:sz w:val="24"/>
          <w:szCs w:val="24"/>
        </w:rPr>
        <w:t>Zie ook Aanhangsel Handelingen, vergaderjaar 2024-2025, nr.</w:t>
      </w:r>
      <w:r>
        <w:rPr>
          <w:b/>
          <w:bCs/>
          <w:sz w:val="24"/>
          <w:szCs w:val="24"/>
        </w:rPr>
        <w:t xml:space="preserve"> 802</w:t>
      </w:r>
    </w:p>
    <w:p w:rsidR="003C68E5" w:rsidP="003C68E5" w:rsidRDefault="003C68E5" w14:paraId="04F14027" w14:textId="77777777">
      <w:pPr>
        <w:autoSpaceDE w:val="0"/>
        <w:rPr>
          <w:b/>
          <w:bCs/>
          <w:sz w:val="24"/>
          <w:szCs w:val="24"/>
        </w:rPr>
      </w:pPr>
    </w:p>
    <w:p w:rsidRPr="003C68E5" w:rsidR="003C68E5" w:rsidP="003C68E5" w:rsidRDefault="003C68E5" w14:paraId="521DAB40" w14:textId="0EDE65BA">
      <w:pPr>
        <w:autoSpaceDE w:val="0"/>
        <w:rPr>
          <w:b/>
          <w:bCs/>
          <w:sz w:val="24"/>
          <w:szCs w:val="24"/>
        </w:rPr>
      </w:pPr>
      <w:r w:rsidRPr="001E2504">
        <w:rPr>
          <w:b/>
          <w:bCs/>
        </w:rPr>
        <w:br/>
        <w:t>Vraag 1</w:t>
      </w:r>
      <w:r w:rsidRPr="001E2504">
        <w:rPr>
          <w:b/>
          <w:bCs/>
        </w:rPr>
        <w:br/>
        <w:t>Bent u bekend met bovenvermeld artikel?</w:t>
      </w:r>
      <w:r w:rsidRPr="001E2504">
        <w:rPr>
          <w:rStyle w:val="Voetnootmarkering"/>
          <w:b/>
          <w:bCs/>
        </w:rPr>
        <w:footnoteReference w:id="1"/>
      </w:r>
    </w:p>
    <w:p w:rsidRPr="001E2504" w:rsidR="003C68E5" w:rsidP="003C68E5" w:rsidRDefault="003C68E5" w14:paraId="573FA25F" w14:textId="77777777">
      <w:pPr>
        <w:autoSpaceDE w:val="0"/>
      </w:pPr>
      <w:r w:rsidRPr="001E2504">
        <w:rPr>
          <w:b/>
          <w:bCs/>
        </w:rPr>
        <w:t> </w:t>
      </w:r>
      <w:r w:rsidRPr="001E2504">
        <w:rPr>
          <w:b/>
          <w:bCs/>
        </w:rPr>
        <w:br/>
        <w:t>Antwoord op vraag 1</w:t>
      </w:r>
      <w:r w:rsidRPr="001E2504">
        <w:rPr>
          <w:b/>
          <w:bCs/>
        </w:rPr>
        <w:br/>
      </w:r>
      <w:r w:rsidRPr="001E2504">
        <w:t>Ja.</w:t>
      </w:r>
    </w:p>
    <w:p w:rsidRPr="001E2504" w:rsidR="003C68E5" w:rsidP="003C68E5" w:rsidRDefault="003C68E5" w14:paraId="3F44F479" w14:textId="77777777">
      <w:pPr>
        <w:autoSpaceDE w:val="0"/>
      </w:pPr>
    </w:p>
    <w:p w:rsidRPr="001E2504" w:rsidR="003C68E5" w:rsidP="003C68E5" w:rsidRDefault="003C68E5" w14:paraId="53639741" w14:textId="77777777">
      <w:pPr>
        <w:autoSpaceDE w:val="0"/>
        <w:rPr>
          <w:b/>
          <w:bCs/>
        </w:rPr>
      </w:pPr>
      <w:r w:rsidRPr="001E2504">
        <w:rPr>
          <w:b/>
          <w:bCs/>
        </w:rPr>
        <w:t>Vraag 2</w:t>
      </w:r>
      <w:r w:rsidRPr="001E2504">
        <w:rPr>
          <w:b/>
          <w:bCs/>
        </w:rPr>
        <w:br/>
        <w:t>Onderschrijft u de conclusie van het Openbaar Ministerie (OM) dat criminele netwerken Nederland als ‘hub’ gebruiken bij de voorbereidingshandelingen van mensensmokkel naar Groot-Brittannië? Zo ja, kunt u hier meer informatie over delen, zoals kenmerken van de slachtoffers en modus operandi? Zo nee, waarom niet?</w:t>
      </w:r>
    </w:p>
    <w:p w:rsidRPr="001E2504" w:rsidR="003C68E5" w:rsidP="003C68E5" w:rsidRDefault="003C68E5" w14:paraId="2EAE7587" w14:textId="77777777">
      <w:pPr>
        <w:autoSpaceDE w:val="0"/>
        <w:rPr>
          <w:b/>
          <w:bCs/>
        </w:rPr>
      </w:pPr>
      <w:r w:rsidRPr="001E2504">
        <w:rPr>
          <w:b/>
          <w:bCs/>
        </w:rPr>
        <w:t> </w:t>
      </w:r>
      <w:r w:rsidRPr="001E2504">
        <w:rPr>
          <w:b/>
          <w:bCs/>
        </w:rPr>
        <w:br/>
        <w:t>Antwoord op vraag 2</w:t>
      </w:r>
    </w:p>
    <w:p w:rsidRPr="001E2504" w:rsidR="003C68E5" w:rsidP="003C68E5" w:rsidRDefault="003C68E5" w14:paraId="75DF7882" w14:textId="77777777">
      <w:r w:rsidRPr="001E2504">
        <w:t>Het klopt dat in Nederland sprake is van voorbereidingshandelingen van mensensmokkel. Geregeld wordt nautisch materieel via Nederland naar Frankrijk gebracht ten behoeve van het maken van de illegale oversteek. Dit kan inderdaad gaan om de aankoop, opslag en het vervoer van maritieme uitrusting, zoals reddingsvesten, opblaasbare boten, buitenboordmotoren en brandstofjerrycans. Er zijn bij de opsporingsdiensten geen aanwijzingen dat de mensensmokkel die daaropvolgend plaatsvindt een specifieke groep in het bijzonder betreft, anders dan de nationaliteiten die met name vertegenwoordigd zijn in de cijfers over irreguliere aankomsten in het VK met kleine boten. De top-5 herkomstlanden van personen die in de loop van 2024 middels kleine boten irregulier het VK binnenkwamen, zijn Afghanistan, Vietnam, Iran, Syrië, Eritrea.</w:t>
      </w:r>
      <w:r w:rsidRPr="001E2504">
        <w:rPr>
          <w:rStyle w:val="Voetnootmarkering"/>
        </w:rPr>
        <w:footnoteReference w:id="2"/>
      </w:r>
      <w:r w:rsidRPr="001E2504">
        <w:t xml:space="preserve"> </w:t>
      </w:r>
    </w:p>
    <w:p w:rsidRPr="001E2504" w:rsidR="003C68E5" w:rsidP="003C68E5" w:rsidRDefault="003C68E5" w14:paraId="191F0379" w14:textId="77777777">
      <w:pPr>
        <w:autoSpaceDE w:val="0"/>
        <w:rPr>
          <w:b/>
          <w:bCs/>
        </w:rPr>
      </w:pPr>
    </w:p>
    <w:p w:rsidRPr="001E2504" w:rsidR="003C68E5" w:rsidP="003C68E5" w:rsidRDefault="003C68E5" w14:paraId="55D4F054" w14:textId="77777777">
      <w:pPr>
        <w:autoSpaceDE w:val="0"/>
        <w:rPr>
          <w:b/>
          <w:bCs/>
        </w:rPr>
      </w:pPr>
      <w:r w:rsidRPr="001E2504">
        <w:rPr>
          <w:b/>
          <w:bCs/>
        </w:rPr>
        <w:t>Vraag 3</w:t>
      </w:r>
      <w:r w:rsidRPr="001E2504">
        <w:rPr>
          <w:b/>
          <w:bCs/>
        </w:rPr>
        <w:br/>
        <w:t>Heeft u (voldoende) zicht op de criminele organisaties die hierbij betrokken zijn? Zo nee, welke aanpak volgt u om dit zicht snel te vergroten?</w:t>
      </w:r>
      <w:r w:rsidRPr="001E2504">
        <w:rPr>
          <w:b/>
          <w:bCs/>
        </w:rPr>
        <w:br/>
        <w:t> </w:t>
      </w:r>
    </w:p>
    <w:p w:rsidRPr="001E2504" w:rsidR="003C68E5" w:rsidP="003C68E5" w:rsidRDefault="003C68E5" w14:paraId="6514A945" w14:textId="77777777">
      <w:pPr>
        <w:autoSpaceDE w:val="0"/>
        <w:rPr>
          <w:b/>
          <w:bCs/>
        </w:rPr>
      </w:pPr>
      <w:r w:rsidRPr="001E2504">
        <w:rPr>
          <w:b/>
          <w:bCs/>
        </w:rPr>
        <w:t>Vraag 4</w:t>
      </w:r>
      <w:r w:rsidRPr="001E2504">
        <w:rPr>
          <w:b/>
          <w:bCs/>
        </w:rPr>
        <w:br/>
        <w:t>Volgens het OM is het essentieel om de betrokken criminele organisaties in een vroeg stadium in de gaten te krijgen; heeft u er vertrouwen in dat dit op korte termijn succesvol zal gebeuren? Zo ja, welke stappen worden daartoe ondernomen? Zo nee, waarom niet?</w:t>
      </w:r>
    </w:p>
    <w:p w:rsidR="003C68E5" w:rsidP="003C68E5" w:rsidRDefault="003C68E5" w14:paraId="64AEA557" w14:textId="77777777">
      <w:pPr>
        <w:rPr>
          <w:b/>
          <w:bCs/>
        </w:rPr>
      </w:pPr>
      <w:r w:rsidRPr="001E2504">
        <w:rPr>
          <w:b/>
          <w:bCs/>
        </w:rPr>
        <w:t> </w:t>
      </w:r>
      <w:r w:rsidRPr="001E2504">
        <w:rPr>
          <w:b/>
          <w:bCs/>
        </w:rPr>
        <w:br/>
      </w:r>
    </w:p>
    <w:p w:rsidR="003C68E5" w:rsidP="003C68E5" w:rsidRDefault="003C68E5" w14:paraId="1B09DC51" w14:textId="77777777">
      <w:pPr>
        <w:rPr>
          <w:b/>
          <w:bCs/>
        </w:rPr>
      </w:pPr>
    </w:p>
    <w:p w:rsidR="003C68E5" w:rsidP="003C68E5" w:rsidRDefault="003C68E5" w14:paraId="6455BD81" w14:textId="77777777">
      <w:pPr>
        <w:rPr>
          <w:b/>
          <w:bCs/>
        </w:rPr>
      </w:pPr>
    </w:p>
    <w:p w:rsidR="003C68E5" w:rsidP="003C68E5" w:rsidRDefault="003C68E5" w14:paraId="4853F2E7" w14:textId="77777777">
      <w:pPr>
        <w:rPr>
          <w:b/>
          <w:bCs/>
        </w:rPr>
      </w:pPr>
    </w:p>
    <w:p w:rsidR="003C68E5" w:rsidP="003C68E5" w:rsidRDefault="003C68E5" w14:paraId="579A571E" w14:textId="77777777">
      <w:pPr>
        <w:rPr>
          <w:b/>
          <w:bCs/>
        </w:rPr>
      </w:pPr>
    </w:p>
    <w:p w:rsidRPr="001E2504" w:rsidR="003C68E5" w:rsidP="003C68E5" w:rsidRDefault="003C68E5" w14:paraId="570CF383" w14:textId="77777777">
      <w:r w:rsidRPr="001E2504">
        <w:rPr>
          <w:b/>
          <w:bCs/>
        </w:rPr>
        <w:t>Antwoord vraag 3 en 4</w:t>
      </w:r>
      <w:r w:rsidRPr="001E2504">
        <w:rPr>
          <w:b/>
          <w:bCs/>
        </w:rPr>
        <w:br/>
      </w:r>
      <w:r w:rsidRPr="001E2504">
        <w:t>Nederland onderhoudt goed contact met de bij deze problematiek meest betrokken landen en de opsporingsautoriteiten aldaar. Zo zit Nederland in de door Europol gecoördineerde Operational Task Force (OTF) ‘Wave’ samen met België, Franrijk, Duitsland en het Verenigd Koninkrijk. Deze OTF richt zich op de aanpak van de volledige keten van mensensmokkelactiviteiten – van de rekrutering van migranten tot de logistieke cellen en de criminele kopstukken daarachter. De samenwerking met deze landen heeft al tot meerdere successen geleid, zoals ook recentelijk toen in Nederland een belangrijke leverancier van kleine boten aan mensensmokkelaars werd gearresteerd.</w:t>
      </w:r>
      <w:r w:rsidRPr="001E2504">
        <w:rPr>
          <w:rStyle w:val="Voetnootmarkering"/>
        </w:rPr>
        <w:footnoteReference w:id="3"/>
      </w:r>
      <w:r w:rsidRPr="001E2504">
        <w:t xml:space="preserve"> </w:t>
      </w:r>
    </w:p>
    <w:p w:rsidRPr="001E2504" w:rsidR="003C68E5" w:rsidP="003C68E5" w:rsidRDefault="003C68E5" w14:paraId="26E6CBB9" w14:textId="77777777"/>
    <w:p w:rsidRPr="001E2504" w:rsidR="003C68E5" w:rsidP="003C68E5" w:rsidRDefault="003C68E5" w14:paraId="7F223798" w14:textId="77777777">
      <w:r w:rsidRPr="001E2504">
        <w:t xml:space="preserve">Hoewel zaken altijd beter kunnen, denken de opsporingsautoriteiten steeds meer zicht op de netwerken achter deze handelingen te krijgen. Hierbij is het van belang om internationaal te blijven samenwerken en informatie te delen om zo op de laatste modi operandi van de smokkelnetwerken in te kunnen blijven springen. Zo vond op 10 december jl. een ministeriële bijeenkomst van de Calais Groep plaats waarin de samenwerking werd aangehaald, en ook de onderlinge prioriteiten voor 2025 op dit vlak werden bevestigd. Zo zal worden ingezet op preventieve communicatie in herkomst- en doorreislanden, versterkte samenwerking op het gebied van rechtshandhaving via Europol, het verstoren van financieringsstromen en </w:t>
      </w:r>
      <w:r w:rsidRPr="001E2504">
        <w:lastRenderedPageBreak/>
        <w:t>het gebruik van sociale media door mensensmokkelnetwerken, en samenwerking op data-uitwisseling.</w:t>
      </w:r>
      <w:r w:rsidRPr="001E2504">
        <w:rPr>
          <w:rStyle w:val="Voetnootmarkering"/>
        </w:rPr>
        <w:footnoteReference w:id="4"/>
      </w:r>
      <w:r w:rsidRPr="001E2504">
        <w:t>   </w:t>
      </w:r>
    </w:p>
    <w:p w:rsidRPr="001E2504" w:rsidR="003C68E5" w:rsidP="003C68E5" w:rsidRDefault="003C68E5" w14:paraId="5EBBB5AF" w14:textId="77777777"/>
    <w:p w:rsidRPr="001E2504" w:rsidR="003C68E5" w:rsidP="003C68E5" w:rsidRDefault="003C68E5" w14:paraId="6235D0F7" w14:textId="77777777">
      <w:r w:rsidRPr="001E2504">
        <w:t>Het kabinet acht het daarnaast van belang dat mensensmokkel zoveel mogelijk upstream wordt aangepakt. Daarbij is het tegengaan van mensensmokkel en het ontwrichten van criminele smokkelnetwerken een prioriteit voor het kabinet, juist om te voorkomen dat mensensmokkelaars en de netwerken daarachter vaak uit winstbejag misbruik maken van de situatie van de mensen die op hen een beroep doen. Het kabinet heeft een brede inzet. Zo werkt Nederland onder andere aan het tegengaan van mensensmokkel middels verschillende initiatieven en projecten samen met andere lidstaten, derde landen, internationale organisaties zoals UNODC, en EU-agentschappen zoals Europol, Eurojust en Frontex om mensensmokkel te bestrijden. Dit vindt bijvoorbeeld plaats binnen het European Multidisciplinair Platform Against Crime Threats (EMPACT), waarbij Nederland deelneemt aan verschillende acties gericht op het tegengaan van mensensmokkel met landen binnen en buiten de EU. Onder het PROMIS programma met UNODC en OHCHR zet Nederland in op het versterken van de wetgeving, capaciteit en internationale samenwerking onder verschillende upstream landen bij het tegengaan van mensensmokkel, middels een benadering gestoeld op mensenrechten. Tevens wordt ingezet op preventie en voorlichting in derde landen om bewustwording over de risico’s van irreguliere migratie te vergroten, bijvoorbeeld middels het COMPASS programma uitgevoerd door de Internationale Organisatie voor Migratie (IOM). Meer over de brede inzet van het kabinet kunt u lezen in het Beleidskader aanpak mensensmokkel 2023-2026.</w:t>
      </w:r>
      <w:r w:rsidRPr="001E2504">
        <w:rPr>
          <w:rStyle w:val="Voetnootmarkering"/>
        </w:rPr>
        <w:footnoteReference w:id="5"/>
      </w:r>
    </w:p>
    <w:p w:rsidR="003C68E5" w:rsidP="003C68E5" w:rsidRDefault="003C68E5" w14:paraId="459E7E21" w14:textId="77777777">
      <w:pPr>
        <w:autoSpaceDE w:val="0"/>
        <w:rPr>
          <w:b/>
          <w:bCs/>
        </w:rPr>
      </w:pPr>
    </w:p>
    <w:p w:rsidR="003C68E5" w:rsidP="003C68E5" w:rsidRDefault="003C68E5" w14:paraId="6C598F21" w14:textId="77777777">
      <w:pPr>
        <w:autoSpaceDE w:val="0"/>
        <w:rPr>
          <w:b/>
          <w:bCs/>
        </w:rPr>
      </w:pPr>
    </w:p>
    <w:p w:rsidR="003C68E5" w:rsidP="003C68E5" w:rsidRDefault="003C68E5" w14:paraId="42D4C858" w14:textId="77777777">
      <w:pPr>
        <w:autoSpaceDE w:val="0"/>
        <w:rPr>
          <w:b/>
          <w:bCs/>
        </w:rPr>
      </w:pPr>
    </w:p>
    <w:p w:rsidR="003C68E5" w:rsidP="003C68E5" w:rsidRDefault="003C68E5" w14:paraId="7816AC69" w14:textId="77777777">
      <w:pPr>
        <w:autoSpaceDE w:val="0"/>
        <w:rPr>
          <w:b/>
          <w:bCs/>
        </w:rPr>
      </w:pPr>
    </w:p>
    <w:p w:rsidRPr="001E2504" w:rsidR="003C68E5" w:rsidP="003C68E5" w:rsidRDefault="003C68E5" w14:paraId="18E12D2F" w14:textId="77777777">
      <w:pPr>
        <w:autoSpaceDE w:val="0"/>
        <w:rPr>
          <w:b/>
          <w:bCs/>
        </w:rPr>
      </w:pPr>
    </w:p>
    <w:p w:rsidRPr="001E2504" w:rsidR="003C68E5" w:rsidP="003C68E5" w:rsidRDefault="003C68E5" w14:paraId="118F336D" w14:textId="77777777">
      <w:pPr>
        <w:autoSpaceDE w:val="0"/>
        <w:rPr>
          <w:b/>
          <w:bCs/>
        </w:rPr>
      </w:pPr>
      <w:r w:rsidRPr="001E2504">
        <w:rPr>
          <w:b/>
          <w:bCs/>
        </w:rPr>
        <w:t>Vraag 5</w:t>
      </w:r>
      <w:r w:rsidRPr="001E2504">
        <w:rPr>
          <w:b/>
          <w:bCs/>
        </w:rPr>
        <w:br/>
        <w:t xml:space="preserve">Het OM, samen met de Koninklijke Marechaussee en de Britse National Crime Agency, vragen aandacht bij de maritieme sector om verdacht gedrag van handelaren te melden; hoeveel meldingen zijn er de afgelopen weken gedaan en hoe is daarop geageerd? Hoe verhoudt de hoeveelheid meldingen die de afgelopen weken zijn gedaan zich met de hoeveelheid in de afgelopen jaren? Hoeveel migranten betrof het en uit welke landen komen de migranten? Hoe vindt u dat deze meldingen op dit moment worden opgevolgd en zijn er nog andere </w:t>
      </w:r>
      <w:r w:rsidRPr="001E2504">
        <w:rPr>
          <w:b/>
          <w:bCs/>
        </w:rPr>
        <w:lastRenderedPageBreak/>
        <w:t>mogelijke acties om mensensmokkelaars te stoppen?</w:t>
      </w:r>
      <w:r w:rsidRPr="001E2504">
        <w:rPr>
          <w:b/>
          <w:bCs/>
        </w:rPr>
        <w:br/>
      </w:r>
    </w:p>
    <w:p w:rsidRPr="001E2504" w:rsidR="003C68E5" w:rsidP="003C68E5" w:rsidRDefault="003C68E5" w14:paraId="3DB49DC9" w14:textId="77777777">
      <w:pPr>
        <w:autoSpaceDE w:val="0"/>
        <w:rPr>
          <w:b/>
          <w:bCs/>
        </w:rPr>
      </w:pPr>
      <w:r w:rsidRPr="001E2504">
        <w:rPr>
          <w:b/>
          <w:bCs/>
        </w:rPr>
        <w:t>Antwoord op vraag 5</w:t>
      </w:r>
    </w:p>
    <w:p w:rsidRPr="001E2504" w:rsidR="003C68E5" w:rsidP="003C68E5" w:rsidRDefault="003C68E5" w14:paraId="551602E8" w14:textId="77777777">
      <w:r w:rsidRPr="001E2504">
        <w:t>Wanneer de opsporingsdiensten een melding doorkrijgen doen zij nader onderzoek naar de bruikbaarheid ervan, en betrekken zij deze waar toepasselijk in lopende strafrechtelijke onderzoeken of kan het aanleiding geven een nieuw onderzoek te starten. Niet elke melding is echter even bruikbaar en het is altijd een aandachtspunt de meldingsbereidheid zo hoog mogelijk te krijgen. Het kweken van bewustzijn bij handelaren, booteigenaren en andere personen in het nautische domein is dus ook belangrijk binnen deze aanpak. Cijfers over deze meldingen worden echter niet centraal bijgehouden, en zijn dus ook niet te vergelijken met voorgaande jaren. Daarbij is het doorgaans niet mogelijk om precies te achterhalen welke migranten uiteindelijk de oversteek maken met nautisch materieel dat uit of via Nederland is gekomen – hierover zijn dus ook geen cijfers beschikbaar.</w:t>
      </w:r>
    </w:p>
    <w:p w:rsidRPr="001E2504" w:rsidR="003C68E5" w:rsidP="003C68E5" w:rsidRDefault="003C68E5" w14:paraId="487A64C8" w14:textId="77777777"/>
    <w:p w:rsidRPr="001E2504" w:rsidR="003C68E5" w:rsidP="003C68E5" w:rsidRDefault="003C68E5" w14:paraId="1A793915" w14:textId="77777777">
      <w:r w:rsidRPr="001E2504">
        <w:t xml:space="preserve">Zoals aangegeven onder vraag 3 en 4 vergt de aanpak van mensensmokkel een integrale aanpak waarbinnen verschillende interventies bijdragen aan het tegengaan van mensensmokkel en de criminele netwerken daarachter. </w:t>
      </w:r>
    </w:p>
    <w:p w:rsidRPr="001E2504" w:rsidR="003C68E5" w:rsidP="003C68E5" w:rsidRDefault="003C68E5" w14:paraId="378F87BD" w14:textId="77777777">
      <w:pPr>
        <w:autoSpaceDE w:val="0"/>
        <w:rPr>
          <w:b/>
          <w:bCs/>
        </w:rPr>
      </w:pPr>
    </w:p>
    <w:p w:rsidRPr="001E2504" w:rsidR="003C68E5" w:rsidP="003C68E5" w:rsidRDefault="003C68E5" w14:paraId="18571E7A" w14:textId="77777777">
      <w:pPr>
        <w:autoSpaceDE w:val="0"/>
        <w:rPr>
          <w:b/>
          <w:bCs/>
        </w:rPr>
      </w:pPr>
      <w:r w:rsidRPr="001E2504">
        <w:rPr>
          <w:b/>
          <w:bCs/>
        </w:rPr>
        <w:t>Vraag 6</w:t>
      </w:r>
      <w:r w:rsidRPr="001E2504">
        <w:rPr>
          <w:b/>
          <w:bCs/>
        </w:rPr>
        <w:br/>
        <w:t>Welke concrete acties zijn er volgens u ondernomen c.q. in voorbereiding om promotie voor de overtocht vanuit Frankrijk naar Engeland op sociale media door mensensmokkelaars tegen te gaan?</w:t>
      </w:r>
    </w:p>
    <w:p w:rsidRPr="001E2504" w:rsidR="003C68E5" w:rsidP="003C68E5" w:rsidRDefault="003C68E5" w14:paraId="6138E65D" w14:textId="77777777">
      <w:r w:rsidRPr="001E2504">
        <w:rPr>
          <w:b/>
          <w:bCs/>
        </w:rPr>
        <w:t> </w:t>
      </w:r>
      <w:r w:rsidRPr="001E2504">
        <w:rPr>
          <w:b/>
          <w:bCs/>
        </w:rPr>
        <w:br/>
        <w:t>Antwoord op vraag 6</w:t>
      </w:r>
      <w:r w:rsidRPr="001E2504">
        <w:rPr>
          <w:b/>
          <w:bCs/>
        </w:rPr>
        <w:br/>
      </w:r>
      <w:r w:rsidRPr="001E2504">
        <w:t>De Koninklijke Marechaussee (KMar) en haar internationale partners houden zicht op sociale media en andere open bronnen om uitingen van criminele smokkelnetwerken op te sporen die tot doel hebben migranten te werven voor hun activiteiten. Hierbij is het van belang dat dergelijke handelingen altijd binnen de relevante data- en privacygerelateerde wet- en regelgeving plaatsvinden. De ambitie onder het huidige beleidskader aanpak mensensmokkel is om de digitale capaciteit, expertise en technologie van KMar, politie en OM verder te versterken om online activiteiten gerelateerd aan mensensmokkel effectiever te bestrijden, en beter te kunnen anticiperen op trends en ontwikkelingen.</w:t>
      </w:r>
      <w:r w:rsidRPr="001E2504">
        <w:rPr>
          <w:rStyle w:val="Voetnootmarkering"/>
        </w:rPr>
        <w:footnoteReference w:id="6"/>
      </w:r>
    </w:p>
    <w:p w:rsidRPr="001E2504" w:rsidR="003C68E5" w:rsidP="003C68E5" w:rsidRDefault="003C68E5" w14:paraId="5EEA78E4" w14:textId="77777777"/>
    <w:p w:rsidRPr="001E2504" w:rsidR="003C68E5" w:rsidP="003C68E5" w:rsidRDefault="003C68E5" w14:paraId="642CAD60" w14:textId="77777777">
      <w:pPr>
        <w:autoSpaceDE w:val="0"/>
      </w:pPr>
      <w:r w:rsidRPr="001E2504">
        <w:t xml:space="preserve">De aanpak van digitale voorbereidingshandelingen van mensensmokkel vindt ook in Europees verband plaats. Zo is door Europol een netwerk van sociale media </w:t>
      </w:r>
      <w:r w:rsidRPr="001E2504">
        <w:lastRenderedPageBreak/>
        <w:t>specialisten opgericht, waarbij ook de KMar is aangesloten. Binnen de Calais Groep zal daarnaast komend jaar aandacht uitgaan naar het intensiveren van de samenwerking om het gebruik van sociale media door georganiseerde criminele netwerken aan te pakken. Dit omvat het verder delen van inlichtingen over belangrijke aandachtspunten op sociale mediaplatforms, het uitwisselen van best practices om criminele netwerken online aan te pakken en het uitdenken van innovatieve manieren om het gebruik van sociale media door criminele netwerken te verstoren. Zodoende moet het moeilijker worden voor mensensmokkelnetwerken om online migranten te werven met het doel hen irregulier de grens te laten overschrijden.</w:t>
      </w:r>
    </w:p>
    <w:p w:rsidRPr="001E2504" w:rsidR="003C68E5" w:rsidP="003C68E5" w:rsidRDefault="003C68E5" w14:paraId="210420F5" w14:textId="77777777">
      <w:pPr>
        <w:autoSpaceDE w:val="0"/>
        <w:rPr>
          <w:b/>
          <w:bCs/>
        </w:rPr>
      </w:pPr>
    </w:p>
    <w:p w:rsidRPr="001E2504" w:rsidR="003C68E5" w:rsidP="003C68E5" w:rsidRDefault="003C68E5" w14:paraId="36710BC1" w14:textId="77777777">
      <w:pPr>
        <w:autoSpaceDE w:val="0"/>
        <w:rPr>
          <w:b/>
          <w:bCs/>
        </w:rPr>
      </w:pPr>
      <w:r w:rsidRPr="001E2504">
        <w:rPr>
          <w:b/>
          <w:bCs/>
        </w:rPr>
        <w:t>Vraag 7</w:t>
      </w:r>
      <w:r w:rsidRPr="001E2504">
        <w:rPr>
          <w:b/>
          <w:bCs/>
        </w:rPr>
        <w:br/>
        <w:t>Welke urgentie heeft de aanpak van voorbereidingshandelingen in Nederland voor u, mede gegeven het feit dat er dit jaar volgens de Verenigde Naties al 70 mensen de oversteek vanuit Frankrijk naar Engeland niet hebben overleefd?</w:t>
      </w:r>
    </w:p>
    <w:p w:rsidRPr="001E2504" w:rsidR="003C68E5" w:rsidP="003C68E5" w:rsidRDefault="003C68E5" w14:paraId="29DCC029" w14:textId="77777777">
      <w:r w:rsidRPr="001E2504">
        <w:rPr>
          <w:b/>
          <w:bCs/>
        </w:rPr>
        <w:br/>
        <w:t>Antwoord op vraag 7 </w:t>
      </w:r>
      <w:r w:rsidRPr="001E2504">
        <w:rPr>
          <w:b/>
          <w:bCs/>
        </w:rPr>
        <w:br/>
      </w:r>
      <w:r w:rsidRPr="001E2504">
        <w:t>Het is een prioriteit van het kabinet dat mensensmokkel en de voorbereidingshandelingen daarbij worden tegengegaan. Zoals bij het antwoord onder vraag 3 en 4 aangegeven heeft de aanpak van mensensmokkel over het kanaal, en de voorbereidingshandelingen die daaraan vooraf gaan, de aandacht van het kabinet, de opsporingsdiensten en hun internationale partners. Zo wordt op operationeel niveau niet zonder successen ingezet om deze levensgevaarlijke variant van mensensmokkel aan te pakken en wordt voortdurend gekeken hoe verdere (internationale) samenwerking vormgegeven kan worden. Daarnaast is het kabinet van mening dat de aanpak van mensensmokkel al begint buiten Europa en zet het zich ervoor in om criminele netwerken en hun verdienmodel ook daar te verstoren en hun activiteiten tegen te gaan.</w:t>
      </w:r>
    </w:p>
    <w:p w:rsidRPr="001E2504" w:rsidR="003C68E5" w:rsidP="003C68E5" w:rsidRDefault="003C68E5" w14:paraId="14C49E98" w14:textId="77777777">
      <w:pPr>
        <w:autoSpaceDE w:val="0"/>
        <w:rPr>
          <w:b/>
          <w:bCs/>
        </w:rPr>
      </w:pPr>
    </w:p>
    <w:p w:rsidRPr="001E2504" w:rsidR="003C68E5" w:rsidP="003C68E5" w:rsidRDefault="003C68E5" w14:paraId="5604DB73" w14:textId="77777777">
      <w:pPr>
        <w:autoSpaceDE w:val="0"/>
        <w:rPr>
          <w:b/>
          <w:bCs/>
        </w:rPr>
      </w:pPr>
      <w:r w:rsidRPr="001E2504">
        <w:rPr>
          <w:b/>
          <w:bCs/>
        </w:rPr>
        <w:t>Vraag 8</w:t>
      </w:r>
      <w:r w:rsidRPr="001E2504">
        <w:rPr>
          <w:b/>
          <w:bCs/>
        </w:rPr>
        <w:br/>
        <w:t>Herkent u het beeld dat met name Vietnamese meiden de route via Europa volgen als asielzoeker om vervolgens in landen als Groot-Brittannië slachtoffer te worden van mensenhandelaren? Zo ja, om welke aantallen gaat het?</w:t>
      </w:r>
    </w:p>
    <w:p w:rsidRPr="001E2504" w:rsidR="003C68E5" w:rsidP="003C68E5" w:rsidRDefault="003C68E5" w14:paraId="1363A764" w14:textId="77777777">
      <w:pPr>
        <w:autoSpaceDE w:val="0"/>
        <w:rPr>
          <w:b/>
          <w:bCs/>
        </w:rPr>
      </w:pPr>
      <w:r w:rsidRPr="001E2504">
        <w:rPr>
          <w:b/>
          <w:bCs/>
        </w:rPr>
        <w:t> </w:t>
      </w:r>
      <w:r w:rsidRPr="001E2504">
        <w:rPr>
          <w:b/>
          <w:bCs/>
        </w:rPr>
        <w:br/>
        <w:t>Vraag 9</w:t>
      </w:r>
      <w:r w:rsidRPr="001E2504">
        <w:rPr>
          <w:b/>
          <w:bCs/>
        </w:rPr>
        <w:br/>
        <w:t>Indien het antwoord op vraag 8 ja is: herkent u het beeld dat deze Vietnamese meiden ook via Nederland doorreizen naar Groot-Brittannië? Zo ja, om welke aantallen gaat het?</w:t>
      </w:r>
    </w:p>
    <w:p w:rsidRPr="001E2504" w:rsidR="003C68E5" w:rsidP="003C68E5" w:rsidRDefault="003C68E5" w14:paraId="71196E48" w14:textId="77777777">
      <w:pPr>
        <w:autoSpaceDE w:val="0"/>
        <w:rPr>
          <w:b/>
          <w:bCs/>
        </w:rPr>
      </w:pPr>
      <w:r w:rsidRPr="001E2504">
        <w:rPr>
          <w:b/>
          <w:bCs/>
        </w:rPr>
        <w:t> </w:t>
      </w:r>
      <w:r w:rsidRPr="001E2504">
        <w:rPr>
          <w:b/>
          <w:bCs/>
        </w:rPr>
        <w:br/>
        <w:t>Vraag 10</w:t>
      </w:r>
      <w:r w:rsidRPr="001E2504">
        <w:rPr>
          <w:b/>
          <w:bCs/>
        </w:rPr>
        <w:br/>
      </w:r>
      <w:r w:rsidRPr="001E2504">
        <w:rPr>
          <w:b/>
          <w:bCs/>
        </w:rPr>
        <w:lastRenderedPageBreak/>
        <w:t>Bent u het met de stelling eens dat minderjarige vrouwelijke vluchtelingen extra moeten worden beschermd vanwege een extra groot risico op uitbuiting? Zo nee, waarom niet? Zo ja, welke extra stappen bent u bereid om te zetten om deze meiden te beschermen zodra ze in Nederland zijn?</w:t>
      </w:r>
    </w:p>
    <w:p w:rsidRPr="001E2504" w:rsidR="003C68E5" w:rsidP="003C68E5" w:rsidRDefault="003C68E5" w14:paraId="77A8C0E1" w14:textId="77777777">
      <w:r w:rsidRPr="001E2504">
        <w:rPr>
          <w:b/>
          <w:bCs/>
        </w:rPr>
        <w:t> </w:t>
      </w:r>
      <w:r w:rsidRPr="001E2504">
        <w:rPr>
          <w:b/>
          <w:bCs/>
        </w:rPr>
        <w:br/>
        <w:t>Antwoord op vraag 8, 9 en 10</w:t>
      </w:r>
      <w:r w:rsidRPr="001E2504">
        <w:br/>
        <w:t>Er was het afgelopen jaar en in 2023 een sterke toename te zien in de cijfers van Vietnamezen die met kleine boten irregulier het VK binnenkwamen.</w:t>
      </w:r>
      <w:r w:rsidRPr="001E2504">
        <w:rPr>
          <w:rStyle w:val="Voetnootmarkering"/>
        </w:rPr>
        <w:footnoteReference w:id="7"/>
      </w:r>
      <w:r w:rsidRPr="001E2504">
        <w:t xml:space="preserve"> Daarnaast stond Vietnam in het laatste geregistreerde kwartaal – net als de kwartalen ervoor - met 514 verwijzingen van mogelijke slachtoffers van mensenhandel (modern slavery) op plek 3 van de daarbij meest voorkomende nationaliteiten in het VK. In 19% van de gevallen ging het vermoedelijk ook om minderjarige Vietnamezen.</w:t>
      </w:r>
      <w:r w:rsidRPr="001E2504">
        <w:rPr>
          <w:rStyle w:val="Voetnootmarkering"/>
        </w:rPr>
        <w:footnoteReference w:id="8"/>
      </w:r>
      <w:r w:rsidRPr="001E2504">
        <w:t xml:space="preserve"> Ook in 2023 stonden Vietnamezen in het VK op plek 3 van meest voorkomende nationaliteiten, en toen betrof 30% van de verwijzingen vermoedelijke minderjarigen.</w:t>
      </w:r>
      <w:r w:rsidRPr="001E2504">
        <w:rPr>
          <w:rStyle w:val="Voetnootmarkering"/>
        </w:rPr>
        <w:footnoteReference w:id="9"/>
      </w:r>
      <w:r w:rsidRPr="001E2504">
        <w:t xml:space="preserve"> Het is echter lastig dergelijke cijfers terug te leiden naar de exact afgelegde reisroute en mogelijke transitlanden die hierbij zijn gebruikt.</w:t>
      </w:r>
    </w:p>
    <w:p w:rsidRPr="001E2504" w:rsidR="003C68E5" w:rsidP="003C68E5" w:rsidRDefault="003C68E5" w14:paraId="1FFC7A57" w14:textId="77777777"/>
    <w:p w:rsidRPr="001E2504" w:rsidR="003C68E5" w:rsidP="003C68E5" w:rsidRDefault="003C68E5" w14:paraId="33EE2629" w14:textId="77777777">
      <w:r w:rsidRPr="001E2504">
        <w:t>Uit eerder onderzoek van het Expertisecentrum Mensenhandel en Mensensmokkel (EMM) uit 2022 bleek dat minderjarige Vietnamezen die verdwenen uit de beschermde opvang in Nederland geregeld het VK als reisdoel leken te hebben, waarbij werd vermoed dat dit met betrokkenheid van mensensmokkelnetwerken gebeurde.</w:t>
      </w:r>
      <w:r w:rsidRPr="001E2504">
        <w:rPr>
          <w:vertAlign w:val="superscript"/>
        </w:rPr>
        <w:footnoteReference w:id="10"/>
      </w:r>
      <w:r w:rsidRPr="001E2504">
        <w:t xml:space="preserve"> De meest recente Monitor van de Nationaal Rapporteur Mensenhandel en Seksueel Geweld tegen Kinderen over 2019-2023 benoemt ook dat er nog steeds aandacht nodig is voor de groep van minderjarige Vietnamezen, maar dat het tegelijkertijd lastig is om deze groep te beschermen.</w:t>
      </w:r>
      <w:r w:rsidRPr="001E2504">
        <w:rPr>
          <w:rStyle w:val="Voetnootmarkering"/>
        </w:rPr>
        <w:footnoteReference w:id="11"/>
      </w:r>
      <w:r w:rsidRPr="001E2504">
        <w:t xml:space="preserve"> </w:t>
      </w:r>
    </w:p>
    <w:p w:rsidRPr="001E2504" w:rsidR="003C68E5" w:rsidP="003C68E5" w:rsidRDefault="003C68E5" w14:paraId="523AC278" w14:textId="77777777"/>
    <w:p w:rsidRPr="001E2504" w:rsidR="003C68E5" w:rsidP="003C68E5" w:rsidRDefault="003C68E5" w14:paraId="33434BB0" w14:textId="77777777">
      <w:r w:rsidRPr="001E2504">
        <w:t xml:space="preserve">Omdat minderjarige asielzoekers, en meisjes in het bijzonder, potentieel kwetsbaar zijn voor betrokkenheid bij misstanden is het van belang extra bescherming te bieden en waar nodig aanvullende maatregelen te treffen. Alleenstaande minderjarige vreemdelingen bij wie op voorhand een reëel vermoeden bestaat van slachtofferschap van mensenhandel, eerwraak of kindhuwelijk worden in overleg </w:t>
      </w:r>
      <w:r w:rsidRPr="001E2504">
        <w:lastRenderedPageBreak/>
        <w:t xml:space="preserve">tussen voogdijorganisatie Nidos en het COA in de beschermde opvang geplaatst. Vietnamese alleenstaande minderjarige vreemdelingen worden gelet op voornoemde risico’s dan ook standaard in de beschermde opvang geplaatst. In deze opvang worden op basis van een individuele risico-inschatting extra beschermingsmaatregelen getroffen, zoals extra beveiliging en toezicht. De politie wordt hiervan ook op de hoogte gesteld. Door deze werkwijze wordt de jongere uit het mogelijk onveilige netwerk gehaald en wordt er gewerkt aan weerbaarheid en zelfredzaamheid. </w:t>
      </w:r>
    </w:p>
    <w:p w:rsidRPr="001E2504" w:rsidR="003C68E5" w:rsidP="003C68E5" w:rsidRDefault="003C68E5" w14:paraId="37BB6D77" w14:textId="77777777"/>
    <w:p w:rsidRPr="001E2504" w:rsidR="003C68E5" w:rsidP="003C68E5" w:rsidRDefault="003C68E5" w14:paraId="2C632F7F" w14:textId="77777777">
      <w:r w:rsidRPr="001E2504">
        <w:t>Echter zijn zowel de beschermde opvang als de reguliere (nood-)opvang voor alleenstaande minderjarige vreemdelingen geen gesloten setting. Dat betekent dat alleenstaande minderjarige vreemdelingen zich vrij kunnen bewegen en dus ook, ondanks de inzet die door de medewerkers wordt gepleegd om dit te voorkomen, de opvang kunnen verlaten. In de periode van 2020 tot en met 2023 hebben minder dan vijf Vietnamese minderjarige vreemdelingen de beschermde opvang met onbekende bestemming verlaten. In 2024 hebben minder dan tien Vietnamese minderjarige vreemdelingen de beschermde opvang met onbekende bestemming verlaten.</w:t>
      </w:r>
      <w:r w:rsidRPr="001E2504">
        <w:rPr>
          <w:rStyle w:val="Voetnootmarkering"/>
        </w:rPr>
        <w:footnoteReference w:id="12"/>
      </w:r>
      <w:r w:rsidRPr="001E2504">
        <w:t xml:space="preserve"> De groep behoudt dan ook blijvende aandacht binnen de migratieketen. Bij het vertrek van een alleenstaande minderjarige vreemdeling uit de beschermde opvang wordt altijd melding gedaan bij de politie (proces vermissing personen). Tegelijkertijd hoeft niet elk plotseling vertrek te maken te hebben met mensensmokkel of zelfs mensenhandel. Indien wel sprake is van een signaal van mensensmokkel of mensenhandel wordt dat, conform de aanwijzing mensenhandel van het Openbaar Ministerie, in alle gevallen opgepakt en onderzocht of aanknopingspunten bestaan om een strafrechtelijk onderzoek te starten.</w:t>
      </w:r>
    </w:p>
    <w:p w:rsidRPr="001E2504" w:rsidR="003C68E5" w:rsidP="003C68E5" w:rsidRDefault="003C68E5" w14:paraId="7421D6A0" w14:textId="77777777">
      <w:r w:rsidRPr="001E2504">
        <w:t>In de COA-opvang worden alleenstaande minderjarige vreemdelingen die aangeven te willen vertrekken voortdurend gewezen op risico’s van illegaliteit en mogelijkheden voor terugkeer naar het land van herkomst. Voorts is er in de (nood)opvanglocaties van het COA voor alleenstaande minderjarige vreemdelingen 24 uur per dag begeleiding aanwezig en geldt er een meldplicht op 2 momenten per dag. Verder streeft het COA ernaar om op alle opvanglocaties een contactpersoon mensenhandel/mensensmokkel te hebben. Op basis van de huidige werkwijze wordt op dit moment geen aanleiding gezien om aanvullende maatregelen te treffen.</w:t>
      </w:r>
    </w:p>
    <w:p w:rsidRPr="001E2504" w:rsidR="003C68E5" w:rsidP="003C68E5" w:rsidRDefault="003C68E5" w14:paraId="5133C0DE" w14:textId="77777777"/>
    <w:p w:rsidRPr="00747D72" w:rsidR="003C68E5" w:rsidP="003C68E5" w:rsidRDefault="003C68E5" w14:paraId="497AF185" w14:textId="77777777">
      <w:r w:rsidRPr="001E2504">
        <w:t xml:space="preserve">Het kabinet benadrukt bij het tegengaan van deze problematiek het belang van de aanpak van mensensmokkel- en handel binnen de EU. Zo is bijvoorbeeld van 2021 tot en met 2024 binnen EMPACT-THB een apart programma geweest dat zich richtte </w:t>
      </w:r>
      <w:r w:rsidRPr="001E2504">
        <w:lastRenderedPageBreak/>
        <w:t>op het onderwerp Vietnamese mensenhandel binnen de EU. Nederland was co-leader van dit programma en de deelnemers bestonden onder andere uit 14 EU lidstaten (en ook het VK), Europol, Eurojust, de Europese Commissie, Frontex en Interpol. Hierbij is ook betrokkenheid geweest van de Vietnamese autoriteiten.</w:t>
      </w:r>
    </w:p>
    <w:p w:rsidR="00292CEC" w:rsidRDefault="00292CEC" w14:paraId="0C90523D" w14:textId="77777777"/>
    <w:sectPr w:rsidR="00292CEC" w:rsidSect="003C68E5">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476D1" w14:textId="77777777" w:rsidR="003C68E5" w:rsidRDefault="003C68E5" w:rsidP="003C68E5">
      <w:pPr>
        <w:spacing w:after="0" w:line="240" w:lineRule="auto"/>
      </w:pPr>
      <w:r>
        <w:separator/>
      </w:r>
    </w:p>
  </w:endnote>
  <w:endnote w:type="continuationSeparator" w:id="0">
    <w:p w14:paraId="0D8BF37B" w14:textId="77777777" w:rsidR="003C68E5" w:rsidRDefault="003C68E5" w:rsidP="003C6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3AC06" w14:textId="77777777" w:rsidR="003C68E5" w:rsidRPr="003C68E5" w:rsidRDefault="003C68E5" w:rsidP="003C68E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B9875" w14:textId="77777777" w:rsidR="003C68E5" w:rsidRPr="003C68E5" w:rsidRDefault="003C68E5" w:rsidP="003C68E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B6E30" w14:textId="77777777" w:rsidR="003C68E5" w:rsidRPr="003C68E5" w:rsidRDefault="003C68E5" w:rsidP="003C68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53316" w14:textId="77777777" w:rsidR="003C68E5" w:rsidRDefault="003C68E5" w:rsidP="003C68E5">
      <w:pPr>
        <w:spacing w:after="0" w:line="240" w:lineRule="auto"/>
      </w:pPr>
      <w:r>
        <w:separator/>
      </w:r>
    </w:p>
  </w:footnote>
  <w:footnote w:type="continuationSeparator" w:id="0">
    <w:p w14:paraId="63826CE4" w14:textId="77777777" w:rsidR="003C68E5" w:rsidRDefault="003C68E5" w:rsidP="003C68E5">
      <w:pPr>
        <w:spacing w:after="0" w:line="240" w:lineRule="auto"/>
      </w:pPr>
      <w:r>
        <w:continuationSeparator/>
      </w:r>
    </w:p>
  </w:footnote>
  <w:footnote w:id="1">
    <w:p w14:paraId="06F9AAAB" w14:textId="77777777" w:rsidR="003C68E5" w:rsidRDefault="003C68E5" w:rsidP="003C68E5">
      <w:pPr>
        <w:pStyle w:val="Voetnoottekst"/>
      </w:pPr>
      <w:r>
        <w:rPr>
          <w:rStyle w:val="Voetnootmarkering"/>
        </w:rPr>
        <w:footnoteRef/>
      </w:r>
      <w:r>
        <w:t xml:space="preserve"> </w:t>
      </w:r>
      <w:r w:rsidRPr="005223C4">
        <w:rPr>
          <w:rFonts w:ascii="Verdana" w:hAnsi="Verdana"/>
          <w:sz w:val="16"/>
          <w:szCs w:val="16"/>
        </w:rPr>
        <w:t>De Telegraaf, 19 november 2024, 'Mensensmokkel via zee goudmijn'; OM vraagt de maritieme sector om hulp.</w:t>
      </w:r>
    </w:p>
  </w:footnote>
  <w:footnote w:id="2">
    <w:p w14:paraId="3315227C" w14:textId="77777777" w:rsidR="003C68E5" w:rsidRPr="005223C4" w:rsidRDefault="003C68E5" w:rsidP="003C68E5">
      <w:pPr>
        <w:pStyle w:val="Voetnoottekst"/>
        <w:rPr>
          <w:rFonts w:ascii="Verdana" w:hAnsi="Verdana"/>
          <w:sz w:val="16"/>
          <w:szCs w:val="16"/>
        </w:rPr>
      </w:pPr>
      <w:r w:rsidRPr="005223C4">
        <w:rPr>
          <w:rStyle w:val="Voetnootmarkering"/>
          <w:rFonts w:ascii="Verdana" w:hAnsi="Verdana"/>
          <w:sz w:val="16"/>
          <w:szCs w:val="16"/>
        </w:rPr>
        <w:footnoteRef/>
      </w:r>
      <w:r w:rsidRPr="005223C4">
        <w:rPr>
          <w:rFonts w:ascii="Verdana" w:hAnsi="Verdana"/>
          <w:sz w:val="16"/>
          <w:szCs w:val="16"/>
        </w:rPr>
        <w:t xml:space="preserve"> https://assets.publishing.service.gov.uk/media/673752c7c0b2bbee1a12722a/irregular-migration-to-the-UK-summary-tables-year-ending-sep-2024.ods</w:t>
      </w:r>
    </w:p>
  </w:footnote>
  <w:footnote w:id="3">
    <w:p w14:paraId="4CD8CA02" w14:textId="77777777" w:rsidR="003C68E5" w:rsidRPr="005223C4" w:rsidRDefault="003C68E5" w:rsidP="003C68E5">
      <w:pPr>
        <w:pStyle w:val="Voetnoottekst"/>
        <w:rPr>
          <w:rFonts w:ascii="Verdana" w:hAnsi="Verdana"/>
          <w:sz w:val="16"/>
          <w:szCs w:val="16"/>
        </w:rPr>
      </w:pPr>
      <w:r w:rsidRPr="005223C4">
        <w:rPr>
          <w:rStyle w:val="Voetnootmarkering"/>
          <w:rFonts w:ascii="Verdana" w:hAnsi="Verdana"/>
          <w:sz w:val="16"/>
          <w:szCs w:val="16"/>
        </w:rPr>
        <w:footnoteRef/>
      </w:r>
      <w:r w:rsidRPr="005223C4">
        <w:rPr>
          <w:rFonts w:ascii="Verdana" w:hAnsi="Verdana"/>
          <w:sz w:val="16"/>
          <w:szCs w:val="16"/>
        </w:rPr>
        <w:t xml:space="preserve"> https://www.eurojust.europa.eu/news/supplier-small-boats-human-smugglers-arrested</w:t>
      </w:r>
    </w:p>
  </w:footnote>
  <w:footnote w:id="4">
    <w:p w14:paraId="33CA9C33" w14:textId="77777777" w:rsidR="003C68E5" w:rsidRPr="005223C4" w:rsidRDefault="003C68E5" w:rsidP="003C68E5">
      <w:pPr>
        <w:pStyle w:val="Voetnoottekst"/>
        <w:rPr>
          <w:rFonts w:ascii="Verdana" w:hAnsi="Verdana"/>
          <w:sz w:val="16"/>
          <w:szCs w:val="16"/>
        </w:rPr>
      </w:pPr>
      <w:r w:rsidRPr="005223C4">
        <w:rPr>
          <w:rStyle w:val="Voetnootmarkering"/>
          <w:rFonts w:ascii="Verdana" w:hAnsi="Verdana"/>
          <w:sz w:val="16"/>
          <w:szCs w:val="16"/>
        </w:rPr>
        <w:footnoteRef/>
      </w:r>
      <w:r w:rsidRPr="005223C4">
        <w:rPr>
          <w:rFonts w:ascii="Verdana" w:hAnsi="Verdana"/>
          <w:sz w:val="16"/>
          <w:szCs w:val="16"/>
        </w:rPr>
        <w:t xml:space="preserve"> Kamerstukken II, 2024-2025, 32317, nr. 925.</w:t>
      </w:r>
    </w:p>
  </w:footnote>
  <w:footnote w:id="5">
    <w:p w14:paraId="7ED71276" w14:textId="77777777" w:rsidR="003C68E5" w:rsidRPr="005223C4" w:rsidRDefault="003C68E5" w:rsidP="003C68E5">
      <w:pPr>
        <w:pStyle w:val="Voetnoottekst"/>
        <w:rPr>
          <w:rFonts w:ascii="Verdana" w:hAnsi="Verdana"/>
          <w:sz w:val="16"/>
          <w:szCs w:val="16"/>
        </w:rPr>
      </w:pPr>
      <w:r w:rsidRPr="005223C4">
        <w:rPr>
          <w:rStyle w:val="Voetnootmarkering"/>
          <w:rFonts w:ascii="Verdana" w:hAnsi="Verdana"/>
          <w:sz w:val="16"/>
          <w:szCs w:val="16"/>
        </w:rPr>
        <w:footnoteRef/>
      </w:r>
      <w:r w:rsidRPr="005223C4">
        <w:rPr>
          <w:rFonts w:ascii="Verdana" w:hAnsi="Verdana"/>
          <w:sz w:val="16"/>
          <w:szCs w:val="16"/>
        </w:rPr>
        <w:t xml:space="preserve"> Kamerstukken II, 2023-2024, 28638, nr. 235.</w:t>
      </w:r>
    </w:p>
  </w:footnote>
  <w:footnote w:id="6">
    <w:p w14:paraId="1BEC3314" w14:textId="77777777" w:rsidR="003C68E5" w:rsidRPr="005223C4" w:rsidRDefault="003C68E5" w:rsidP="003C68E5">
      <w:pPr>
        <w:pStyle w:val="Voetnoottekst"/>
        <w:rPr>
          <w:rFonts w:ascii="Verdana" w:hAnsi="Verdana"/>
          <w:sz w:val="16"/>
          <w:szCs w:val="16"/>
        </w:rPr>
      </w:pPr>
      <w:r w:rsidRPr="005223C4">
        <w:rPr>
          <w:rStyle w:val="Voetnootmarkering"/>
          <w:rFonts w:ascii="Verdana" w:hAnsi="Verdana"/>
          <w:sz w:val="16"/>
          <w:szCs w:val="16"/>
        </w:rPr>
        <w:footnoteRef/>
      </w:r>
      <w:r w:rsidRPr="005223C4">
        <w:rPr>
          <w:rFonts w:ascii="Verdana" w:hAnsi="Verdana"/>
          <w:sz w:val="16"/>
          <w:szCs w:val="16"/>
        </w:rPr>
        <w:t xml:space="preserve"> Kamerstukken II, 2023-2024, 28638, nr. 235.</w:t>
      </w:r>
    </w:p>
  </w:footnote>
  <w:footnote w:id="7">
    <w:p w14:paraId="4F7043A2" w14:textId="77777777" w:rsidR="003C68E5" w:rsidRPr="00F122FE" w:rsidRDefault="003C68E5" w:rsidP="003C68E5">
      <w:pPr>
        <w:pStyle w:val="Voetnoottekst"/>
        <w:rPr>
          <w:rFonts w:ascii="Verdana" w:hAnsi="Verdana"/>
          <w:sz w:val="16"/>
          <w:szCs w:val="16"/>
        </w:rPr>
      </w:pPr>
      <w:r w:rsidRPr="00140209">
        <w:rPr>
          <w:rStyle w:val="Voetnootmarkering"/>
          <w:rFonts w:ascii="Verdana" w:hAnsi="Verdana"/>
          <w:sz w:val="16"/>
          <w:szCs w:val="16"/>
        </w:rPr>
        <w:footnoteRef/>
      </w:r>
      <w:r w:rsidRPr="00140209">
        <w:rPr>
          <w:rFonts w:ascii="Verdana" w:hAnsi="Verdana"/>
          <w:sz w:val="16"/>
          <w:szCs w:val="16"/>
        </w:rPr>
        <w:t xml:space="preserve"> </w:t>
      </w:r>
      <w:bookmarkStart w:id="0" w:name="_Hlk187758712"/>
      <w:r w:rsidRPr="00F122FE">
        <w:fldChar w:fldCharType="begin"/>
      </w:r>
      <w:r w:rsidRPr="00F122FE">
        <w:rPr>
          <w:rFonts w:ascii="Verdana" w:hAnsi="Verdana"/>
          <w:sz w:val="16"/>
          <w:szCs w:val="16"/>
        </w:rPr>
        <w:instrText>HYPERLINK "https://assets.publishing.service.gov.uk/media/673752c7c0b2bbee1a12722a/irregular-migration-to-the-UK-summary-tables-year-ending-sep-2024.ods"</w:instrText>
      </w:r>
      <w:r w:rsidRPr="00F122FE">
        <w:fldChar w:fldCharType="separate"/>
      </w:r>
      <w:r w:rsidRPr="00F122FE">
        <w:rPr>
          <w:rStyle w:val="Hyperlink"/>
          <w:rFonts w:ascii="Verdana" w:hAnsi="Verdana"/>
          <w:color w:val="auto"/>
          <w:sz w:val="16"/>
          <w:szCs w:val="16"/>
        </w:rPr>
        <w:t>https://assets.publishing.service.gov.uk/media/673752c7c0b2bbee1a12722a/irregular-migration-to-the-UK-summary-tables-year-ending-sep-2024.ods</w:t>
      </w:r>
      <w:r w:rsidRPr="00F122FE">
        <w:rPr>
          <w:rStyle w:val="Hyperlink"/>
          <w:rFonts w:ascii="Verdana" w:hAnsi="Verdana"/>
          <w:color w:val="auto"/>
          <w:sz w:val="16"/>
          <w:szCs w:val="16"/>
        </w:rPr>
        <w:fldChar w:fldCharType="end"/>
      </w:r>
      <w:bookmarkEnd w:id="0"/>
    </w:p>
  </w:footnote>
  <w:footnote w:id="8">
    <w:p w14:paraId="20DF6EA0" w14:textId="77777777" w:rsidR="003C68E5" w:rsidRPr="00140209" w:rsidRDefault="003C68E5" w:rsidP="003C68E5">
      <w:pPr>
        <w:pStyle w:val="Voetnoottekst"/>
        <w:rPr>
          <w:rFonts w:ascii="Verdana" w:hAnsi="Verdana"/>
          <w:sz w:val="16"/>
          <w:szCs w:val="16"/>
        </w:rPr>
      </w:pPr>
      <w:r w:rsidRPr="00F122FE">
        <w:rPr>
          <w:rStyle w:val="Voetnootmarkering"/>
          <w:rFonts w:ascii="Verdana" w:hAnsi="Verdana"/>
          <w:sz w:val="16"/>
          <w:szCs w:val="16"/>
        </w:rPr>
        <w:footnoteRef/>
      </w:r>
      <w:r w:rsidRPr="00F122FE">
        <w:rPr>
          <w:rFonts w:ascii="Verdana" w:hAnsi="Verdana"/>
          <w:sz w:val="16"/>
          <w:szCs w:val="16"/>
        </w:rPr>
        <w:t xml:space="preserve"> </w:t>
      </w:r>
      <w:hyperlink r:id="rId1" w:history="1">
        <w:r w:rsidRPr="00F122FE">
          <w:rPr>
            <w:rStyle w:val="Hyperlink"/>
            <w:rFonts w:ascii="Verdana" w:hAnsi="Verdana"/>
            <w:color w:val="auto"/>
            <w:sz w:val="16"/>
            <w:szCs w:val="16"/>
          </w:rPr>
          <w:t>https://www.gov.uk/government/statistics/modern-slavery-nrm-and-dtn-statistics-july-to-september-2024/modern-slavery-national-referral-mechanism-and-duty-to-notify-statistics-uk-quarter-3-2024-july-to-september</w:t>
        </w:r>
      </w:hyperlink>
    </w:p>
  </w:footnote>
  <w:footnote w:id="9">
    <w:p w14:paraId="36A3C29F" w14:textId="77777777" w:rsidR="003C68E5" w:rsidRPr="00B0121F" w:rsidRDefault="003C68E5" w:rsidP="003C68E5">
      <w:pPr>
        <w:pStyle w:val="Voetnoottekst"/>
        <w:rPr>
          <w:rFonts w:ascii="Verdana" w:hAnsi="Verdana"/>
          <w:sz w:val="16"/>
          <w:szCs w:val="16"/>
        </w:rPr>
      </w:pPr>
      <w:r w:rsidRPr="00140209">
        <w:rPr>
          <w:rStyle w:val="Voetnootmarkering"/>
          <w:rFonts w:ascii="Verdana" w:hAnsi="Verdana"/>
          <w:sz w:val="16"/>
          <w:szCs w:val="16"/>
        </w:rPr>
        <w:footnoteRef/>
      </w:r>
      <w:r w:rsidRPr="00140209">
        <w:rPr>
          <w:rFonts w:ascii="Verdana" w:hAnsi="Verdana"/>
          <w:sz w:val="16"/>
          <w:szCs w:val="16"/>
        </w:rPr>
        <w:t xml:space="preserve"> </w:t>
      </w:r>
      <w:hyperlink r:id="rId2" w:history="1">
        <w:r w:rsidRPr="00B0121F">
          <w:rPr>
            <w:rStyle w:val="Hyperlink"/>
            <w:rFonts w:ascii="Verdana" w:hAnsi="Verdana"/>
            <w:color w:val="auto"/>
            <w:sz w:val="16"/>
            <w:szCs w:val="16"/>
          </w:rPr>
          <w:t>https://www.gov.uk/government/statistics/modern-slavery-nrm-and-dtn-statistics-end-of-year-summary-2023/modern-slavery-national-referral-mechanism-and-duty-to-notify-statistics-uk-end-of-year-summary-2023</w:t>
        </w:r>
      </w:hyperlink>
    </w:p>
  </w:footnote>
  <w:footnote w:id="10">
    <w:p w14:paraId="436E2714" w14:textId="77777777" w:rsidR="003C68E5" w:rsidRPr="00AF06B9" w:rsidRDefault="003C68E5" w:rsidP="003C68E5">
      <w:pPr>
        <w:pStyle w:val="Voetnoottekst"/>
        <w:rPr>
          <w:rFonts w:ascii="Verdana" w:hAnsi="Verdana"/>
          <w:sz w:val="16"/>
          <w:szCs w:val="16"/>
        </w:rPr>
      </w:pPr>
      <w:r w:rsidRPr="00B0121F">
        <w:rPr>
          <w:rStyle w:val="Voetnootmarkering"/>
          <w:rFonts w:ascii="Verdana" w:hAnsi="Verdana"/>
          <w:sz w:val="16"/>
          <w:szCs w:val="16"/>
        </w:rPr>
        <w:footnoteRef/>
      </w:r>
      <w:r w:rsidRPr="00B0121F">
        <w:rPr>
          <w:rFonts w:ascii="Verdana" w:hAnsi="Verdana"/>
          <w:sz w:val="16"/>
          <w:szCs w:val="16"/>
        </w:rPr>
        <w:t xml:space="preserve"> </w:t>
      </w:r>
      <w:hyperlink r:id="rId3" w:history="1">
        <w:r w:rsidRPr="00B0121F">
          <w:rPr>
            <w:rStyle w:val="Hyperlink"/>
            <w:rFonts w:ascii="Verdana" w:hAnsi="Verdana"/>
            <w:color w:val="auto"/>
            <w:sz w:val="16"/>
            <w:szCs w:val="16"/>
          </w:rPr>
          <w:t>https://www.emm-online.nl/publicaties/publicaties/2022/08/17/tib-emm-organisatie-overstijgend-beeld-van-vietnamezen-in-nederland-in-relatie-tot-mensenhandel-en-mensensmokkel</w:t>
        </w:r>
      </w:hyperlink>
      <w:r w:rsidRPr="00B0121F">
        <w:rPr>
          <w:rFonts w:ascii="Verdana" w:hAnsi="Verdana"/>
          <w:sz w:val="16"/>
          <w:szCs w:val="16"/>
        </w:rPr>
        <w:t>.</w:t>
      </w:r>
    </w:p>
  </w:footnote>
  <w:footnote w:id="11">
    <w:p w14:paraId="73DDF185" w14:textId="77777777" w:rsidR="003C68E5" w:rsidRPr="00AF06B9" w:rsidRDefault="003C68E5" w:rsidP="003C68E5">
      <w:pPr>
        <w:pStyle w:val="Voetnoottekst"/>
        <w:rPr>
          <w:rFonts w:ascii="Verdana" w:hAnsi="Verdana"/>
          <w:sz w:val="16"/>
          <w:szCs w:val="16"/>
        </w:rPr>
      </w:pPr>
      <w:r w:rsidRPr="00AF06B9">
        <w:rPr>
          <w:rStyle w:val="Voetnootmarkering"/>
          <w:rFonts w:ascii="Verdana" w:hAnsi="Verdana"/>
          <w:sz w:val="16"/>
          <w:szCs w:val="16"/>
        </w:rPr>
        <w:footnoteRef/>
      </w:r>
      <w:r w:rsidRPr="00AF06B9">
        <w:rPr>
          <w:rFonts w:ascii="Verdana" w:hAnsi="Verdana"/>
          <w:sz w:val="16"/>
          <w:szCs w:val="16"/>
        </w:rPr>
        <w:t xml:space="preserve"> https://www.nationaalrapporteur.nl/publicaties/rapporten/2024/12/10/monitor-mensenhandel-2019-2023</w:t>
      </w:r>
    </w:p>
  </w:footnote>
  <w:footnote w:id="12">
    <w:p w14:paraId="2487718E" w14:textId="77777777" w:rsidR="003C68E5" w:rsidRDefault="003C68E5" w:rsidP="003C68E5">
      <w:pPr>
        <w:pStyle w:val="Voetnoottekst"/>
      </w:pPr>
      <w:r w:rsidRPr="00D1376E">
        <w:rPr>
          <w:rStyle w:val="Voetnootmarkering"/>
          <w:rFonts w:ascii="Verdana" w:hAnsi="Verdana"/>
          <w:sz w:val="16"/>
          <w:szCs w:val="16"/>
        </w:rPr>
        <w:footnoteRef/>
      </w:r>
      <w:r w:rsidRPr="00D1376E">
        <w:rPr>
          <w:rFonts w:ascii="Verdana" w:hAnsi="Verdana"/>
          <w:sz w:val="16"/>
          <w:szCs w:val="16"/>
        </w:rPr>
        <w:t xml:space="preserve"> Aantallen tussen nul en vijf worden wegens eventuele herleidbaarheid tot een persoon weergegeven als ‘minder dan vijf’.</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7DE69" w14:textId="77777777" w:rsidR="003C68E5" w:rsidRPr="003C68E5" w:rsidRDefault="003C68E5" w:rsidP="003C68E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B6CF1" w14:textId="77777777" w:rsidR="003C68E5" w:rsidRPr="003C68E5" w:rsidRDefault="003C68E5" w:rsidP="003C68E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97350" w14:textId="77777777" w:rsidR="003C68E5" w:rsidRPr="003C68E5" w:rsidRDefault="003C68E5" w:rsidP="003C68E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8E5"/>
    <w:rsid w:val="00275A67"/>
    <w:rsid w:val="00292CEC"/>
    <w:rsid w:val="003C68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D7AF5"/>
  <w15:chartTrackingRefBased/>
  <w15:docId w15:val="{51EF2B97-136B-498D-8477-D3AB30F27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C68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C68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C68E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C68E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C68E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C68E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C68E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C68E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C68E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C68E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C68E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C68E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C68E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C68E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C68E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C68E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C68E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C68E5"/>
    <w:rPr>
      <w:rFonts w:eastAsiaTheme="majorEastAsia" w:cstheme="majorBidi"/>
      <w:color w:val="272727" w:themeColor="text1" w:themeTint="D8"/>
    </w:rPr>
  </w:style>
  <w:style w:type="paragraph" w:styleId="Titel">
    <w:name w:val="Title"/>
    <w:basedOn w:val="Standaard"/>
    <w:next w:val="Standaard"/>
    <w:link w:val="TitelChar"/>
    <w:uiPriority w:val="10"/>
    <w:qFormat/>
    <w:rsid w:val="003C68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C68E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C68E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C68E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C68E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C68E5"/>
    <w:rPr>
      <w:i/>
      <w:iCs/>
      <w:color w:val="404040" w:themeColor="text1" w:themeTint="BF"/>
    </w:rPr>
  </w:style>
  <w:style w:type="paragraph" w:styleId="Lijstalinea">
    <w:name w:val="List Paragraph"/>
    <w:basedOn w:val="Standaard"/>
    <w:uiPriority w:val="34"/>
    <w:qFormat/>
    <w:rsid w:val="003C68E5"/>
    <w:pPr>
      <w:ind w:left="720"/>
      <w:contextualSpacing/>
    </w:pPr>
  </w:style>
  <w:style w:type="character" w:styleId="Intensievebenadrukking">
    <w:name w:val="Intense Emphasis"/>
    <w:basedOn w:val="Standaardalinea-lettertype"/>
    <w:uiPriority w:val="21"/>
    <w:qFormat/>
    <w:rsid w:val="003C68E5"/>
    <w:rPr>
      <w:i/>
      <w:iCs/>
      <w:color w:val="2F5496" w:themeColor="accent1" w:themeShade="BF"/>
    </w:rPr>
  </w:style>
  <w:style w:type="paragraph" w:styleId="Duidelijkcitaat">
    <w:name w:val="Intense Quote"/>
    <w:basedOn w:val="Standaard"/>
    <w:next w:val="Standaard"/>
    <w:link w:val="DuidelijkcitaatChar"/>
    <w:uiPriority w:val="30"/>
    <w:qFormat/>
    <w:rsid w:val="003C68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C68E5"/>
    <w:rPr>
      <w:i/>
      <w:iCs/>
      <w:color w:val="2F5496" w:themeColor="accent1" w:themeShade="BF"/>
    </w:rPr>
  </w:style>
  <w:style w:type="character" w:styleId="Intensieveverwijzing">
    <w:name w:val="Intense Reference"/>
    <w:basedOn w:val="Standaardalinea-lettertype"/>
    <w:uiPriority w:val="32"/>
    <w:qFormat/>
    <w:rsid w:val="003C68E5"/>
    <w:rPr>
      <w:b/>
      <w:bCs/>
      <w:smallCaps/>
      <w:color w:val="2F5496" w:themeColor="accent1" w:themeShade="BF"/>
      <w:spacing w:val="5"/>
    </w:rPr>
  </w:style>
  <w:style w:type="character" w:styleId="Hyperlink">
    <w:name w:val="Hyperlink"/>
    <w:basedOn w:val="Standaardalinea-lettertype"/>
    <w:uiPriority w:val="99"/>
    <w:unhideWhenUsed/>
    <w:rsid w:val="003C68E5"/>
    <w:rPr>
      <w:color w:val="0563C1" w:themeColor="hyperlink"/>
      <w:u w:val="single"/>
    </w:rPr>
  </w:style>
  <w:style w:type="paragraph" w:customStyle="1" w:styleId="Referentiegegevens">
    <w:name w:val="Referentiegegevens"/>
    <w:basedOn w:val="Standaard"/>
    <w:next w:val="Standaard"/>
    <w:rsid w:val="003C68E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3C68E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3C68E5"/>
    <w:pPr>
      <w:spacing w:line="140" w:lineRule="exact"/>
    </w:pPr>
  </w:style>
  <w:style w:type="character" w:customStyle="1" w:styleId="VoettekstChar">
    <w:name w:val="Voettekst Char"/>
    <w:basedOn w:val="Standaardalinea-lettertype"/>
    <w:link w:val="Voettekst"/>
    <w:rsid w:val="003C68E5"/>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3C68E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3C68E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3C68E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C68E5"/>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3C68E5"/>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3C68E5"/>
    <w:rPr>
      <w:kern w:val="0"/>
      <w:sz w:val="20"/>
      <w:szCs w:val="20"/>
      <w14:ligatures w14:val="none"/>
    </w:rPr>
  </w:style>
  <w:style w:type="character" w:styleId="Voetnootmarkering">
    <w:name w:val="footnote reference"/>
    <w:basedOn w:val="Standaardalinea-lettertype"/>
    <w:uiPriority w:val="99"/>
    <w:semiHidden/>
    <w:unhideWhenUsed/>
    <w:rsid w:val="003C68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mm-online.nl/publicaties/publicaties/2022/08/17/tib-emm-organisatie-overstijgend-beeld-van-vietnamezen-in-nederland-in-relatie-tot-mensenhandel-en-mensensmokkel" TargetMode="External"/><Relationship Id="rId2" Type="http://schemas.openxmlformats.org/officeDocument/2006/relationships/hyperlink" Target="https://www.gov.uk/government/statistics/modern-slavery-nrm-and-dtn-statistics-end-of-year-summary-2023/modern-slavery-national-referral-mechanism-and-duty-to-notify-statistics-uk-end-of-year-summary-2023" TargetMode="External"/><Relationship Id="rId1" Type="http://schemas.openxmlformats.org/officeDocument/2006/relationships/hyperlink" Target="https://www.gov.uk/government/statistics/modern-slavery-nrm-and-dtn-statistics-july-to-september-2024/modern-slavery-national-referral-mechanism-and-duty-to-notify-statistics-uk-quarter-3-2024-july-to-septemb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2301</ap:Words>
  <ap:Characters>12656</ap:Characters>
  <ap:DocSecurity>0</ap:DocSecurity>
  <ap:Lines>105</ap:Lines>
  <ap:Paragraphs>29</ap:Paragraphs>
  <ap:ScaleCrop>false</ap:ScaleCrop>
  <ap:LinksUpToDate>false</ap:LinksUpToDate>
  <ap:CharactersWithSpaces>14928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2025-03-03T13:42:00.0000000Z</dcterms:created>
  <dcterms:modified xsi:type="dcterms:W3CDTF">2025-03-03T13:44:00.0000000Z</dcterms:modified>
  <version/>
  <category/>
</coreProperties>
</file>