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35D8" w:rsidR="003A4480" w:rsidP="00255E1E" w:rsidRDefault="003A4480" w14:paraId="1F2C1CEC" w14:textId="374DA09A">
      <w:pPr>
        <w:pStyle w:val="whitespace-pre-wrap"/>
        <w:spacing w:before="0" w:beforeAutospacing="0" w:after="0" w:afterAutospacing="0" w:line="288" w:lineRule="auto"/>
        <w:jc w:val="both"/>
        <w:rPr>
          <w:rFonts w:ascii="Arial" w:hAnsi="Arial" w:cs="Arial"/>
          <w:b/>
          <w:bCs/>
          <w:sz w:val="20"/>
          <w:szCs w:val="20"/>
        </w:rPr>
      </w:pPr>
      <w:r w:rsidRPr="00F235D8">
        <w:rPr>
          <w:rFonts w:ascii="Arial" w:hAnsi="Arial" w:cs="Arial"/>
          <w:b/>
          <w:bCs/>
          <w:sz w:val="20"/>
          <w:szCs w:val="20"/>
        </w:rPr>
        <w:t xml:space="preserve">The Geopolitics of EU Trade: EU-Africa and EU-MENA </w:t>
      </w:r>
    </w:p>
    <w:p w:rsidR="005C4A65" w:rsidP="005C4A65" w:rsidRDefault="005C4A65" w14:paraId="420DCF15" w14:textId="5286C06C">
      <w:pPr>
        <w:pStyle w:val="whitespace-pre-wrap"/>
        <w:spacing w:before="0" w:beforeAutospacing="0" w:after="0" w:afterAutospacing="0"/>
        <w:jc w:val="both"/>
        <w:rPr>
          <w:rFonts w:ascii="Arial" w:hAnsi="Arial" w:cs="Arial"/>
          <w:sz w:val="20"/>
          <w:szCs w:val="20"/>
          <w:lang w:val="en-US"/>
        </w:rPr>
      </w:pPr>
      <w:r w:rsidRPr="005C4A65">
        <w:rPr>
          <w:rFonts w:ascii="Arial" w:hAnsi="Arial" w:cs="Arial"/>
          <w:sz w:val="20"/>
          <w:szCs w:val="20"/>
          <w:lang w:val="en-US"/>
        </w:rPr>
        <w:t xml:space="preserve">Binyam Afewerk Demena and Libby </w:t>
      </w:r>
      <w:r w:rsidRPr="005C4A65">
        <w:rPr>
          <w:rFonts w:ascii="Arial" w:hAnsi="Arial" w:cs="Arial"/>
          <w:sz w:val="20"/>
          <w:szCs w:val="20"/>
          <w:lang w:val="en-US"/>
        </w:rPr>
        <w:t>L</w:t>
      </w:r>
      <w:r>
        <w:rPr>
          <w:rFonts w:ascii="Arial" w:hAnsi="Arial" w:cs="Arial"/>
          <w:sz w:val="20"/>
          <w:szCs w:val="20"/>
          <w:lang w:val="en-US"/>
        </w:rPr>
        <w:t>ahar</w:t>
      </w:r>
    </w:p>
    <w:p w:rsidRPr="005C4A65" w:rsidR="005C4A65" w:rsidP="005C4A65" w:rsidRDefault="005C4A65" w14:paraId="4F80E167" w14:textId="77777777">
      <w:pPr>
        <w:pStyle w:val="whitespace-pre-wrap"/>
        <w:spacing w:before="0" w:beforeAutospacing="0" w:after="0" w:afterAutospacing="0"/>
        <w:jc w:val="both"/>
        <w:rPr>
          <w:rFonts w:ascii="Arial" w:hAnsi="Arial" w:cs="Arial"/>
          <w:sz w:val="20"/>
          <w:szCs w:val="20"/>
          <w:lang w:val="en-US"/>
        </w:rPr>
      </w:pPr>
    </w:p>
    <w:p w:rsidR="0018016B" w:rsidP="00634F72" w:rsidRDefault="00255E1E" w14:paraId="493AC27F" w14:textId="4749E800">
      <w:pPr>
        <w:pStyle w:val="whitespace-pre-wrap"/>
        <w:spacing w:before="0" w:beforeAutospacing="0" w:after="0" w:afterAutospacing="0"/>
        <w:jc w:val="both"/>
        <w:rPr>
          <w:rFonts w:ascii="Arial" w:hAnsi="Arial" w:cs="Arial"/>
          <w:sz w:val="20"/>
          <w:szCs w:val="20"/>
        </w:rPr>
      </w:pPr>
      <w:r w:rsidRPr="00F235D8">
        <w:rPr>
          <w:rFonts w:ascii="Arial" w:hAnsi="Arial" w:cs="Arial"/>
          <w:sz w:val="20"/>
          <w:szCs w:val="20"/>
        </w:rPr>
        <w:t>The Africa and MENA regions are both highly strategic trade partners for the European Union (EU). The latest 2021 trade policy revision of the EU, which sets the EU’s trade strategy for the coming years, emphasizes strengthening the role of trade in supporting digital and climate transitions. This is achieved by reinforcing global alliances, with a strong focus on Africa and neighbouring regions, including the Southern Neighbourhood, which comprises MENA countries (EC, 2021a)</w:t>
      </w:r>
      <w:r w:rsidR="005C4A65">
        <w:rPr>
          <w:rFonts w:ascii="Arial" w:hAnsi="Arial" w:cs="Arial"/>
          <w:sz w:val="20"/>
          <w:szCs w:val="20"/>
        </w:rPr>
        <w:t>.</w:t>
      </w:r>
      <w:r w:rsidRPr="00F235D8">
        <w:rPr>
          <w:rStyle w:val="FootnoteReference"/>
          <w:rFonts w:ascii="Arial" w:hAnsi="Arial" w:cs="Arial"/>
          <w:sz w:val="20"/>
          <w:szCs w:val="20"/>
        </w:rPr>
        <w:footnoteReference w:id="1"/>
      </w:r>
      <w:r w:rsidRPr="00F235D8">
        <w:rPr>
          <w:rFonts w:ascii="Arial" w:hAnsi="Arial" w:cs="Arial"/>
          <w:sz w:val="20"/>
          <w:szCs w:val="20"/>
        </w:rPr>
        <w:t xml:space="preserve"> In support</w:t>
      </w:r>
      <w:r w:rsidRPr="00F235D8" w:rsidR="00135389">
        <w:rPr>
          <w:rFonts w:ascii="Arial" w:hAnsi="Arial" w:cs="Arial"/>
          <w:sz w:val="20"/>
          <w:szCs w:val="20"/>
        </w:rPr>
        <w:t xml:space="preserve"> of</w:t>
      </w:r>
      <w:r w:rsidRPr="00F235D8">
        <w:rPr>
          <w:rFonts w:ascii="Arial" w:hAnsi="Arial" w:cs="Arial"/>
          <w:sz w:val="20"/>
          <w:szCs w:val="20"/>
        </w:rPr>
        <w:t xml:space="preserve"> recognising the importance of enhancing trade relations with these regions, the Commission </w:t>
      </w:r>
      <w:r w:rsidRPr="00F235D8" w:rsidR="00135389">
        <w:rPr>
          <w:rFonts w:ascii="Arial" w:hAnsi="Arial" w:cs="Arial"/>
          <w:sz w:val="20"/>
          <w:szCs w:val="20"/>
        </w:rPr>
        <w:t xml:space="preserve">also </w:t>
      </w:r>
      <w:r w:rsidRPr="00F235D8">
        <w:rPr>
          <w:rFonts w:ascii="Arial" w:hAnsi="Arial" w:cs="Arial"/>
          <w:sz w:val="20"/>
          <w:szCs w:val="20"/>
        </w:rPr>
        <w:t xml:space="preserve">launched a new sustainable investment initiative for Africa and Southern Neighbourhood, open to state and regional-level partners (EC, </w:t>
      </w:r>
      <w:r w:rsidRPr="00F235D8">
        <w:rPr>
          <w:rFonts w:ascii="Arial" w:hAnsi="Arial" w:cs="Arial"/>
          <w:color w:val="000000" w:themeColor="text1"/>
          <w:sz w:val="20"/>
          <w:szCs w:val="20"/>
        </w:rPr>
        <w:t>2021b).</w:t>
      </w:r>
      <w:r w:rsidR="0018016B">
        <w:rPr>
          <w:rFonts w:ascii="Arial" w:hAnsi="Arial" w:cs="Arial"/>
          <w:sz w:val="20"/>
          <w:szCs w:val="20"/>
        </w:rPr>
        <w:t xml:space="preserve"> </w:t>
      </w:r>
      <w:r w:rsidRPr="0018016B" w:rsidR="0018016B">
        <w:rPr>
          <w:rFonts w:ascii="Arial" w:hAnsi="Arial" w:cs="Arial"/>
          <w:sz w:val="20"/>
          <w:szCs w:val="20"/>
        </w:rPr>
        <w:t>Trade drives economic growth and plays a vital role in curbing migration flows, a significant challenge over the past decade at both the Member State level and across the EU as a whole.</w:t>
      </w:r>
    </w:p>
    <w:p w:rsidRPr="00F235D8" w:rsidR="00A0315B" w:rsidP="00BE648E" w:rsidRDefault="00A0315B" w14:paraId="74A368A0" w14:textId="77777777">
      <w:pPr>
        <w:pStyle w:val="whitespace-pre-wrap"/>
        <w:spacing w:before="0" w:beforeAutospacing="0" w:after="0" w:afterAutospacing="0"/>
        <w:ind w:firstLine="431"/>
        <w:jc w:val="both"/>
        <w:rPr>
          <w:rFonts w:ascii="Arial" w:hAnsi="Arial" w:cs="Arial"/>
        </w:rPr>
      </w:pPr>
    </w:p>
    <w:tbl>
      <w:tblPr>
        <w:tblStyle w:val="TableGrid"/>
        <w:tblW w:w="9923" w:type="dxa"/>
        <w:tblInd w:w="-431" w:type="dxa"/>
        <w:tblLook w:val="04A0" w:firstRow="1" w:lastRow="0" w:firstColumn="1" w:lastColumn="0" w:noHBand="0" w:noVBand="1"/>
      </w:tblPr>
      <w:tblGrid>
        <w:gridCol w:w="2694"/>
        <w:gridCol w:w="4253"/>
        <w:gridCol w:w="2976"/>
      </w:tblGrid>
      <w:tr w:rsidRPr="00F235D8" w:rsidR="00487C2C" w:rsidTr="00487C2C" w14:paraId="75BE4C01" w14:textId="77777777">
        <w:tc>
          <w:tcPr>
            <w:tcW w:w="2694" w:type="dxa"/>
          </w:tcPr>
          <w:p w:rsidRPr="00F235D8" w:rsidR="00A0315B" w:rsidP="00A0315B" w:rsidRDefault="00A0315B" w14:paraId="7198C246" w14:textId="7960EFC3">
            <w:pPr>
              <w:pStyle w:val="whitespace-pre-wrap"/>
              <w:spacing w:before="0" w:beforeAutospacing="0" w:after="0" w:afterAutospacing="0"/>
              <w:jc w:val="center"/>
              <w:rPr>
                <w:rFonts w:ascii="Arial" w:hAnsi="Arial" w:cs="Arial"/>
                <w:sz w:val="22"/>
                <w:szCs w:val="22"/>
              </w:rPr>
            </w:pPr>
            <w:r w:rsidRPr="00F235D8">
              <w:rPr>
                <w:rFonts w:ascii="Arial" w:hAnsi="Arial" w:cs="Arial"/>
                <w:sz w:val="22"/>
                <w:szCs w:val="22"/>
              </w:rPr>
              <w:t>EU's interests</w:t>
            </w:r>
          </w:p>
          <w:p w:rsidRPr="00F235D8" w:rsidR="00A0315B" w:rsidP="00BE648E" w:rsidRDefault="00A0315B" w14:paraId="57EF387D" w14:textId="1527B428">
            <w:pPr>
              <w:pStyle w:val="whitespace-pre-wrap"/>
              <w:spacing w:before="0" w:beforeAutospacing="0" w:after="0" w:afterAutospacing="0"/>
              <w:jc w:val="both"/>
              <w:rPr>
                <w:rFonts w:ascii="Arial" w:hAnsi="Arial" w:cs="Arial"/>
                <w:sz w:val="22"/>
                <w:szCs w:val="22"/>
              </w:rPr>
            </w:pPr>
          </w:p>
        </w:tc>
        <w:tc>
          <w:tcPr>
            <w:tcW w:w="4253" w:type="dxa"/>
          </w:tcPr>
          <w:p w:rsidRPr="00F235D8" w:rsidR="00A0315B" w:rsidP="00A0315B" w:rsidRDefault="000F0297" w14:paraId="0F56E6A9" w14:textId="353B96A3">
            <w:pPr>
              <w:pStyle w:val="whitespace-pre-wrap"/>
              <w:spacing w:before="0" w:beforeAutospacing="0" w:after="0" w:afterAutospacing="0"/>
              <w:jc w:val="center"/>
              <w:rPr>
                <w:rFonts w:ascii="Arial" w:hAnsi="Arial" w:cs="Arial"/>
                <w:sz w:val="22"/>
                <w:szCs w:val="22"/>
              </w:rPr>
            </w:pPr>
            <w:r w:rsidRPr="00F235D8">
              <w:rPr>
                <w:rFonts w:ascii="Arial" w:hAnsi="Arial" w:cs="Arial"/>
                <w:sz w:val="22"/>
                <w:szCs w:val="22"/>
              </w:rPr>
              <w:t>T</w:t>
            </w:r>
            <w:r w:rsidRPr="00F235D8" w:rsidR="00A0315B">
              <w:rPr>
                <w:rFonts w:ascii="Arial" w:hAnsi="Arial" w:cs="Arial"/>
                <w:sz w:val="22"/>
                <w:szCs w:val="22"/>
              </w:rPr>
              <w:t>rade-offs</w:t>
            </w:r>
          </w:p>
        </w:tc>
        <w:tc>
          <w:tcPr>
            <w:tcW w:w="2976" w:type="dxa"/>
          </w:tcPr>
          <w:p w:rsidRPr="00F235D8" w:rsidR="00A0315B" w:rsidP="00A0315B" w:rsidRDefault="00A0315B" w14:paraId="13DB8D4E" w14:textId="0254E4BE">
            <w:pPr>
              <w:pStyle w:val="whitespace-pre-wrap"/>
              <w:spacing w:before="0" w:beforeAutospacing="0" w:after="0" w:afterAutospacing="0"/>
              <w:jc w:val="center"/>
              <w:rPr>
                <w:rFonts w:ascii="Arial" w:hAnsi="Arial" w:cs="Arial"/>
                <w:sz w:val="22"/>
                <w:szCs w:val="22"/>
              </w:rPr>
            </w:pPr>
            <w:r w:rsidRPr="00F235D8">
              <w:rPr>
                <w:rFonts w:ascii="Arial" w:hAnsi="Arial" w:cs="Arial"/>
                <w:sz w:val="22"/>
                <w:szCs w:val="22"/>
              </w:rPr>
              <w:t>African/MENA countries' interests</w:t>
            </w:r>
          </w:p>
        </w:tc>
      </w:tr>
      <w:tr w:rsidRPr="00F235D8" w:rsidR="00487C2C" w:rsidTr="00487C2C" w14:paraId="4A814BAB" w14:textId="77777777">
        <w:trPr>
          <w:trHeight w:val="3289"/>
        </w:trPr>
        <w:tc>
          <w:tcPr>
            <w:tcW w:w="2694" w:type="dxa"/>
          </w:tcPr>
          <w:p w:rsidRPr="00F235D8" w:rsidR="00A0315B" w:rsidP="00541E48" w:rsidRDefault="00A0315B" w14:paraId="720A7C60"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Market access for goods and services</w:t>
            </w:r>
          </w:p>
          <w:p w:rsidRPr="00F235D8" w:rsidR="00A0315B" w:rsidP="00541E48" w:rsidRDefault="00A0315B" w14:paraId="1752524F"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Protection of intellectual property rights</w:t>
            </w:r>
          </w:p>
          <w:p w:rsidRPr="00F235D8" w:rsidR="00A0315B" w:rsidP="00541E48" w:rsidRDefault="00A0315B" w14:paraId="4C2C55AC"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Investment security for European companies</w:t>
            </w:r>
          </w:p>
          <w:p w:rsidRPr="00F235D8" w:rsidR="00A0315B" w:rsidP="00541E48" w:rsidRDefault="00A0315B" w14:paraId="5BDF916E"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Access to raw materials and energy resources</w:t>
            </w:r>
          </w:p>
          <w:p w:rsidRPr="00F235D8" w:rsidR="00A0315B" w:rsidP="00541E48" w:rsidRDefault="00A0315B" w14:paraId="2ADB2305"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Regulatory alignment with EU standards</w:t>
            </w:r>
          </w:p>
          <w:p w:rsidRPr="00F235D8" w:rsidR="00A0315B" w:rsidP="00541E48" w:rsidRDefault="00A0315B" w14:paraId="33DB4C89"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Migration management cooperation</w:t>
            </w:r>
          </w:p>
          <w:p w:rsidRPr="00F235D8" w:rsidR="00A0315B" w:rsidP="00541E48" w:rsidRDefault="00A0315B" w14:paraId="2076B77A" w14:textId="77777777">
            <w:pPr>
              <w:pStyle w:val="whitespace-pre-wrap"/>
              <w:spacing w:before="0" w:beforeAutospacing="0" w:after="0" w:afterAutospacing="0"/>
              <w:ind w:left="174" w:hanging="142"/>
              <w:jc w:val="both"/>
              <w:rPr>
                <w:rFonts w:ascii="Arial" w:hAnsi="Arial" w:cs="Arial"/>
                <w:sz w:val="20"/>
                <w:szCs w:val="20"/>
              </w:rPr>
            </w:pPr>
          </w:p>
        </w:tc>
        <w:tc>
          <w:tcPr>
            <w:tcW w:w="4253" w:type="dxa"/>
          </w:tcPr>
          <w:p w:rsidRPr="00F235D8" w:rsidR="00A0315B" w:rsidP="00541E48" w:rsidRDefault="00A0315B" w14:paraId="06CA2530" w14:textId="0C9CA866">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 xml:space="preserve">Development vs. </w:t>
            </w:r>
            <w:r w:rsidRPr="00F235D8" w:rsidR="00487C2C">
              <w:rPr>
                <w:rFonts w:ascii="Arial" w:hAnsi="Arial" w:cs="Arial"/>
                <w:sz w:val="20"/>
                <w:szCs w:val="20"/>
              </w:rPr>
              <w:t>l</w:t>
            </w:r>
            <w:r w:rsidRPr="00F235D8">
              <w:rPr>
                <w:rFonts w:ascii="Arial" w:hAnsi="Arial" w:cs="Arial"/>
                <w:sz w:val="20"/>
                <w:szCs w:val="20"/>
              </w:rPr>
              <w:t>iberalization: African and MENA countries often must balance protecting developing industries against pressure for rapid market opening. The EU's push for comprehensive liberalization can conflict with local development strategies.</w:t>
            </w:r>
          </w:p>
          <w:p w:rsidRPr="00F235D8" w:rsidR="00A0315B" w:rsidP="00541E48" w:rsidRDefault="00A0315B" w14:paraId="1401517F" w14:textId="77777777">
            <w:pPr>
              <w:pStyle w:val="whitespace-normal"/>
              <w:spacing w:before="0" w:beforeAutospacing="0" w:after="0" w:afterAutospacing="0"/>
              <w:ind w:left="174"/>
              <w:rPr>
                <w:rFonts w:ascii="Arial" w:hAnsi="Arial" w:cs="Arial"/>
                <w:sz w:val="20"/>
                <w:szCs w:val="20"/>
              </w:rPr>
            </w:pPr>
          </w:p>
          <w:p w:rsidRPr="00F235D8" w:rsidR="00A0315B" w:rsidP="00541E48" w:rsidRDefault="00A0315B" w14:paraId="05699991" w14:textId="1B5A61DE">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 xml:space="preserve">Standards vs. </w:t>
            </w:r>
            <w:r w:rsidRPr="00F235D8" w:rsidR="00487C2C">
              <w:rPr>
                <w:rFonts w:ascii="Arial" w:hAnsi="Arial" w:cs="Arial"/>
                <w:sz w:val="20"/>
                <w:szCs w:val="20"/>
              </w:rPr>
              <w:t>a</w:t>
            </w:r>
            <w:r w:rsidRPr="00F235D8">
              <w:rPr>
                <w:rFonts w:ascii="Arial" w:hAnsi="Arial" w:cs="Arial"/>
                <w:sz w:val="20"/>
                <w:szCs w:val="20"/>
              </w:rPr>
              <w:t xml:space="preserve">ccess: </w:t>
            </w:r>
            <w:r w:rsidRPr="00F235D8" w:rsidR="00BC1C23">
              <w:rPr>
                <w:rFonts w:ascii="Arial" w:hAnsi="Arial" w:cs="Arial"/>
                <w:sz w:val="20"/>
                <w:szCs w:val="20"/>
              </w:rPr>
              <w:t>m</w:t>
            </w:r>
            <w:r w:rsidRPr="00F235D8">
              <w:rPr>
                <w:rFonts w:ascii="Arial" w:hAnsi="Arial" w:cs="Arial"/>
                <w:sz w:val="20"/>
                <w:szCs w:val="20"/>
              </w:rPr>
              <w:t>eeting EU regulatory standards can be costly for developing countries, yet failing to meet them limits market access. This creates a particular challenge for agricultural exports.</w:t>
            </w:r>
          </w:p>
        </w:tc>
        <w:tc>
          <w:tcPr>
            <w:tcW w:w="2976" w:type="dxa"/>
          </w:tcPr>
          <w:p w:rsidRPr="00F235D8" w:rsidR="00A0315B" w:rsidP="00541E48" w:rsidRDefault="00A0315B" w14:paraId="3DE564CC"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Agricultural market access to EU markets</w:t>
            </w:r>
          </w:p>
          <w:p w:rsidRPr="00F235D8" w:rsidR="00A0315B" w:rsidP="00541E48" w:rsidRDefault="00A0315B" w14:paraId="2458C2DF"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Development assistance and capacity building</w:t>
            </w:r>
          </w:p>
          <w:p w:rsidRPr="00F235D8" w:rsidR="00A0315B" w:rsidP="00541E48" w:rsidRDefault="00A0315B" w14:paraId="7C38B9E7"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Technology transfer</w:t>
            </w:r>
          </w:p>
          <w:p w:rsidRPr="00F235D8" w:rsidR="00A0315B" w:rsidP="00541E48" w:rsidRDefault="00A0315B" w14:paraId="2740CB68"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Protection of infant industries</w:t>
            </w:r>
          </w:p>
          <w:p w:rsidRPr="00F235D8" w:rsidR="00A0315B" w:rsidP="00541E48" w:rsidRDefault="00A0315B" w14:paraId="7BC80B40"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Labor mobility and visa facilitation</w:t>
            </w:r>
          </w:p>
          <w:p w:rsidRPr="00F235D8" w:rsidR="00A0315B" w:rsidP="00541E48" w:rsidRDefault="00A0315B" w14:paraId="4464987A"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Investment in local manufacturing</w:t>
            </w:r>
          </w:p>
          <w:p w:rsidRPr="00F235D8" w:rsidR="00A0315B" w:rsidP="00541E48" w:rsidRDefault="00A0315B" w14:paraId="623A4E52" w14:textId="77777777">
            <w:pPr>
              <w:pStyle w:val="whitespace-normal"/>
              <w:numPr>
                <w:ilvl w:val="0"/>
                <w:numId w:val="6"/>
              </w:numPr>
              <w:spacing w:before="0" w:beforeAutospacing="0" w:after="0" w:afterAutospacing="0"/>
              <w:ind w:left="174" w:hanging="142"/>
              <w:rPr>
                <w:rFonts w:ascii="Arial" w:hAnsi="Arial" w:cs="Arial"/>
                <w:sz w:val="20"/>
                <w:szCs w:val="20"/>
              </w:rPr>
            </w:pPr>
            <w:r w:rsidRPr="00F235D8">
              <w:rPr>
                <w:rFonts w:ascii="Arial" w:hAnsi="Arial" w:cs="Arial"/>
                <w:sz w:val="20"/>
                <w:szCs w:val="20"/>
              </w:rPr>
              <w:t>Preservation of policy space for development</w:t>
            </w:r>
          </w:p>
          <w:p w:rsidRPr="00F235D8" w:rsidR="00A0315B" w:rsidP="00BE648E" w:rsidRDefault="00A0315B" w14:paraId="3F3505C6" w14:textId="77777777">
            <w:pPr>
              <w:pStyle w:val="whitespace-pre-wrap"/>
              <w:spacing w:before="0" w:beforeAutospacing="0" w:after="0" w:afterAutospacing="0"/>
              <w:jc w:val="both"/>
              <w:rPr>
                <w:rFonts w:ascii="Arial" w:hAnsi="Arial" w:cs="Arial"/>
                <w:sz w:val="20"/>
                <w:szCs w:val="20"/>
              </w:rPr>
            </w:pPr>
          </w:p>
        </w:tc>
      </w:tr>
    </w:tbl>
    <w:p w:rsidRPr="00F235D8" w:rsidR="00A0315B" w:rsidP="00BE648E" w:rsidRDefault="00A0315B" w14:paraId="45AD3732" w14:textId="77777777">
      <w:pPr>
        <w:pStyle w:val="whitespace-pre-wrap"/>
        <w:spacing w:before="0" w:beforeAutospacing="0" w:after="0" w:afterAutospacing="0"/>
        <w:ind w:firstLine="431"/>
        <w:jc w:val="both"/>
        <w:rPr>
          <w:rFonts w:ascii="Arial" w:hAnsi="Arial" w:cs="Arial"/>
          <w:sz w:val="6"/>
          <w:szCs w:val="6"/>
        </w:rPr>
      </w:pPr>
    </w:p>
    <w:p w:rsidRPr="00F235D8" w:rsidR="00E2671E" w:rsidP="00E2671E" w:rsidRDefault="00E2671E" w14:paraId="35B46CA0" w14:textId="77777777">
      <w:pPr>
        <w:pStyle w:val="whitespace-normal"/>
        <w:spacing w:before="0" w:beforeAutospacing="0" w:after="0" w:afterAutospacing="0"/>
        <w:ind w:left="720"/>
        <w:rPr>
          <w:rFonts w:ascii="Arial" w:hAnsi="Arial" w:cs="Arial"/>
          <w:sz w:val="6"/>
          <w:szCs w:val="6"/>
        </w:rPr>
      </w:pPr>
    </w:p>
    <w:p w:rsidRPr="00F235D8" w:rsidR="005D0970" w:rsidP="001C70C0" w:rsidRDefault="00281863" w14:paraId="068EF7F1" w14:textId="0AC93C9B">
      <w:pPr>
        <w:pStyle w:val="whitespace-pre-wrap"/>
        <w:spacing w:before="0" w:beforeAutospacing="0" w:after="0" w:afterAutospacing="0"/>
        <w:ind w:firstLine="431"/>
        <w:jc w:val="both"/>
        <w:rPr>
          <w:rFonts w:ascii="Arial" w:hAnsi="Arial" w:cs="Arial"/>
          <w:color w:val="FF0000"/>
          <w:sz w:val="20"/>
          <w:szCs w:val="20"/>
        </w:rPr>
      </w:pPr>
      <w:r w:rsidRPr="00F235D8">
        <w:rPr>
          <w:rFonts w:ascii="Arial" w:hAnsi="Arial" w:cs="Arial"/>
          <w:color w:val="000000" w:themeColor="text1"/>
          <w:sz w:val="20"/>
          <w:szCs w:val="20"/>
        </w:rPr>
        <w:t>The</w:t>
      </w:r>
      <w:r w:rsidRPr="00F235D8" w:rsidR="006B3F34">
        <w:rPr>
          <w:rFonts w:ascii="Arial" w:hAnsi="Arial" w:cs="Arial"/>
          <w:color w:val="000000" w:themeColor="text1"/>
          <w:sz w:val="20"/>
          <w:szCs w:val="20"/>
        </w:rPr>
        <w:t xml:space="preserve"> disparity</w:t>
      </w:r>
      <w:r w:rsidRPr="00F235D8" w:rsidR="0001203E">
        <w:rPr>
          <w:rFonts w:ascii="Arial" w:hAnsi="Arial" w:cs="Arial"/>
          <w:color w:val="000000" w:themeColor="text1"/>
          <w:sz w:val="20"/>
          <w:szCs w:val="20"/>
        </w:rPr>
        <w:t xml:space="preserve"> </w:t>
      </w:r>
      <w:r w:rsidRPr="00F235D8">
        <w:rPr>
          <w:rFonts w:ascii="Arial" w:hAnsi="Arial" w:cs="Arial"/>
          <w:color w:val="000000" w:themeColor="text1"/>
          <w:sz w:val="20"/>
          <w:szCs w:val="20"/>
        </w:rPr>
        <w:t>of power between the EU and Africa and MENA</w:t>
      </w:r>
      <w:r w:rsidRPr="00F235D8" w:rsidR="006B3F34">
        <w:rPr>
          <w:rFonts w:ascii="Arial" w:hAnsi="Arial" w:cs="Arial"/>
          <w:color w:val="000000" w:themeColor="text1"/>
          <w:sz w:val="20"/>
          <w:szCs w:val="20"/>
        </w:rPr>
        <w:t xml:space="preserve"> is manifested in the type of trade agreement framework offered by the EU</w:t>
      </w:r>
      <w:r w:rsidRPr="00F235D8" w:rsidR="00474391">
        <w:rPr>
          <w:rFonts w:ascii="Arial" w:hAnsi="Arial" w:cs="Arial"/>
          <w:color w:val="000000" w:themeColor="text1"/>
          <w:sz w:val="20"/>
          <w:szCs w:val="20"/>
        </w:rPr>
        <w:t xml:space="preserve"> to each partner</w:t>
      </w:r>
      <w:r w:rsidRPr="00F235D8" w:rsidR="00CF66CA">
        <w:rPr>
          <w:rFonts w:ascii="Arial" w:hAnsi="Arial" w:cs="Arial"/>
          <w:color w:val="000000" w:themeColor="text1"/>
          <w:sz w:val="20"/>
          <w:szCs w:val="20"/>
        </w:rPr>
        <w:t xml:space="preserve">. </w:t>
      </w:r>
      <w:r w:rsidRPr="00F235D8" w:rsidR="000E7F91">
        <w:rPr>
          <w:rFonts w:ascii="Arial" w:hAnsi="Arial" w:cs="Arial"/>
          <w:color w:val="000000" w:themeColor="text1"/>
          <w:sz w:val="20"/>
          <w:szCs w:val="20"/>
        </w:rPr>
        <w:t xml:space="preserve">With the exclusion of Syria and </w:t>
      </w:r>
      <w:r w:rsidRPr="00F235D8" w:rsidR="00E60D20">
        <w:rPr>
          <w:rFonts w:ascii="Arial" w:hAnsi="Arial" w:cs="Arial"/>
          <w:color w:val="000000" w:themeColor="text1"/>
          <w:sz w:val="20"/>
          <w:szCs w:val="20"/>
        </w:rPr>
        <w:t>Libya</w:t>
      </w:r>
      <w:r w:rsidRPr="00F235D8" w:rsidR="000E7F91">
        <w:rPr>
          <w:rFonts w:ascii="Arial" w:hAnsi="Arial" w:cs="Arial"/>
          <w:color w:val="000000" w:themeColor="text1"/>
          <w:sz w:val="20"/>
          <w:szCs w:val="20"/>
        </w:rPr>
        <w:t xml:space="preserve">, </w:t>
      </w:r>
      <w:r w:rsidRPr="00F235D8" w:rsidR="00CF66CA">
        <w:rPr>
          <w:rFonts w:ascii="Arial" w:hAnsi="Arial" w:cs="Arial"/>
          <w:color w:val="000000" w:themeColor="text1"/>
          <w:sz w:val="20"/>
          <w:szCs w:val="20"/>
        </w:rPr>
        <w:t xml:space="preserve">The EU-MENA trade agreements </w:t>
      </w:r>
      <w:r w:rsidRPr="00F235D8" w:rsidR="00CF66CA">
        <w:rPr>
          <w:rFonts w:ascii="Arial" w:hAnsi="Arial" w:cs="Arial"/>
          <w:sz w:val="20"/>
          <w:szCs w:val="20"/>
        </w:rPr>
        <w:t xml:space="preserve">are </w:t>
      </w:r>
      <w:r w:rsidRPr="00F235D8" w:rsidR="000E7F91">
        <w:rPr>
          <w:rFonts w:ascii="Arial" w:hAnsi="Arial" w:cs="Arial"/>
          <w:sz w:val="20"/>
          <w:szCs w:val="20"/>
        </w:rPr>
        <w:t xml:space="preserve">between the EU and </w:t>
      </w:r>
      <w:r w:rsidRPr="00F235D8" w:rsidR="000E7F91">
        <w:rPr>
          <w:rFonts w:ascii="Arial" w:hAnsi="Arial" w:cs="Arial"/>
          <w:color w:val="000000" w:themeColor="text1"/>
          <w:sz w:val="20"/>
          <w:szCs w:val="20"/>
        </w:rPr>
        <w:t xml:space="preserve">Algeria, Egypt, Israel, Jordan, Lebanon, Morocco, Palestine, and Tunisia. </w:t>
      </w:r>
      <w:r w:rsidRPr="00F235D8" w:rsidR="003A2208">
        <w:rPr>
          <w:rFonts w:ascii="Arial" w:hAnsi="Arial" w:cs="Arial"/>
          <w:color w:val="000000" w:themeColor="text1"/>
          <w:sz w:val="20"/>
          <w:szCs w:val="20"/>
        </w:rPr>
        <w:t>The</w:t>
      </w:r>
      <w:r w:rsidRPr="00F235D8" w:rsidR="0068768C">
        <w:rPr>
          <w:rFonts w:ascii="Arial" w:hAnsi="Arial" w:cs="Arial"/>
          <w:color w:val="000000" w:themeColor="text1"/>
          <w:sz w:val="20"/>
          <w:szCs w:val="20"/>
        </w:rPr>
        <w:t>se agreements</w:t>
      </w:r>
      <w:r w:rsidRPr="00F235D8" w:rsidR="003A2208">
        <w:rPr>
          <w:rFonts w:ascii="Arial" w:hAnsi="Arial" w:cs="Arial"/>
          <w:color w:val="000000" w:themeColor="text1"/>
          <w:sz w:val="20"/>
          <w:szCs w:val="20"/>
        </w:rPr>
        <w:t xml:space="preserve"> are part of the </w:t>
      </w:r>
      <w:r w:rsidRPr="00F235D8" w:rsidR="00E0474F">
        <w:rPr>
          <w:rFonts w:ascii="Arial" w:hAnsi="Arial" w:cs="Arial"/>
          <w:color w:val="000000" w:themeColor="text1"/>
          <w:sz w:val="20"/>
          <w:szCs w:val="20"/>
        </w:rPr>
        <w:t xml:space="preserve">Euro-Mediterranean political, economic and social Association Agreements with </w:t>
      </w:r>
      <w:r w:rsidRPr="00F235D8" w:rsidR="00F430F8">
        <w:rPr>
          <w:rFonts w:ascii="Arial" w:hAnsi="Arial" w:cs="Arial"/>
          <w:color w:val="000000" w:themeColor="text1"/>
          <w:sz w:val="20"/>
          <w:szCs w:val="20"/>
        </w:rPr>
        <w:t>the Southern neighbour</w:t>
      </w:r>
      <w:r w:rsidRPr="00F235D8" w:rsidR="00C129B8">
        <w:rPr>
          <w:rFonts w:ascii="Arial" w:hAnsi="Arial" w:cs="Arial"/>
          <w:color w:val="000000" w:themeColor="text1"/>
          <w:sz w:val="20"/>
          <w:szCs w:val="20"/>
        </w:rPr>
        <w:t>ing countries</w:t>
      </w:r>
      <w:r w:rsidRPr="00F235D8" w:rsidR="00E0474F">
        <w:rPr>
          <w:rFonts w:ascii="Arial" w:hAnsi="Arial" w:cs="Arial"/>
          <w:color w:val="000000" w:themeColor="text1"/>
          <w:sz w:val="20"/>
          <w:szCs w:val="20"/>
        </w:rPr>
        <w:t>.</w:t>
      </w:r>
      <w:r w:rsidRPr="00F235D8" w:rsidR="00F6376A">
        <w:rPr>
          <w:rFonts w:ascii="Arial" w:hAnsi="Arial" w:cs="Arial"/>
          <w:color w:val="000000" w:themeColor="text1"/>
          <w:sz w:val="20"/>
          <w:szCs w:val="20"/>
        </w:rPr>
        <w:t xml:space="preserve"> </w:t>
      </w:r>
      <w:r w:rsidRPr="00F235D8" w:rsidR="00F66ABF">
        <w:rPr>
          <w:rFonts w:ascii="Arial" w:hAnsi="Arial" w:cs="Arial"/>
          <w:color w:val="000000" w:themeColor="text1"/>
          <w:sz w:val="20"/>
          <w:szCs w:val="20"/>
        </w:rPr>
        <w:t>This political framework</w:t>
      </w:r>
      <w:r w:rsidRPr="00F235D8" w:rsidR="00294498">
        <w:rPr>
          <w:rFonts w:ascii="Arial" w:hAnsi="Arial" w:cs="Arial"/>
          <w:color w:val="000000" w:themeColor="text1"/>
          <w:sz w:val="20"/>
          <w:szCs w:val="20"/>
        </w:rPr>
        <w:t xml:space="preserve"> has resulted in differing levels of market liberali</w:t>
      </w:r>
      <w:r w:rsidRPr="00F235D8" w:rsidR="00556959">
        <w:rPr>
          <w:rFonts w:ascii="Arial" w:hAnsi="Arial" w:cs="Arial"/>
          <w:color w:val="000000" w:themeColor="text1"/>
          <w:sz w:val="20"/>
          <w:szCs w:val="20"/>
        </w:rPr>
        <w:t>s</w:t>
      </w:r>
      <w:r w:rsidRPr="00F235D8" w:rsidR="00294498">
        <w:rPr>
          <w:rFonts w:ascii="Arial" w:hAnsi="Arial" w:cs="Arial"/>
          <w:color w:val="000000" w:themeColor="text1"/>
          <w:sz w:val="20"/>
          <w:szCs w:val="20"/>
        </w:rPr>
        <w:t>ation commitments.</w:t>
      </w:r>
      <w:r w:rsidRPr="00F235D8" w:rsidR="005D0970">
        <w:rPr>
          <w:rFonts w:ascii="Arial" w:hAnsi="Arial" w:cs="Arial"/>
          <w:color w:val="000000" w:themeColor="text1"/>
          <w:sz w:val="20"/>
          <w:szCs w:val="20"/>
        </w:rPr>
        <w:t xml:space="preserve"> </w:t>
      </w:r>
      <w:r w:rsidRPr="00F235D8" w:rsidR="004B63CA">
        <w:rPr>
          <w:rFonts w:ascii="Arial" w:hAnsi="Arial" w:cs="Arial"/>
          <w:color w:val="000000" w:themeColor="text1"/>
          <w:sz w:val="20"/>
          <w:szCs w:val="20"/>
        </w:rPr>
        <w:t>Due to their strategic location and geopolitical importance</w:t>
      </w:r>
      <w:r w:rsidRPr="00F235D8" w:rsidR="00F6376A">
        <w:rPr>
          <w:rFonts w:ascii="Arial" w:hAnsi="Arial" w:cs="Arial"/>
          <w:color w:val="000000" w:themeColor="text1"/>
          <w:sz w:val="20"/>
          <w:szCs w:val="20"/>
        </w:rPr>
        <w:t>,</w:t>
      </w:r>
      <w:r w:rsidRPr="00F235D8" w:rsidR="004B63CA">
        <w:rPr>
          <w:rFonts w:ascii="Arial" w:hAnsi="Arial" w:cs="Arial"/>
          <w:color w:val="000000" w:themeColor="text1"/>
          <w:sz w:val="20"/>
          <w:szCs w:val="20"/>
        </w:rPr>
        <w:t xml:space="preserve"> </w:t>
      </w:r>
      <w:r w:rsidRPr="00F235D8" w:rsidR="00294498">
        <w:rPr>
          <w:rFonts w:ascii="Arial" w:hAnsi="Arial" w:cs="Arial"/>
          <w:color w:val="000000" w:themeColor="text1"/>
          <w:sz w:val="20"/>
          <w:szCs w:val="20"/>
        </w:rPr>
        <w:t>MENA countries have undertaken more extensive liberali</w:t>
      </w:r>
      <w:r w:rsidRPr="00F235D8" w:rsidR="004B63CA">
        <w:rPr>
          <w:rFonts w:ascii="Arial" w:hAnsi="Arial" w:cs="Arial"/>
          <w:color w:val="000000" w:themeColor="text1"/>
          <w:sz w:val="20"/>
          <w:szCs w:val="20"/>
        </w:rPr>
        <w:t>s</w:t>
      </w:r>
      <w:r w:rsidRPr="00F235D8" w:rsidR="00294498">
        <w:rPr>
          <w:rFonts w:ascii="Arial" w:hAnsi="Arial" w:cs="Arial"/>
          <w:color w:val="000000" w:themeColor="text1"/>
          <w:sz w:val="20"/>
          <w:szCs w:val="20"/>
        </w:rPr>
        <w:t xml:space="preserve">ation commitments </w:t>
      </w:r>
      <w:r w:rsidRPr="00F235D8" w:rsidR="004B63CA">
        <w:rPr>
          <w:rFonts w:ascii="Arial" w:hAnsi="Arial" w:cs="Arial"/>
          <w:color w:val="000000" w:themeColor="text1"/>
          <w:sz w:val="20"/>
          <w:szCs w:val="20"/>
        </w:rPr>
        <w:t>than</w:t>
      </w:r>
      <w:r w:rsidRPr="00F235D8" w:rsidR="00294498">
        <w:rPr>
          <w:rFonts w:ascii="Arial" w:hAnsi="Arial" w:cs="Arial"/>
          <w:color w:val="000000" w:themeColor="text1"/>
          <w:sz w:val="20"/>
          <w:szCs w:val="20"/>
        </w:rPr>
        <w:t xml:space="preserve"> their sub-Saharan African counterparts. </w:t>
      </w:r>
      <w:r w:rsidRPr="00F235D8" w:rsidR="005D0970">
        <w:rPr>
          <w:rFonts w:ascii="Arial" w:hAnsi="Arial" w:cs="Arial"/>
          <w:color w:val="000000" w:themeColor="text1"/>
          <w:sz w:val="20"/>
          <w:szCs w:val="20"/>
        </w:rPr>
        <w:t xml:space="preserve">Indeed, this divergence is primarily </w:t>
      </w:r>
      <w:r w:rsidRPr="00F235D8" w:rsidR="00C9723E">
        <w:rPr>
          <w:rFonts w:ascii="Arial" w:hAnsi="Arial" w:cs="Arial"/>
          <w:color w:val="000000" w:themeColor="text1"/>
          <w:sz w:val="20"/>
          <w:szCs w:val="20"/>
        </w:rPr>
        <w:t>driven</w:t>
      </w:r>
      <w:r w:rsidRPr="00F235D8" w:rsidR="005D0970">
        <w:rPr>
          <w:rFonts w:ascii="Arial" w:hAnsi="Arial" w:cs="Arial"/>
          <w:color w:val="000000" w:themeColor="text1"/>
          <w:sz w:val="20"/>
          <w:szCs w:val="20"/>
        </w:rPr>
        <w:t xml:space="preserve"> by geographic proximity</w:t>
      </w:r>
      <w:r w:rsidRPr="00F235D8" w:rsidR="00C9723E">
        <w:rPr>
          <w:rFonts w:ascii="Arial" w:hAnsi="Arial" w:cs="Arial"/>
          <w:color w:val="000000" w:themeColor="text1"/>
          <w:sz w:val="20"/>
          <w:szCs w:val="20"/>
        </w:rPr>
        <w:t xml:space="preserve">. Nonetheless, the EU’s positioning as a global power </w:t>
      </w:r>
      <w:r w:rsidRPr="0053564E" w:rsidR="00C9723E">
        <w:rPr>
          <w:rFonts w:ascii="Arial" w:hAnsi="Arial" w:cs="Arial"/>
          <w:color w:val="000000" w:themeColor="text1"/>
          <w:sz w:val="20"/>
          <w:szCs w:val="20"/>
        </w:rPr>
        <w:t xml:space="preserve">through economic </w:t>
      </w:r>
      <w:r w:rsidRPr="0053564E" w:rsidR="0053564E">
        <w:rPr>
          <w:rFonts w:ascii="Arial" w:hAnsi="Arial" w:cs="Arial"/>
          <w:color w:val="000000" w:themeColor="text1"/>
          <w:sz w:val="20"/>
          <w:szCs w:val="20"/>
        </w:rPr>
        <w:t>inter</w:t>
      </w:r>
      <w:r w:rsidRPr="0053564E" w:rsidR="00C9723E">
        <w:rPr>
          <w:rFonts w:ascii="Arial" w:hAnsi="Arial" w:cs="Arial"/>
          <w:color w:val="000000" w:themeColor="text1"/>
          <w:sz w:val="20"/>
          <w:szCs w:val="20"/>
        </w:rPr>
        <w:t>dependencies should not be overlooked.</w:t>
      </w:r>
      <w:r w:rsidRPr="00F235D8" w:rsidR="00C9723E">
        <w:rPr>
          <w:rFonts w:ascii="Arial" w:hAnsi="Arial" w:cs="Arial"/>
          <w:color w:val="000000" w:themeColor="text1"/>
          <w:sz w:val="20"/>
          <w:szCs w:val="20"/>
        </w:rPr>
        <w:t xml:space="preserve"> </w:t>
      </w:r>
      <w:r w:rsidRPr="00F235D8" w:rsidR="005D0970">
        <w:rPr>
          <w:rFonts w:ascii="Arial" w:hAnsi="Arial" w:cs="Arial"/>
          <w:color w:val="000000" w:themeColor="text1"/>
          <w:sz w:val="20"/>
          <w:szCs w:val="20"/>
        </w:rPr>
        <w:t xml:space="preserve"> </w:t>
      </w:r>
    </w:p>
    <w:p w:rsidRPr="00F235D8" w:rsidR="00F13400" w:rsidP="00294498" w:rsidRDefault="00313336" w14:paraId="314CC14F" w14:textId="797999F9">
      <w:pPr>
        <w:pStyle w:val="whitespace-pre-wrap"/>
        <w:spacing w:before="0" w:beforeAutospacing="0" w:after="0" w:afterAutospacing="0"/>
        <w:ind w:firstLine="431"/>
        <w:jc w:val="both"/>
        <w:rPr>
          <w:rFonts w:ascii="Arial" w:hAnsi="Arial" w:cs="Arial"/>
          <w:color w:val="FF0000"/>
          <w:sz w:val="20"/>
          <w:szCs w:val="20"/>
        </w:rPr>
      </w:pPr>
      <w:r w:rsidRPr="00F235D8">
        <w:rPr>
          <w:rFonts w:ascii="Arial" w:hAnsi="Arial" w:cs="Arial"/>
          <w:color w:val="000000" w:themeColor="text1"/>
          <w:sz w:val="20"/>
          <w:szCs w:val="20"/>
        </w:rPr>
        <w:t>Indeed, t</w:t>
      </w:r>
      <w:r w:rsidRPr="00F235D8" w:rsidR="00214729">
        <w:rPr>
          <w:rFonts w:ascii="Arial" w:hAnsi="Arial" w:cs="Arial"/>
          <w:color w:val="000000" w:themeColor="text1"/>
          <w:sz w:val="20"/>
          <w:szCs w:val="20"/>
        </w:rPr>
        <w:t>he EU’s political and economic interests lie in ensuring stability and prosperity in Africa and the neighbouring countries (EC, 2021b)</w:t>
      </w:r>
      <w:r w:rsidR="005C4A65">
        <w:rPr>
          <w:rFonts w:ascii="Arial" w:hAnsi="Arial" w:cs="Arial"/>
          <w:color w:val="000000" w:themeColor="text1"/>
          <w:sz w:val="20"/>
          <w:szCs w:val="20"/>
        </w:rPr>
        <w:t>.</w:t>
      </w:r>
      <w:r w:rsidRPr="00F235D8" w:rsidR="00214729">
        <w:rPr>
          <w:rStyle w:val="FootnoteReference"/>
          <w:rFonts w:ascii="Arial" w:hAnsi="Arial" w:cs="Arial"/>
          <w:color w:val="000000" w:themeColor="text1"/>
          <w:sz w:val="20"/>
          <w:szCs w:val="20"/>
        </w:rPr>
        <w:footnoteReference w:id="2"/>
      </w:r>
      <w:r w:rsidRPr="00F235D8" w:rsidR="00214729">
        <w:rPr>
          <w:rFonts w:ascii="Arial" w:hAnsi="Arial" w:cs="Arial"/>
          <w:color w:val="000000" w:themeColor="text1"/>
          <w:sz w:val="20"/>
          <w:szCs w:val="20"/>
        </w:rPr>
        <w:t xml:space="preserve"> </w:t>
      </w:r>
      <w:r w:rsidRPr="00F235D8" w:rsidR="00CA2832">
        <w:rPr>
          <w:rFonts w:ascii="Arial" w:hAnsi="Arial" w:cs="Arial"/>
          <w:color w:val="000000" w:themeColor="text1"/>
          <w:sz w:val="20"/>
          <w:szCs w:val="20"/>
        </w:rPr>
        <w:t>The EU is Africa’s leading partner in trade and investment, as well as security, energy, the green transition, and digital transformation</w:t>
      </w:r>
      <w:r w:rsidRPr="00F235D8" w:rsidR="00FC07D6">
        <w:rPr>
          <w:rFonts w:ascii="Arial" w:hAnsi="Arial" w:cs="Arial"/>
          <w:color w:val="000000" w:themeColor="text1"/>
          <w:sz w:val="20"/>
          <w:szCs w:val="20"/>
        </w:rPr>
        <w:t xml:space="preserve"> (EEAS, 2024)</w:t>
      </w:r>
      <w:r w:rsidRPr="00F235D8" w:rsidR="00CA2832">
        <w:rPr>
          <w:rFonts w:ascii="Arial" w:hAnsi="Arial" w:cs="Arial"/>
          <w:color w:val="000000" w:themeColor="text1"/>
          <w:sz w:val="20"/>
          <w:szCs w:val="20"/>
        </w:rPr>
        <w:t>.</w:t>
      </w:r>
      <w:r w:rsidRPr="00F235D8" w:rsidR="00FC07D6">
        <w:rPr>
          <w:rStyle w:val="FootnoteReference"/>
          <w:rFonts w:ascii="Arial" w:hAnsi="Arial" w:cs="Arial"/>
          <w:color w:val="000000" w:themeColor="text1"/>
          <w:sz w:val="20"/>
          <w:szCs w:val="20"/>
        </w:rPr>
        <w:footnoteReference w:id="3"/>
      </w:r>
      <w:r w:rsidRPr="00F235D8" w:rsidR="00CA2832">
        <w:rPr>
          <w:rFonts w:ascii="Arial" w:hAnsi="Arial" w:cs="Arial"/>
          <w:color w:val="000000" w:themeColor="text1"/>
          <w:sz w:val="20"/>
          <w:szCs w:val="20"/>
        </w:rPr>
        <w:t xml:space="preserve"> </w:t>
      </w:r>
      <w:r w:rsidRPr="00F235D8" w:rsidR="002B3089">
        <w:rPr>
          <w:rFonts w:ascii="Arial" w:hAnsi="Arial" w:cs="Arial"/>
          <w:color w:val="000000" w:themeColor="text1"/>
          <w:sz w:val="20"/>
          <w:szCs w:val="20"/>
        </w:rPr>
        <w:t xml:space="preserve">In 2023, </w:t>
      </w:r>
      <w:r w:rsidRPr="00F235D8" w:rsidR="00F355CB">
        <w:rPr>
          <w:rFonts w:ascii="Arial" w:hAnsi="Arial" w:cs="Arial"/>
          <w:color w:val="000000" w:themeColor="text1"/>
          <w:sz w:val="20"/>
          <w:szCs w:val="20"/>
        </w:rPr>
        <w:t>SADC</w:t>
      </w:r>
      <w:r w:rsidRPr="00F235D8" w:rsidR="00976FA1">
        <w:rPr>
          <w:rFonts w:ascii="Arial" w:hAnsi="Arial" w:cs="Arial"/>
          <w:color w:val="000000" w:themeColor="text1"/>
          <w:sz w:val="20"/>
          <w:szCs w:val="20"/>
        </w:rPr>
        <w:t>,</w:t>
      </w:r>
      <w:r w:rsidRPr="00F235D8" w:rsidR="00F355CB">
        <w:rPr>
          <w:rFonts w:ascii="Arial" w:hAnsi="Arial" w:cs="Arial"/>
          <w:color w:val="000000" w:themeColor="text1"/>
          <w:sz w:val="20"/>
          <w:szCs w:val="20"/>
        </w:rPr>
        <w:t xml:space="preserve"> for instance as a </w:t>
      </w:r>
      <w:r w:rsidRPr="00F235D8" w:rsidR="002B3089">
        <w:rPr>
          <w:rFonts w:ascii="Arial" w:hAnsi="Arial" w:cs="Arial"/>
          <w:color w:val="000000" w:themeColor="text1"/>
          <w:sz w:val="20"/>
          <w:szCs w:val="20"/>
        </w:rPr>
        <w:t>main</w:t>
      </w:r>
      <w:r w:rsidRPr="00F235D8" w:rsidR="00F355CB">
        <w:rPr>
          <w:rFonts w:ascii="Arial" w:hAnsi="Arial" w:cs="Arial"/>
          <w:color w:val="000000" w:themeColor="text1"/>
          <w:sz w:val="20"/>
          <w:szCs w:val="20"/>
        </w:rPr>
        <w:t xml:space="preserve"> driver of the </w:t>
      </w:r>
      <w:r w:rsidRPr="00F235D8" w:rsidR="002B3089">
        <w:rPr>
          <w:rFonts w:ascii="Arial" w:hAnsi="Arial" w:cs="Arial"/>
          <w:color w:val="000000" w:themeColor="text1"/>
          <w:sz w:val="20"/>
          <w:szCs w:val="20"/>
        </w:rPr>
        <w:t xml:space="preserve">EU </w:t>
      </w:r>
      <w:r w:rsidRPr="00F235D8" w:rsidR="00F355CB">
        <w:rPr>
          <w:rFonts w:ascii="Arial" w:hAnsi="Arial" w:cs="Arial"/>
          <w:color w:val="000000" w:themeColor="text1"/>
          <w:sz w:val="20"/>
          <w:szCs w:val="20"/>
        </w:rPr>
        <w:t>trade relationship with Africa</w:t>
      </w:r>
      <w:r w:rsidRPr="00F235D8" w:rsidR="00976FA1">
        <w:rPr>
          <w:rFonts w:ascii="Arial" w:hAnsi="Arial" w:cs="Arial"/>
          <w:color w:val="000000" w:themeColor="text1"/>
          <w:sz w:val="20"/>
          <w:szCs w:val="20"/>
        </w:rPr>
        <w:t>,</w:t>
      </w:r>
      <w:r w:rsidRPr="00F235D8" w:rsidR="00F355CB">
        <w:rPr>
          <w:rFonts w:ascii="Arial" w:hAnsi="Arial" w:cs="Arial"/>
          <w:color w:val="000000" w:themeColor="text1"/>
          <w:sz w:val="20"/>
          <w:szCs w:val="20"/>
        </w:rPr>
        <w:t xml:space="preserve"> </w:t>
      </w:r>
      <w:r w:rsidRPr="00F235D8" w:rsidR="002B3089">
        <w:rPr>
          <w:rFonts w:ascii="Arial" w:hAnsi="Arial" w:cs="Arial"/>
          <w:color w:val="000000" w:themeColor="text1"/>
          <w:sz w:val="20"/>
          <w:szCs w:val="20"/>
        </w:rPr>
        <w:t xml:space="preserve">reached </w:t>
      </w:r>
      <w:r w:rsidRPr="00F235D8" w:rsidR="00DE0990">
        <w:rPr>
          <w:rFonts w:ascii="Arial" w:hAnsi="Arial" w:cs="Arial"/>
          <w:color w:val="000000" w:themeColor="text1"/>
          <w:sz w:val="20"/>
          <w:szCs w:val="20"/>
        </w:rPr>
        <w:t>€</w:t>
      </w:r>
      <w:r w:rsidRPr="00F235D8" w:rsidR="00F355CB">
        <w:rPr>
          <w:rFonts w:ascii="Arial" w:hAnsi="Arial" w:cs="Arial"/>
          <w:color w:val="000000" w:themeColor="text1"/>
          <w:sz w:val="20"/>
          <w:szCs w:val="20"/>
        </w:rPr>
        <w:t>68.4 billion</w:t>
      </w:r>
      <w:r w:rsidRPr="00F235D8" w:rsidR="002B3089">
        <w:rPr>
          <w:rFonts w:ascii="Arial" w:hAnsi="Arial" w:cs="Arial"/>
          <w:color w:val="000000" w:themeColor="text1"/>
          <w:sz w:val="20"/>
          <w:szCs w:val="20"/>
        </w:rPr>
        <w:t xml:space="preserve"> </w:t>
      </w:r>
      <w:r w:rsidRPr="00F235D8" w:rsidR="00976FA1">
        <w:rPr>
          <w:rFonts w:ascii="Arial" w:hAnsi="Arial" w:cs="Arial"/>
          <w:color w:val="000000" w:themeColor="text1"/>
          <w:sz w:val="20"/>
          <w:szCs w:val="20"/>
        </w:rPr>
        <w:t xml:space="preserve">in </w:t>
      </w:r>
      <w:r w:rsidRPr="00F235D8" w:rsidR="002B3089">
        <w:rPr>
          <w:rFonts w:ascii="Arial" w:hAnsi="Arial" w:cs="Arial"/>
          <w:color w:val="000000" w:themeColor="text1"/>
          <w:sz w:val="20"/>
          <w:szCs w:val="20"/>
        </w:rPr>
        <w:t>bilateral trade in goods</w:t>
      </w:r>
      <w:r w:rsidRPr="00F235D8" w:rsidR="00F355CB">
        <w:rPr>
          <w:rFonts w:ascii="Arial" w:hAnsi="Arial" w:cs="Arial"/>
          <w:color w:val="000000" w:themeColor="text1"/>
          <w:sz w:val="20"/>
          <w:szCs w:val="20"/>
        </w:rPr>
        <w:t>.</w:t>
      </w:r>
      <w:r w:rsidRPr="00F235D8" w:rsidR="000A09B8">
        <w:rPr>
          <w:rStyle w:val="FootnoteReference"/>
          <w:rFonts w:ascii="Arial" w:hAnsi="Arial" w:cs="Arial"/>
          <w:color w:val="000000" w:themeColor="text1"/>
          <w:sz w:val="20"/>
          <w:szCs w:val="20"/>
        </w:rPr>
        <w:footnoteReference w:id="4"/>
      </w:r>
      <w:r w:rsidRPr="00F235D8" w:rsidR="00F355CB">
        <w:rPr>
          <w:rFonts w:ascii="Arial" w:hAnsi="Arial" w:cs="Arial"/>
          <w:color w:val="000000" w:themeColor="text1"/>
          <w:sz w:val="20"/>
          <w:szCs w:val="20"/>
        </w:rPr>
        <w:t xml:space="preserve"> </w:t>
      </w:r>
      <w:r w:rsidRPr="00F235D8" w:rsidR="00D02CF0">
        <w:rPr>
          <w:rFonts w:ascii="Arial" w:hAnsi="Arial" w:cs="Arial"/>
          <w:color w:val="000000" w:themeColor="text1"/>
          <w:sz w:val="20"/>
          <w:szCs w:val="20"/>
        </w:rPr>
        <w:t xml:space="preserve">In </w:t>
      </w:r>
      <w:r w:rsidRPr="00F235D8" w:rsidR="00976FA1">
        <w:rPr>
          <w:rFonts w:ascii="Arial" w:hAnsi="Arial" w:cs="Arial"/>
          <w:color w:val="000000" w:themeColor="text1"/>
          <w:sz w:val="20"/>
          <w:szCs w:val="20"/>
        </w:rPr>
        <w:t xml:space="preserve">the </w:t>
      </w:r>
      <w:r w:rsidRPr="00F235D8" w:rsidR="002B3089">
        <w:rPr>
          <w:rFonts w:ascii="Arial" w:hAnsi="Arial" w:cs="Arial"/>
          <w:color w:val="000000" w:themeColor="text1"/>
          <w:sz w:val="20"/>
          <w:szCs w:val="20"/>
        </w:rPr>
        <w:t xml:space="preserve">same year, </w:t>
      </w:r>
      <w:r w:rsidRPr="00F235D8" w:rsidR="00D02CF0">
        <w:rPr>
          <w:rFonts w:ascii="Arial" w:hAnsi="Arial" w:cs="Arial"/>
          <w:color w:val="000000" w:themeColor="text1"/>
          <w:sz w:val="20"/>
          <w:szCs w:val="20"/>
        </w:rPr>
        <w:t>the Southern Neighbourhood counties represented 4.9 per cent of the total EU external trade. The total trade in goods for that year between the regions amounted to €247.3 billion, and the EU’s imports were worth €123.9 billion in 2023, whereas its exports totalled €123.4 billion</w:t>
      </w:r>
      <w:r w:rsidRPr="00F235D8" w:rsidR="0082158B">
        <w:rPr>
          <w:rFonts w:ascii="Arial" w:hAnsi="Arial" w:cs="Arial"/>
          <w:color w:val="000000" w:themeColor="text1"/>
          <w:sz w:val="20"/>
          <w:szCs w:val="20"/>
        </w:rPr>
        <w:t xml:space="preserve"> (EC, </w:t>
      </w:r>
      <w:r w:rsidRPr="00F235D8" w:rsidR="00064B38">
        <w:rPr>
          <w:rFonts w:ascii="Arial" w:hAnsi="Arial" w:cs="Arial"/>
          <w:color w:val="000000" w:themeColor="text1"/>
          <w:sz w:val="20"/>
          <w:szCs w:val="20"/>
        </w:rPr>
        <w:t>2024</w:t>
      </w:r>
      <w:r w:rsidRPr="00F235D8" w:rsidR="0082158B">
        <w:rPr>
          <w:rFonts w:ascii="Arial" w:hAnsi="Arial" w:cs="Arial"/>
          <w:color w:val="000000" w:themeColor="text1"/>
          <w:sz w:val="20"/>
          <w:szCs w:val="20"/>
        </w:rPr>
        <w:t>)</w:t>
      </w:r>
      <w:r w:rsidRPr="00F235D8" w:rsidR="000A09B8">
        <w:rPr>
          <w:rFonts w:ascii="Arial" w:hAnsi="Arial" w:cs="Arial"/>
          <w:color w:val="000000" w:themeColor="text1"/>
          <w:sz w:val="20"/>
          <w:szCs w:val="20"/>
        </w:rPr>
        <w:t>.</w:t>
      </w:r>
      <w:r w:rsidRPr="00F235D8" w:rsidR="0082158B">
        <w:rPr>
          <w:rStyle w:val="FootnoteReference"/>
          <w:rFonts w:ascii="Arial" w:hAnsi="Arial" w:cs="Arial"/>
          <w:color w:val="000000" w:themeColor="text1"/>
          <w:sz w:val="20"/>
          <w:szCs w:val="20"/>
        </w:rPr>
        <w:footnoteReference w:id="5"/>
      </w:r>
      <w:r w:rsidRPr="00F235D8" w:rsidR="0082158B">
        <w:rPr>
          <w:rFonts w:ascii="Arial" w:hAnsi="Arial" w:cs="Arial"/>
          <w:color w:val="000000" w:themeColor="text1"/>
          <w:sz w:val="20"/>
          <w:szCs w:val="20"/>
        </w:rPr>
        <w:t xml:space="preserve"> </w:t>
      </w:r>
      <w:r w:rsidRPr="00F235D8" w:rsidR="00214729">
        <w:rPr>
          <w:rFonts w:ascii="Arial" w:hAnsi="Arial" w:cs="Arial"/>
          <w:color w:val="000000" w:themeColor="text1"/>
          <w:sz w:val="20"/>
          <w:szCs w:val="20"/>
        </w:rPr>
        <w:t xml:space="preserve">However, while both regions are strategic partners and a priority on the EU’s </w:t>
      </w:r>
      <w:r w:rsidRPr="00F235D8" w:rsidR="00214729">
        <w:rPr>
          <w:rFonts w:ascii="Arial" w:hAnsi="Arial" w:cs="Arial"/>
          <w:color w:val="000000" w:themeColor="text1"/>
          <w:sz w:val="20"/>
          <w:szCs w:val="20"/>
        </w:rPr>
        <w:lastRenderedPageBreak/>
        <w:t xml:space="preserve">agenda, different geopolitical considerations </w:t>
      </w:r>
      <w:r w:rsidRPr="00F235D8" w:rsidR="009F7655">
        <w:rPr>
          <w:rFonts w:ascii="Arial" w:hAnsi="Arial" w:cs="Arial"/>
          <w:color w:val="000000" w:themeColor="text1"/>
          <w:sz w:val="20"/>
          <w:szCs w:val="20"/>
        </w:rPr>
        <w:t xml:space="preserve">and interests shape the EU’s economic and trade relations with Africa and MENA, respectively. This can be clearly demonstrated through the 2024-2029 EC agenda. The agenda outlines </w:t>
      </w:r>
      <w:r w:rsidRPr="00F235D8" w:rsidR="00F13400">
        <w:rPr>
          <w:rFonts w:ascii="Arial" w:hAnsi="Arial" w:cs="Arial"/>
          <w:sz w:val="20"/>
          <w:szCs w:val="20"/>
        </w:rPr>
        <w:t>seven key priorities. The ‘Global Europe: Leveraging Our Power and Partnerships' priority addresses objectives in relation to the trade policy. Under the new economic foreign policy goal, a key objective is to drive investments in infrastructure, renewable energy generation and raw material value chains in Africa. For the MENA, as part of the goal of forming a more strategic approach to the neighbourhood, a new Pact for the Mediterranean has been introduced, with a focus on investment, partnership, economic stability, job creation, energy and security in the region.</w:t>
      </w:r>
      <w:r w:rsidRPr="00F235D8" w:rsidR="00F13400">
        <w:rPr>
          <w:rStyle w:val="FootnoteReference"/>
          <w:rFonts w:ascii="Arial" w:hAnsi="Arial" w:cs="Arial"/>
          <w:sz w:val="20"/>
          <w:szCs w:val="20"/>
        </w:rPr>
        <w:footnoteReference w:id="6"/>
      </w:r>
      <w:r w:rsidRPr="00F235D8" w:rsidR="00F13400">
        <w:rPr>
          <w:rFonts w:ascii="Arial" w:hAnsi="Arial" w:cs="Arial"/>
          <w:sz w:val="20"/>
          <w:szCs w:val="20"/>
        </w:rPr>
        <w:t xml:space="preserve"> </w:t>
      </w:r>
      <w:r w:rsidRPr="00F235D8" w:rsidR="00907831">
        <w:rPr>
          <w:rFonts w:ascii="Arial" w:hAnsi="Arial" w:cs="Arial"/>
          <w:sz w:val="20"/>
          <w:szCs w:val="20"/>
        </w:rPr>
        <w:t>T</w:t>
      </w:r>
      <w:r w:rsidRPr="00F235D8" w:rsidR="00DC6CF9">
        <w:rPr>
          <w:rFonts w:ascii="Arial" w:hAnsi="Arial" w:cs="Arial"/>
          <w:sz w:val="20"/>
          <w:szCs w:val="20"/>
        </w:rPr>
        <w:t xml:space="preserve">he geopolitical interest of the EU in relation to Africa derives from it being the closest neighbouring </w:t>
      </w:r>
      <w:r w:rsidRPr="00F235D8" w:rsidR="00DC6CF9">
        <w:rPr>
          <w:rFonts w:ascii="Arial" w:hAnsi="Arial" w:cs="Arial"/>
          <w:color w:val="000000" w:themeColor="text1"/>
          <w:sz w:val="20"/>
          <w:szCs w:val="20"/>
        </w:rPr>
        <w:t xml:space="preserve">region and the need to promote </w:t>
      </w:r>
      <w:r w:rsidRPr="00F235D8" w:rsidR="009116EE">
        <w:rPr>
          <w:rFonts w:ascii="Arial" w:hAnsi="Arial" w:cs="Arial"/>
          <w:color w:val="000000" w:themeColor="text1"/>
          <w:sz w:val="20"/>
          <w:szCs w:val="20"/>
        </w:rPr>
        <w:t xml:space="preserve">its’ </w:t>
      </w:r>
      <w:r w:rsidRPr="00F235D8" w:rsidR="00DC6CF9">
        <w:rPr>
          <w:rFonts w:ascii="Arial" w:hAnsi="Arial" w:cs="Arial"/>
          <w:color w:val="000000" w:themeColor="text1"/>
          <w:sz w:val="20"/>
          <w:szCs w:val="20"/>
        </w:rPr>
        <w:t>sustainable development. The M</w:t>
      </w:r>
      <w:r w:rsidRPr="00F235D8" w:rsidR="00CE6079">
        <w:rPr>
          <w:rFonts w:ascii="Arial" w:hAnsi="Arial" w:cs="Arial"/>
          <w:color w:val="000000" w:themeColor="text1"/>
          <w:sz w:val="20"/>
          <w:szCs w:val="20"/>
        </w:rPr>
        <w:t>ENA</w:t>
      </w:r>
      <w:r w:rsidRPr="00F235D8" w:rsidR="00DC6CF9">
        <w:rPr>
          <w:rFonts w:ascii="Arial" w:hAnsi="Arial" w:cs="Arial"/>
          <w:color w:val="000000" w:themeColor="text1"/>
          <w:sz w:val="20"/>
          <w:szCs w:val="20"/>
        </w:rPr>
        <w:t xml:space="preserve"> region, however, serves as the EU’s southern backdoor, with the Middle East Peace Process (MEPP) influencing its political interests and actions in the region. </w:t>
      </w:r>
    </w:p>
    <w:p w:rsidR="00852703" w:rsidP="009F399A" w:rsidRDefault="00117228" w14:paraId="2704CE2A" w14:textId="77777777">
      <w:pPr>
        <w:pStyle w:val="whitespace-pre-wrap"/>
        <w:spacing w:before="0" w:beforeAutospacing="0" w:after="0" w:afterAutospacing="0"/>
        <w:ind w:firstLine="431"/>
        <w:jc w:val="both"/>
        <w:rPr>
          <w:rFonts w:ascii="Arial" w:hAnsi="Arial" w:cs="Arial"/>
          <w:color w:val="000000"/>
          <w:sz w:val="20"/>
          <w:szCs w:val="20"/>
        </w:rPr>
      </w:pPr>
      <w:r w:rsidRPr="00F235D8">
        <w:rPr>
          <w:rFonts w:ascii="Arial" w:hAnsi="Arial" w:cs="Arial"/>
          <w:color w:val="000000"/>
          <w:sz w:val="20"/>
          <w:szCs w:val="20"/>
        </w:rPr>
        <w:t>To strengthen its ties with these regions and reinforce its position as a global power, the EU prioriti</w:t>
      </w:r>
      <w:r w:rsidRPr="00F235D8" w:rsidR="00EB38EA">
        <w:rPr>
          <w:rFonts w:ascii="Arial" w:hAnsi="Arial" w:cs="Arial"/>
          <w:color w:val="000000"/>
          <w:sz w:val="20"/>
          <w:szCs w:val="20"/>
        </w:rPr>
        <w:t>s</w:t>
      </w:r>
      <w:r w:rsidRPr="00F235D8">
        <w:rPr>
          <w:rFonts w:ascii="Arial" w:hAnsi="Arial" w:cs="Arial"/>
          <w:color w:val="000000"/>
          <w:sz w:val="20"/>
          <w:szCs w:val="20"/>
        </w:rPr>
        <w:t xml:space="preserve">es promoting both intra- and inter-regional trade. </w:t>
      </w:r>
    </w:p>
    <w:p w:rsidRPr="000A1213" w:rsidR="000A1213" w:rsidP="000A1213" w:rsidRDefault="00687013" w14:paraId="4084E966" w14:textId="06E8F084">
      <w:pPr>
        <w:pStyle w:val="whitespace-pre-wrap"/>
        <w:spacing w:before="0" w:beforeAutospacing="0" w:after="0" w:afterAutospacing="0"/>
        <w:ind w:firstLine="431"/>
        <w:jc w:val="both"/>
        <w:rPr>
          <w:rFonts w:ascii="Arial" w:hAnsi="Arial" w:cs="Arial"/>
          <w:sz w:val="20"/>
          <w:szCs w:val="20"/>
          <w:lang w:val="en-US"/>
        </w:rPr>
      </w:pPr>
      <w:proofErr w:type="gramStart"/>
      <w:r w:rsidRPr="00687013">
        <w:rPr>
          <w:rFonts w:ascii="Arial" w:hAnsi="Arial" w:cs="Arial"/>
          <w:sz w:val="20"/>
          <w:szCs w:val="20"/>
        </w:rPr>
        <w:t>In regard to</w:t>
      </w:r>
      <w:proofErr w:type="gramEnd"/>
      <w:r w:rsidRPr="00687013" w:rsidR="00852703">
        <w:rPr>
          <w:rFonts w:ascii="Arial" w:hAnsi="Arial" w:cs="Arial"/>
          <w:sz w:val="20"/>
          <w:szCs w:val="20"/>
        </w:rPr>
        <w:t xml:space="preserve"> Africa, paying attention to </w:t>
      </w:r>
      <w:r w:rsidR="0053564E">
        <w:rPr>
          <w:rFonts w:ascii="Arial" w:hAnsi="Arial" w:cs="Arial"/>
          <w:sz w:val="20"/>
          <w:szCs w:val="20"/>
        </w:rPr>
        <w:t>Easter African Community (</w:t>
      </w:r>
      <w:r w:rsidRPr="00687013" w:rsidR="00852703">
        <w:rPr>
          <w:rFonts w:ascii="Arial" w:hAnsi="Arial" w:cs="Arial"/>
          <w:sz w:val="20"/>
          <w:szCs w:val="20"/>
        </w:rPr>
        <w:t>EAC</w:t>
      </w:r>
      <w:r w:rsidR="0053564E">
        <w:rPr>
          <w:rFonts w:ascii="Arial" w:hAnsi="Arial" w:cs="Arial"/>
          <w:sz w:val="20"/>
          <w:szCs w:val="20"/>
        </w:rPr>
        <w:t>)</w:t>
      </w:r>
      <w:r w:rsidRPr="00687013" w:rsidR="00852703">
        <w:rPr>
          <w:rFonts w:ascii="Arial" w:hAnsi="Arial" w:cs="Arial"/>
          <w:sz w:val="20"/>
          <w:szCs w:val="20"/>
        </w:rPr>
        <w:t xml:space="preserve"> is important, especially considering the recent country level trade agreement with Kenya. </w:t>
      </w:r>
      <w:r w:rsidRPr="00687013" w:rsidR="00E5257C">
        <w:rPr>
          <w:rFonts w:ascii="Arial" w:hAnsi="Arial" w:cs="Arial"/>
          <w:sz w:val="20"/>
          <w:szCs w:val="20"/>
        </w:rPr>
        <w:t>Although there is some attention for individual EAC countries, the angle is the long-standing strategy focused on the Horn of Africa. The opportunities</w:t>
      </w:r>
      <w:r w:rsidRPr="00687013" w:rsidR="00E5257C">
        <w:rPr>
          <w:rFonts w:ascii="Arial" w:hAnsi="Arial" w:cs="Arial"/>
          <w:sz w:val="20"/>
          <w:szCs w:val="20"/>
          <w:lang w:val="en"/>
        </w:rPr>
        <w:t xml:space="preserve"> that lie in the EAC remain out of the picture of the policy.</w:t>
      </w:r>
      <w:r w:rsidRPr="00687013" w:rsidR="008D5D0D">
        <w:rPr>
          <w:rFonts w:ascii="Arial" w:hAnsi="Arial" w:cs="Arial"/>
          <w:sz w:val="20"/>
          <w:szCs w:val="20"/>
          <w:lang w:val="en"/>
        </w:rPr>
        <w:t xml:space="preserve"> </w:t>
      </w:r>
      <w:r w:rsidRPr="00687013" w:rsidR="00B915C9">
        <w:rPr>
          <w:rFonts w:ascii="Arial" w:hAnsi="Arial" w:cs="Arial"/>
          <w:sz w:val="20"/>
          <w:szCs w:val="20"/>
          <w:lang w:val="en"/>
        </w:rPr>
        <w:t xml:space="preserve">According to a recent </w:t>
      </w:r>
      <w:hyperlink w:history="1" r:id="rId8">
        <w:r w:rsidRPr="00687013" w:rsidR="00B915C9">
          <w:rPr>
            <w:rStyle w:val="Hyperlink"/>
            <w:rFonts w:ascii="Arial" w:hAnsi="Arial" w:cs="Arial"/>
            <w:sz w:val="20"/>
            <w:szCs w:val="20"/>
            <w:lang w:val="en"/>
          </w:rPr>
          <w:t>study</w:t>
        </w:r>
      </w:hyperlink>
      <w:r w:rsidR="00541E48">
        <w:rPr>
          <w:rStyle w:val="FootnoteReference"/>
        </w:rPr>
        <w:footnoteReference w:id="7"/>
      </w:r>
      <w:r w:rsidRPr="00687013" w:rsidR="00B915C9">
        <w:rPr>
          <w:rFonts w:ascii="Arial" w:hAnsi="Arial" w:cs="Arial"/>
          <w:sz w:val="20"/>
          <w:szCs w:val="20"/>
          <w:lang w:val="en"/>
        </w:rPr>
        <w:t>, currently</w:t>
      </w:r>
      <w:r w:rsidRPr="00687013" w:rsidR="00E5257C">
        <w:rPr>
          <w:rFonts w:ascii="Arial" w:hAnsi="Arial" w:cs="Arial"/>
          <w:sz w:val="20"/>
          <w:szCs w:val="20"/>
        </w:rPr>
        <w:t>, the main bottlenecks for further development of trade from and with the EAC are delays arising at the border, both for exports and imports. The trade impact of the time and costs that firms and traders incur when they comply with documentary requirements and border procedures significantly hampers trade between African countries</w:t>
      </w:r>
      <w:r w:rsidRPr="00687013" w:rsidR="00B915C9">
        <w:rPr>
          <w:rFonts w:ascii="Arial" w:hAnsi="Arial" w:cs="Arial"/>
          <w:sz w:val="20"/>
          <w:szCs w:val="20"/>
        </w:rPr>
        <w:t>.</w:t>
      </w:r>
      <w:r w:rsidRPr="00F235D8" w:rsidR="00E5257C">
        <w:rPr>
          <w:rFonts w:ascii="Arial" w:hAnsi="Arial" w:cs="Arial"/>
          <w:sz w:val="20"/>
          <w:szCs w:val="20"/>
        </w:rPr>
        <w:t xml:space="preserve"> Borders should matter less, but due to internal red tape exporting and importing are unnecessarily cumbersome. The challenges are the poor (air)port management and the bureaucratic burden that arises from the lack of a one-stop-shop approach in government. The time and cost of compliance to border procedures should be reduced, and that seems quite possible as best practices in Kenya and Rwanda suggest. In principle, red tape is a factor that can be solved without a major financial investment, but which does of course require a change in mentality and training.</w:t>
      </w:r>
      <w:r w:rsidRPr="00F235D8" w:rsidR="00DE0990">
        <w:rPr>
          <w:rFonts w:ascii="Arial" w:hAnsi="Arial" w:cs="Arial"/>
          <w:sz w:val="20"/>
          <w:szCs w:val="20"/>
        </w:rPr>
        <w:t xml:space="preserve"> </w:t>
      </w:r>
      <w:r w:rsidRPr="00F235D8" w:rsidR="00E5257C">
        <w:rPr>
          <w:rFonts w:ascii="Arial" w:hAnsi="Arial" w:cs="Arial"/>
          <w:sz w:val="20"/>
          <w:szCs w:val="20"/>
          <w:lang w:val="en-US"/>
        </w:rPr>
        <w:t xml:space="preserve">The Netherlands is </w:t>
      </w:r>
      <w:proofErr w:type="gramStart"/>
      <w:r w:rsidRPr="00F235D8" w:rsidR="00E5257C">
        <w:rPr>
          <w:rFonts w:ascii="Arial" w:hAnsi="Arial" w:cs="Arial"/>
          <w:sz w:val="20"/>
          <w:szCs w:val="20"/>
          <w:lang w:val="en-US"/>
        </w:rPr>
        <w:t>actually very</w:t>
      </w:r>
      <w:proofErr w:type="gramEnd"/>
      <w:r w:rsidRPr="00F235D8" w:rsidR="00E5257C">
        <w:rPr>
          <w:rFonts w:ascii="Arial" w:hAnsi="Arial" w:cs="Arial"/>
          <w:sz w:val="20"/>
          <w:szCs w:val="20"/>
          <w:lang w:val="en-US"/>
        </w:rPr>
        <w:t xml:space="preserve"> well-equipped to help tackle the logistical challenges, particularly in relation to port management.</w:t>
      </w:r>
      <w:r w:rsidR="000A1213">
        <w:rPr>
          <w:rFonts w:ascii="Arial" w:hAnsi="Arial" w:cs="Arial"/>
          <w:sz w:val="20"/>
          <w:szCs w:val="20"/>
          <w:lang w:val="en-US"/>
        </w:rPr>
        <w:t xml:space="preserve"> </w:t>
      </w:r>
      <w:r w:rsidRPr="008D5D0D" w:rsidR="000A1213">
        <w:rPr>
          <w:rFonts w:ascii="Arial" w:hAnsi="Arial" w:cs="Arial"/>
          <w:sz w:val="20"/>
          <w:szCs w:val="20"/>
        </w:rPr>
        <w:t>Member states have strengths and weaknesses in very different sectors, providing a basis for further speciali</w:t>
      </w:r>
      <w:r w:rsidR="000A1213">
        <w:rPr>
          <w:rFonts w:ascii="Arial" w:hAnsi="Arial" w:cs="Arial"/>
          <w:sz w:val="20"/>
          <w:szCs w:val="20"/>
        </w:rPr>
        <w:t>s</w:t>
      </w:r>
      <w:r w:rsidRPr="008D5D0D" w:rsidR="000A1213">
        <w:rPr>
          <w:rFonts w:ascii="Arial" w:hAnsi="Arial" w:cs="Arial"/>
          <w:sz w:val="20"/>
          <w:szCs w:val="20"/>
        </w:rPr>
        <w:t xml:space="preserve">ation and greater </w:t>
      </w:r>
      <w:r w:rsidRPr="004902A8" w:rsidR="000A1213">
        <w:rPr>
          <w:rFonts w:ascii="Arial" w:hAnsi="Arial" w:cs="Arial"/>
          <w:color w:val="000000"/>
          <w:sz w:val="20"/>
          <w:szCs w:val="20"/>
        </w:rPr>
        <w:t>intra- and inter-regional trade</w:t>
      </w:r>
      <w:r w:rsidR="000A1213">
        <w:rPr>
          <w:rFonts w:ascii="Arial" w:hAnsi="Arial" w:cs="Arial"/>
          <w:color w:val="000000"/>
          <w:sz w:val="20"/>
          <w:szCs w:val="20"/>
        </w:rPr>
        <w:t xml:space="preserve"> as compared to the focus on </w:t>
      </w:r>
      <w:r w:rsidRPr="008D5D0D" w:rsidR="000A1213">
        <w:rPr>
          <w:rFonts w:ascii="Arial" w:hAnsi="Arial" w:cs="Arial"/>
          <w:sz w:val="20"/>
          <w:szCs w:val="20"/>
          <w:lang w:val="en"/>
        </w:rPr>
        <w:t>individual EAC countries</w:t>
      </w:r>
      <w:r w:rsidR="000A1213">
        <w:rPr>
          <w:rFonts w:ascii="Arial" w:hAnsi="Arial" w:cs="Arial"/>
          <w:sz w:val="20"/>
          <w:szCs w:val="20"/>
          <w:lang w:val="en"/>
        </w:rPr>
        <w:t xml:space="preserve"> as in the </w:t>
      </w:r>
      <w:r w:rsidRPr="008D5D0D" w:rsidR="000A1213">
        <w:rPr>
          <w:rFonts w:ascii="Arial" w:hAnsi="Arial" w:cs="Arial"/>
          <w:sz w:val="20"/>
          <w:szCs w:val="20"/>
          <w:lang w:val="en"/>
        </w:rPr>
        <w:t>recent policy memorandum</w:t>
      </w:r>
      <w:r w:rsidRPr="008D5D0D" w:rsidR="000A1213">
        <w:rPr>
          <w:rFonts w:ascii="Arial" w:hAnsi="Arial" w:cs="Arial"/>
          <w:sz w:val="20"/>
          <w:szCs w:val="20"/>
        </w:rPr>
        <w:t xml:space="preserve">. </w:t>
      </w:r>
    </w:p>
    <w:p w:rsidRPr="00F235D8" w:rsidR="00790D64" w:rsidP="00890C57" w:rsidRDefault="00A466B6" w14:paraId="6D0BDCBD" w14:textId="73A8A33D">
      <w:pPr>
        <w:pStyle w:val="whitespace-pre-wrap"/>
        <w:spacing w:before="0" w:beforeAutospacing="0" w:after="0" w:afterAutospacing="0"/>
        <w:ind w:firstLine="431"/>
        <w:jc w:val="both"/>
        <w:rPr>
          <w:rFonts w:ascii="Arial" w:hAnsi="Arial" w:cs="Arial"/>
          <w:color w:val="000000"/>
          <w:sz w:val="20"/>
          <w:szCs w:val="20"/>
        </w:rPr>
      </w:pPr>
      <w:r w:rsidRPr="00F235D8">
        <w:rPr>
          <w:rFonts w:ascii="Arial" w:hAnsi="Arial" w:cs="Arial"/>
          <w:sz w:val="20"/>
          <w:szCs w:val="20"/>
          <w:lang w:val="en-US"/>
        </w:rPr>
        <w:t xml:space="preserve"> </w:t>
      </w:r>
      <w:r w:rsidRPr="00F235D8" w:rsidR="00790D64">
        <w:rPr>
          <w:rFonts w:ascii="Arial" w:hAnsi="Arial" w:cs="Arial"/>
          <w:color w:val="000000"/>
          <w:sz w:val="20"/>
          <w:szCs w:val="20"/>
        </w:rPr>
        <w:t>The EU’s engagement with intra- and inter-regional trade reflects its strategic interests in fostering trade liberalization, securing supply chains, and reinforcing political alliances. However, the effectiveness of these partnerships depends on balancing market access with Africa’s developmental needs, ensuring that trade agreements do not exacerbate economic asymmetries but rather support industrialization, diversification, and regional value chain development.</w:t>
      </w:r>
    </w:p>
    <w:p w:rsidRPr="00F235D8" w:rsidR="00644057" w:rsidP="00610CF6" w:rsidRDefault="00790D64" w14:paraId="0FDA4021" w14:textId="425EBDFD">
      <w:pPr>
        <w:pStyle w:val="whitespace-pre-wrap"/>
        <w:spacing w:before="0" w:beforeAutospacing="0" w:after="0" w:afterAutospacing="0"/>
        <w:ind w:firstLine="431"/>
        <w:jc w:val="both"/>
        <w:rPr>
          <w:rFonts w:ascii="Arial" w:hAnsi="Arial" w:cs="Arial"/>
          <w:sz w:val="20"/>
          <w:szCs w:val="20"/>
        </w:rPr>
      </w:pPr>
      <w:r w:rsidRPr="00F235D8">
        <w:rPr>
          <w:rFonts w:ascii="Arial" w:hAnsi="Arial" w:cs="Arial"/>
          <w:sz w:val="20"/>
          <w:szCs w:val="20"/>
        </w:rPr>
        <w:t>As for the MENA</w:t>
      </w:r>
      <w:r w:rsidRPr="00F235D8" w:rsidR="00193E23">
        <w:rPr>
          <w:rFonts w:ascii="Arial" w:hAnsi="Arial" w:cs="Arial"/>
          <w:sz w:val="20"/>
          <w:szCs w:val="20"/>
        </w:rPr>
        <w:t>,</w:t>
      </w:r>
      <w:r w:rsidRPr="00F235D8">
        <w:rPr>
          <w:rFonts w:ascii="Arial" w:hAnsi="Arial" w:cs="Arial"/>
          <w:sz w:val="20"/>
          <w:szCs w:val="20"/>
        </w:rPr>
        <w:t xml:space="preserve"> </w:t>
      </w:r>
      <w:r w:rsidRPr="00F235D8" w:rsidR="00302786">
        <w:rPr>
          <w:rFonts w:ascii="Arial" w:hAnsi="Arial" w:cs="Arial"/>
          <w:sz w:val="20"/>
          <w:szCs w:val="20"/>
        </w:rPr>
        <w:t xml:space="preserve">promoting intra and inter-trade relations in the region supports </w:t>
      </w:r>
      <w:r w:rsidRPr="00F235D8" w:rsidR="00193E23">
        <w:rPr>
          <w:rFonts w:ascii="Arial" w:hAnsi="Arial" w:cs="Arial"/>
          <w:sz w:val="20"/>
          <w:szCs w:val="20"/>
        </w:rPr>
        <w:t>both the</w:t>
      </w:r>
      <w:r w:rsidRPr="00F235D8" w:rsidR="00302786">
        <w:rPr>
          <w:rFonts w:ascii="Arial" w:hAnsi="Arial" w:cs="Arial"/>
          <w:sz w:val="20"/>
          <w:szCs w:val="20"/>
        </w:rPr>
        <w:t xml:space="preserve"> MEPP as well as </w:t>
      </w:r>
      <w:r w:rsidRPr="00F235D8" w:rsidR="00193E23">
        <w:rPr>
          <w:rFonts w:ascii="Arial" w:hAnsi="Arial" w:cs="Arial"/>
          <w:sz w:val="20"/>
          <w:szCs w:val="20"/>
        </w:rPr>
        <w:t xml:space="preserve">the </w:t>
      </w:r>
      <w:r w:rsidRPr="00F235D8" w:rsidR="00302786">
        <w:rPr>
          <w:rFonts w:ascii="Arial" w:hAnsi="Arial" w:cs="Arial"/>
          <w:sz w:val="20"/>
          <w:szCs w:val="20"/>
        </w:rPr>
        <w:t xml:space="preserve">EU’s role as a leading global power in the region. </w:t>
      </w:r>
      <w:r w:rsidRPr="00F235D8" w:rsidR="002D5EA8">
        <w:rPr>
          <w:rFonts w:ascii="Arial" w:hAnsi="Arial" w:cs="Arial"/>
          <w:sz w:val="20"/>
          <w:szCs w:val="20"/>
        </w:rPr>
        <w:t xml:space="preserve">Considering the ongoing catastrophic situation in the region </w:t>
      </w:r>
      <w:r w:rsidRPr="00F235D8" w:rsidR="00DE2C76">
        <w:rPr>
          <w:rFonts w:ascii="Arial" w:hAnsi="Arial" w:cs="Arial"/>
          <w:sz w:val="20"/>
          <w:szCs w:val="20"/>
        </w:rPr>
        <w:t xml:space="preserve">with the ongoing October 2023 Israel-Hamas, economic collaborations and enhancing trade relations may be more important than ever. </w:t>
      </w:r>
      <w:r w:rsidRPr="00F235D8" w:rsidR="00193E23">
        <w:rPr>
          <w:rFonts w:ascii="Arial" w:hAnsi="Arial" w:cs="Arial"/>
          <w:sz w:val="20"/>
          <w:szCs w:val="20"/>
        </w:rPr>
        <w:t xml:space="preserve">The untapped trade potential, with the </w:t>
      </w:r>
      <w:proofErr w:type="gramStart"/>
      <w:r w:rsidRPr="00F235D8" w:rsidR="00193E23">
        <w:rPr>
          <w:rFonts w:ascii="Arial" w:hAnsi="Arial" w:cs="Arial"/>
          <w:sz w:val="20"/>
          <w:szCs w:val="20"/>
        </w:rPr>
        <w:t>Israeli-Palestinian</w:t>
      </w:r>
      <w:proofErr w:type="gramEnd"/>
      <w:r w:rsidRPr="00F235D8" w:rsidR="00193E23">
        <w:rPr>
          <w:rFonts w:ascii="Arial" w:hAnsi="Arial" w:cs="Arial"/>
          <w:sz w:val="20"/>
          <w:szCs w:val="20"/>
        </w:rPr>
        <w:t xml:space="preserve"> conflict at its core, has been used over the years as motivation for promoting peace processes and achieving regional security in the MENA region</w:t>
      </w:r>
      <w:r w:rsidRPr="00F235D8" w:rsidR="00154F65">
        <w:rPr>
          <w:rFonts w:ascii="Arial" w:hAnsi="Arial" w:cs="Arial"/>
          <w:sz w:val="20"/>
          <w:szCs w:val="20"/>
        </w:rPr>
        <w:t xml:space="preserve"> </w:t>
      </w:r>
      <w:r w:rsidRPr="00F235D8" w:rsidR="00F5684B">
        <w:rPr>
          <w:rFonts w:ascii="Arial" w:hAnsi="Arial" w:cs="Arial"/>
          <w:sz w:val="20"/>
          <w:szCs w:val="20"/>
        </w:rPr>
        <w:t>(Lahar</w:t>
      </w:r>
      <w:r w:rsidRPr="00F235D8" w:rsidR="00890C57">
        <w:rPr>
          <w:rFonts w:ascii="Arial" w:hAnsi="Arial" w:cs="Arial"/>
          <w:sz w:val="20"/>
          <w:szCs w:val="20"/>
        </w:rPr>
        <w:t xml:space="preserve"> et al.</w:t>
      </w:r>
      <w:r w:rsidRPr="00F235D8" w:rsidR="00F5684B">
        <w:rPr>
          <w:rFonts w:ascii="Arial" w:hAnsi="Arial" w:cs="Arial"/>
          <w:sz w:val="20"/>
          <w:szCs w:val="20"/>
        </w:rPr>
        <w:t>, 202</w:t>
      </w:r>
      <w:r w:rsidRPr="00F235D8" w:rsidR="00890C57">
        <w:rPr>
          <w:rFonts w:ascii="Arial" w:hAnsi="Arial" w:cs="Arial"/>
          <w:sz w:val="20"/>
          <w:szCs w:val="20"/>
        </w:rPr>
        <w:t>3</w:t>
      </w:r>
      <w:r w:rsidRPr="00F235D8" w:rsidR="00F5684B">
        <w:rPr>
          <w:rFonts w:ascii="Arial" w:hAnsi="Arial" w:cs="Arial"/>
          <w:sz w:val="20"/>
          <w:szCs w:val="20"/>
        </w:rPr>
        <w:t>)</w:t>
      </w:r>
      <w:r w:rsidR="00541E48">
        <w:rPr>
          <w:rStyle w:val="FootnoteReference"/>
          <w:rFonts w:ascii="Arial" w:hAnsi="Arial" w:cs="Arial"/>
          <w:sz w:val="20"/>
          <w:szCs w:val="20"/>
        </w:rPr>
        <w:footnoteReference w:id="8"/>
      </w:r>
      <w:r w:rsidRPr="00F235D8" w:rsidR="00F5684B">
        <w:rPr>
          <w:rFonts w:ascii="Arial" w:hAnsi="Arial" w:cs="Arial"/>
          <w:sz w:val="20"/>
          <w:szCs w:val="20"/>
        </w:rPr>
        <w:t>.</w:t>
      </w:r>
      <w:r w:rsidRPr="00F235D8" w:rsidR="00890C57">
        <w:rPr>
          <w:rFonts w:ascii="Arial" w:hAnsi="Arial" w:cs="Arial"/>
          <w:sz w:val="20"/>
          <w:szCs w:val="20"/>
        </w:rPr>
        <w:t xml:space="preserve"> </w:t>
      </w:r>
    </w:p>
    <w:p w:rsidRPr="00F235D8" w:rsidR="00610CF6" w:rsidP="00610CF6" w:rsidRDefault="00610CF6" w14:paraId="1AF16EC7" w14:textId="77777777">
      <w:pPr>
        <w:pStyle w:val="whitespace-pre-wrap"/>
        <w:spacing w:before="0" w:beforeAutospacing="0" w:after="0" w:afterAutospacing="0"/>
        <w:ind w:firstLine="431"/>
        <w:jc w:val="both"/>
        <w:rPr>
          <w:rFonts w:ascii="Arial" w:hAnsi="Arial" w:cs="Arial"/>
          <w:sz w:val="6"/>
          <w:szCs w:val="6"/>
        </w:rPr>
      </w:pPr>
    </w:p>
    <w:p w:rsidRPr="00F235D8" w:rsidR="000321B9" w:rsidP="000E7F91" w:rsidRDefault="004902A8" w14:paraId="2D300E85" w14:textId="4BFFC7B2">
      <w:pPr>
        <w:pStyle w:val="whitespace-pre-wrap"/>
        <w:spacing w:before="0" w:beforeAutospacing="0" w:after="0" w:afterAutospacing="0"/>
        <w:ind w:firstLine="431"/>
        <w:jc w:val="both"/>
        <w:rPr>
          <w:rFonts w:ascii="Arial" w:hAnsi="Arial" w:cs="Arial"/>
          <w:sz w:val="20"/>
          <w:szCs w:val="20"/>
        </w:rPr>
      </w:pPr>
      <w:r w:rsidRPr="00F235D8">
        <w:rPr>
          <w:rFonts w:ascii="Arial" w:hAnsi="Arial" w:cs="Arial"/>
          <w:color w:val="000000"/>
          <w:sz w:val="20"/>
          <w:szCs w:val="20"/>
        </w:rPr>
        <w:t xml:space="preserve">Looking toward the future, evolving models offer potential alternatives to traditional arrangements. The African Continental Free Trade Area creates possibilities for a more unified African negotiating position vis-à-vis the EU, potentially addressing historical power imbalances. </w:t>
      </w:r>
      <w:r w:rsidR="0053564E">
        <w:rPr>
          <w:rFonts w:ascii="Arial" w:hAnsi="Arial" w:cs="Arial"/>
          <w:color w:val="000000"/>
          <w:sz w:val="20"/>
          <w:szCs w:val="20"/>
        </w:rPr>
        <w:t xml:space="preserve">The possibility of </w:t>
      </w:r>
      <w:r w:rsidRPr="00F235D8" w:rsidR="00610CF6">
        <w:rPr>
          <w:rFonts w:ascii="Arial" w:hAnsi="Arial" w:cs="Arial"/>
          <w:color w:val="000000"/>
          <w:sz w:val="20"/>
          <w:szCs w:val="20"/>
        </w:rPr>
        <w:t xml:space="preserve">normalization agreement between Israel and Saudia Arabia </w:t>
      </w:r>
      <w:r w:rsidRPr="00F235D8" w:rsidR="00BB1B81">
        <w:rPr>
          <w:rFonts w:ascii="Arial" w:hAnsi="Arial" w:cs="Arial"/>
          <w:sz w:val="20"/>
          <w:szCs w:val="20"/>
        </w:rPr>
        <w:t>has the potential to not only support the ending of the current war but also hold the promise of security and stability for the whole region</w:t>
      </w:r>
      <w:r w:rsidRPr="00F235D8" w:rsidR="00BB1B81">
        <w:rPr>
          <w:rFonts w:ascii="Arial" w:hAnsi="Arial" w:cs="Arial"/>
          <w:color w:val="000000"/>
          <w:sz w:val="20"/>
          <w:szCs w:val="20"/>
        </w:rPr>
        <w:t>. In this regard, there may be a need for the EU to revise the separation between the two trade frameworks</w:t>
      </w:r>
      <w:r w:rsidRPr="00F235D8" w:rsidR="00B95113">
        <w:rPr>
          <w:rFonts w:ascii="Arial" w:hAnsi="Arial" w:cs="Arial"/>
          <w:color w:val="000000"/>
          <w:sz w:val="20"/>
          <w:szCs w:val="20"/>
        </w:rPr>
        <w:t>,</w:t>
      </w:r>
      <w:r w:rsidRPr="00F235D8" w:rsidR="00612C66">
        <w:rPr>
          <w:rFonts w:ascii="Arial" w:hAnsi="Arial" w:cs="Arial"/>
          <w:color w:val="000000"/>
          <w:sz w:val="20"/>
          <w:szCs w:val="20"/>
        </w:rPr>
        <w:t xml:space="preserve"> </w:t>
      </w:r>
      <w:r w:rsidRPr="00F235D8" w:rsidR="00BB1B81">
        <w:rPr>
          <w:rFonts w:ascii="Arial" w:hAnsi="Arial" w:cs="Arial"/>
          <w:color w:val="000000"/>
          <w:sz w:val="20"/>
          <w:szCs w:val="20"/>
        </w:rPr>
        <w:t xml:space="preserve">with the Gulf region on the one hand and the Southern Neighbourhood on the other, </w:t>
      </w:r>
      <w:proofErr w:type="gramStart"/>
      <w:r w:rsidRPr="00F235D8" w:rsidR="00BB1B81">
        <w:rPr>
          <w:rFonts w:ascii="Arial" w:hAnsi="Arial" w:cs="Arial"/>
          <w:color w:val="000000"/>
          <w:sz w:val="20"/>
          <w:szCs w:val="20"/>
        </w:rPr>
        <w:t>in order to</w:t>
      </w:r>
      <w:proofErr w:type="gramEnd"/>
      <w:r w:rsidRPr="00F235D8" w:rsidR="00BB1B81">
        <w:rPr>
          <w:rFonts w:ascii="Arial" w:hAnsi="Arial" w:cs="Arial"/>
          <w:color w:val="000000"/>
          <w:sz w:val="20"/>
          <w:szCs w:val="20"/>
        </w:rPr>
        <w:t xml:space="preserve"> leverage its role as a key player in the region. </w:t>
      </w:r>
    </w:p>
    <w:p w:rsidRPr="00F235D8" w:rsidR="000321B9" w:rsidP="000E7F91" w:rsidRDefault="000321B9" w14:paraId="396F10B5" w14:textId="77777777">
      <w:pPr>
        <w:pStyle w:val="whitespace-pre-wrap"/>
        <w:spacing w:before="0" w:beforeAutospacing="0" w:after="0" w:afterAutospacing="0"/>
        <w:ind w:firstLine="431"/>
        <w:jc w:val="both"/>
        <w:rPr>
          <w:rFonts w:ascii="Arial" w:hAnsi="Arial" w:cs="Arial"/>
          <w:sz w:val="20"/>
          <w:szCs w:val="20"/>
        </w:rPr>
      </w:pPr>
    </w:p>
    <w:p w:rsidRPr="00F235D8" w:rsidR="00A466B6" w:rsidP="000A1213" w:rsidRDefault="00A466B6" w14:paraId="0C021115" w14:textId="77777777">
      <w:pPr>
        <w:pStyle w:val="whitespace-pre-wrap"/>
        <w:spacing w:before="0" w:beforeAutospacing="0" w:after="0" w:afterAutospacing="0"/>
        <w:jc w:val="both"/>
        <w:rPr>
          <w:rFonts w:ascii="Arial" w:hAnsi="Arial" w:cs="Arial"/>
          <w:sz w:val="20"/>
          <w:szCs w:val="20"/>
        </w:rPr>
      </w:pPr>
    </w:p>
    <w:sectPr w:rsidRPr="00F235D8" w:rsidR="00A466B6">
      <w:footerReference w:type="even" r:id="rId9"/>
      <w:foot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8D931" w14:textId="77777777" w:rsidR="0042218D" w:rsidRDefault="0042218D" w:rsidP="00255E1E">
      <w:r>
        <w:separator/>
      </w:r>
    </w:p>
  </w:endnote>
  <w:endnote w:type="continuationSeparator" w:id="0">
    <w:p w14:paraId="31DF9237" w14:textId="77777777" w:rsidR="0042218D" w:rsidRDefault="0042218D" w:rsidP="0025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4757653"/>
      <w:docPartObj>
        <w:docPartGallery w:val="Page Numbers (Bottom of Page)"/>
        <w:docPartUnique/>
      </w:docPartObj>
    </w:sdtPr>
    <w:sdtContent>
      <w:p w14:paraId="7EA395E7" w14:textId="6B935663" w:rsidR="00687013" w:rsidRDefault="00687013" w:rsidP="00AC60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5A839" w14:textId="77777777" w:rsidR="00687013" w:rsidRDefault="00687013" w:rsidP="00687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6"/>
        <w:szCs w:val="16"/>
      </w:rPr>
      <w:id w:val="248233067"/>
      <w:docPartObj>
        <w:docPartGallery w:val="Page Numbers (Bottom of Page)"/>
        <w:docPartUnique/>
      </w:docPartObj>
    </w:sdtPr>
    <w:sdtContent>
      <w:p w14:paraId="6BA18D5B" w14:textId="6F0E7EFA" w:rsidR="00687013" w:rsidRPr="00687013" w:rsidRDefault="00687013" w:rsidP="00AC60DC">
        <w:pPr>
          <w:pStyle w:val="Footer"/>
          <w:framePr w:wrap="none" w:vAnchor="text" w:hAnchor="margin" w:xAlign="right" w:y="1"/>
          <w:rPr>
            <w:rStyle w:val="PageNumber"/>
            <w:rFonts w:ascii="Arial" w:hAnsi="Arial" w:cs="Arial"/>
            <w:sz w:val="16"/>
            <w:szCs w:val="16"/>
          </w:rPr>
        </w:pPr>
        <w:r w:rsidRPr="00687013">
          <w:rPr>
            <w:rStyle w:val="PageNumber"/>
            <w:rFonts w:ascii="Arial" w:hAnsi="Arial" w:cs="Arial"/>
            <w:sz w:val="16"/>
            <w:szCs w:val="16"/>
          </w:rPr>
          <w:fldChar w:fldCharType="begin"/>
        </w:r>
        <w:r w:rsidRPr="00687013">
          <w:rPr>
            <w:rStyle w:val="PageNumber"/>
            <w:rFonts w:ascii="Arial" w:hAnsi="Arial" w:cs="Arial"/>
            <w:sz w:val="16"/>
            <w:szCs w:val="16"/>
          </w:rPr>
          <w:instrText xml:space="preserve"> PAGE </w:instrText>
        </w:r>
        <w:r w:rsidRPr="00687013">
          <w:rPr>
            <w:rStyle w:val="PageNumber"/>
            <w:rFonts w:ascii="Arial" w:hAnsi="Arial" w:cs="Arial"/>
            <w:sz w:val="16"/>
            <w:szCs w:val="16"/>
          </w:rPr>
          <w:fldChar w:fldCharType="separate"/>
        </w:r>
        <w:r w:rsidRPr="00687013">
          <w:rPr>
            <w:rStyle w:val="PageNumber"/>
            <w:rFonts w:ascii="Arial" w:hAnsi="Arial" w:cs="Arial"/>
            <w:noProof/>
            <w:sz w:val="16"/>
            <w:szCs w:val="16"/>
          </w:rPr>
          <w:t>2</w:t>
        </w:r>
        <w:r w:rsidRPr="00687013">
          <w:rPr>
            <w:rStyle w:val="PageNumber"/>
            <w:rFonts w:ascii="Arial" w:hAnsi="Arial" w:cs="Arial"/>
            <w:sz w:val="16"/>
            <w:szCs w:val="16"/>
          </w:rPr>
          <w:fldChar w:fldCharType="end"/>
        </w:r>
      </w:p>
    </w:sdtContent>
  </w:sdt>
  <w:p w14:paraId="4ADF17D1" w14:textId="77777777" w:rsidR="00687013" w:rsidRDefault="00687013" w:rsidP="006870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C2038" w14:textId="77777777" w:rsidR="0042218D" w:rsidRDefault="0042218D" w:rsidP="00255E1E">
      <w:r>
        <w:separator/>
      </w:r>
    </w:p>
  </w:footnote>
  <w:footnote w:type="continuationSeparator" w:id="0">
    <w:p w14:paraId="1C8FD092" w14:textId="77777777" w:rsidR="0042218D" w:rsidRDefault="0042218D" w:rsidP="00255E1E">
      <w:r>
        <w:continuationSeparator/>
      </w:r>
    </w:p>
  </w:footnote>
  <w:footnote w:id="1">
    <w:p w14:paraId="71694D38" w14:textId="77777777" w:rsidR="00255E1E" w:rsidRPr="00541E48" w:rsidRDefault="00255E1E" w:rsidP="005C4A65">
      <w:pPr>
        <w:pStyle w:val="NormalWeb"/>
        <w:spacing w:before="0" w:beforeAutospacing="0" w:after="0" w:afterAutospacing="0"/>
        <w:jc w:val="both"/>
        <w:rPr>
          <w:rFonts w:ascii="Arial" w:hAnsi="Arial" w:cs="Arial"/>
          <w:sz w:val="16"/>
          <w:szCs w:val="16"/>
        </w:rPr>
      </w:pPr>
      <w:r w:rsidRPr="00541E48">
        <w:rPr>
          <w:rStyle w:val="FootnoteReference"/>
          <w:rFonts w:ascii="Arial" w:hAnsi="Arial" w:cs="Arial"/>
          <w:sz w:val="16"/>
          <w:szCs w:val="16"/>
        </w:rPr>
        <w:footnoteRef/>
      </w:r>
      <w:r w:rsidRPr="00541E48">
        <w:rPr>
          <w:rFonts w:ascii="Arial" w:hAnsi="Arial" w:cs="Arial"/>
          <w:sz w:val="16"/>
          <w:szCs w:val="16"/>
        </w:rPr>
        <w:t xml:space="preserve"> European Commission (EC), (2021a), Commission sets course for an open, sustainable and assertive EU trade policy, Press release IP/21/644, Brussels (18 February 202).</w:t>
      </w:r>
    </w:p>
  </w:footnote>
  <w:footnote w:id="2">
    <w:p w14:paraId="69C66988" w14:textId="77777777" w:rsidR="00214729" w:rsidRPr="00541E48" w:rsidRDefault="00214729" w:rsidP="005C4A65">
      <w:pPr>
        <w:pStyle w:val="FootnoteText"/>
        <w:jc w:val="both"/>
        <w:rPr>
          <w:rFonts w:ascii="Arial" w:hAnsi="Arial" w:cs="Arial"/>
          <w:sz w:val="16"/>
          <w:szCs w:val="16"/>
          <w:lang w:val="en-US"/>
        </w:rPr>
      </w:pPr>
      <w:r w:rsidRPr="00541E48">
        <w:rPr>
          <w:rStyle w:val="FootnoteReference"/>
          <w:rFonts w:ascii="Arial" w:hAnsi="Arial" w:cs="Arial"/>
          <w:sz w:val="16"/>
          <w:szCs w:val="16"/>
        </w:rPr>
        <w:footnoteRef/>
      </w:r>
      <w:r w:rsidRPr="00541E48">
        <w:rPr>
          <w:rFonts w:ascii="Arial" w:hAnsi="Arial" w:cs="Arial"/>
          <w:sz w:val="16"/>
          <w:szCs w:val="16"/>
        </w:rPr>
        <w:t xml:space="preserve"> </w:t>
      </w:r>
      <w:r w:rsidRPr="00541E48">
        <w:rPr>
          <w:rFonts w:ascii="Arial" w:hAnsi="Arial" w:cs="Arial"/>
          <w:sz w:val="16"/>
          <w:szCs w:val="16"/>
          <w:lang w:val="en-US"/>
        </w:rPr>
        <w:t xml:space="preserve">European Commission (EC), (2021b) Trade Policy review- An Open, Sustainable, and Assertive Trade Policy, Communication from the Commission to the European Parliament, The Council, The European Economic and Social Committee and the Committee of the Regions, COM (2021) 66 final, Brussels (18 February 2021).  </w:t>
      </w:r>
    </w:p>
  </w:footnote>
  <w:footnote w:id="3">
    <w:p w14:paraId="5F24682B" w14:textId="5606527C" w:rsidR="00FC07D6" w:rsidRPr="00541E48" w:rsidRDefault="00FC07D6" w:rsidP="005C4A65">
      <w:pPr>
        <w:pStyle w:val="FootnoteText"/>
        <w:jc w:val="both"/>
        <w:rPr>
          <w:rFonts w:ascii="Arial" w:hAnsi="Arial" w:cs="Arial"/>
          <w:sz w:val="16"/>
          <w:szCs w:val="16"/>
        </w:rPr>
      </w:pPr>
      <w:r w:rsidRPr="00541E48">
        <w:rPr>
          <w:rStyle w:val="FootnoteReference"/>
          <w:rFonts w:ascii="Arial" w:hAnsi="Arial" w:cs="Arial"/>
          <w:sz w:val="16"/>
          <w:szCs w:val="16"/>
        </w:rPr>
        <w:footnoteRef/>
      </w:r>
      <w:r w:rsidRPr="00541E48">
        <w:rPr>
          <w:rFonts w:ascii="Arial" w:hAnsi="Arial" w:cs="Arial"/>
          <w:sz w:val="16"/>
          <w:szCs w:val="16"/>
        </w:rPr>
        <w:t xml:space="preserve"> European Union External Action Service (EEAS) (2024), Africa and the EU, Strategic Communication (29 November 2024)</w:t>
      </w:r>
      <w:r w:rsidR="003C0262" w:rsidRPr="00541E48">
        <w:rPr>
          <w:rFonts w:ascii="Arial" w:hAnsi="Arial" w:cs="Arial"/>
          <w:sz w:val="16"/>
          <w:szCs w:val="16"/>
        </w:rPr>
        <w:t>,</w:t>
      </w:r>
      <w:r w:rsidR="005C4A65">
        <w:rPr>
          <w:rFonts w:ascii="Arial" w:hAnsi="Arial" w:cs="Arial"/>
          <w:sz w:val="16"/>
          <w:szCs w:val="16"/>
        </w:rPr>
        <w:t xml:space="preserve"> </w:t>
      </w:r>
      <w:r w:rsidR="005C4A65" w:rsidRPr="00541E48">
        <w:rPr>
          <w:rFonts w:ascii="Arial" w:hAnsi="Arial" w:cs="Arial"/>
          <w:sz w:val="16"/>
          <w:szCs w:val="16"/>
        </w:rPr>
        <w:t xml:space="preserve">accessed </w:t>
      </w:r>
      <w:r w:rsidR="005C4A65">
        <w:rPr>
          <w:rFonts w:ascii="Arial" w:hAnsi="Arial" w:cs="Arial"/>
          <w:sz w:val="16"/>
          <w:szCs w:val="16"/>
        </w:rPr>
        <w:t>27</w:t>
      </w:r>
      <w:r w:rsidR="005C4A65" w:rsidRPr="00541E48">
        <w:rPr>
          <w:rFonts w:ascii="Arial" w:hAnsi="Arial" w:cs="Arial"/>
          <w:sz w:val="16"/>
          <w:szCs w:val="16"/>
        </w:rPr>
        <w:t xml:space="preserve"> February, 202</w:t>
      </w:r>
      <w:r w:rsidR="005C4A65">
        <w:rPr>
          <w:rFonts w:ascii="Arial" w:hAnsi="Arial" w:cs="Arial"/>
          <w:sz w:val="16"/>
          <w:szCs w:val="16"/>
        </w:rPr>
        <w:t xml:space="preserve">, </w:t>
      </w:r>
      <w:r w:rsidR="003C0262" w:rsidRPr="00541E48">
        <w:rPr>
          <w:rFonts w:ascii="Arial" w:hAnsi="Arial" w:cs="Arial"/>
          <w:sz w:val="16"/>
          <w:szCs w:val="16"/>
        </w:rPr>
        <w:t xml:space="preserve"> </w:t>
      </w:r>
      <w:hyperlink r:id="rId1" w:history="1">
        <w:r w:rsidRPr="00541E48">
          <w:rPr>
            <w:rStyle w:val="Hyperlink"/>
            <w:rFonts w:ascii="Arial" w:hAnsi="Arial" w:cs="Arial"/>
            <w:sz w:val="16"/>
            <w:szCs w:val="16"/>
          </w:rPr>
          <w:t>https://www.eeas.europa.eu/eeas/africa-and-eu_en</w:t>
        </w:r>
      </w:hyperlink>
      <w:r w:rsidRPr="00541E48">
        <w:rPr>
          <w:rFonts w:ascii="Arial" w:hAnsi="Arial" w:cs="Arial"/>
          <w:sz w:val="16"/>
          <w:szCs w:val="16"/>
        </w:rPr>
        <w:t xml:space="preserve"> </w:t>
      </w:r>
    </w:p>
  </w:footnote>
  <w:footnote w:id="4">
    <w:p w14:paraId="0B5AF33E" w14:textId="07263F22" w:rsidR="000A09B8" w:rsidRPr="00541E48" w:rsidRDefault="000A09B8" w:rsidP="005C4A65">
      <w:pPr>
        <w:pStyle w:val="FootnoteText"/>
        <w:jc w:val="both"/>
        <w:rPr>
          <w:rFonts w:ascii="Arial" w:hAnsi="Arial" w:cs="Arial"/>
          <w:sz w:val="16"/>
          <w:szCs w:val="16"/>
        </w:rPr>
      </w:pPr>
      <w:r w:rsidRPr="00541E48">
        <w:rPr>
          <w:rStyle w:val="FootnoteReference"/>
          <w:rFonts w:ascii="Arial" w:hAnsi="Arial" w:cs="Arial"/>
          <w:sz w:val="16"/>
          <w:szCs w:val="16"/>
        </w:rPr>
        <w:footnoteRef/>
      </w:r>
      <w:r w:rsidRPr="00541E48">
        <w:rPr>
          <w:rFonts w:ascii="Arial" w:hAnsi="Arial" w:cs="Arial"/>
          <w:sz w:val="16"/>
          <w:szCs w:val="16"/>
        </w:rPr>
        <w:t xml:space="preserve"> European Commission (EC),(2024), ‘Southern Africa Development Community (SADC)’</w:t>
      </w:r>
      <w:r w:rsidR="00534764" w:rsidRPr="00541E48">
        <w:rPr>
          <w:rFonts w:ascii="Arial" w:hAnsi="Arial" w:cs="Arial"/>
          <w:sz w:val="16"/>
          <w:szCs w:val="16"/>
        </w:rPr>
        <w:t>, 21 May 2024,</w:t>
      </w:r>
      <w:r w:rsidR="003C0262" w:rsidRPr="00541E48">
        <w:rPr>
          <w:rFonts w:ascii="Arial" w:hAnsi="Arial" w:cs="Arial"/>
          <w:sz w:val="16"/>
          <w:szCs w:val="16"/>
        </w:rPr>
        <w:t xml:space="preserve"> </w:t>
      </w:r>
      <w:hyperlink r:id="rId2" w:history="1">
        <w:r w:rsidR="00534764" w:rsidRPr="00541E48">
          <w:rPr>
            <w:rStyle w:val="Hyperlink"/>
            <w:rFonts w:ascii="Arial" w:hAnsi="Arial" w:cs="Arial"/>
            <w:sz w:val="16"/>
            <w:szCs w:val="16"/>
          </w:rPr>
          <w:t>https://policy.trade.ec.europa.eu/eu-trade-relationships-country-and-region/countries-and-regions/southern-neighbourhood_en</w:t>
        </w:r>
      </w:hyperlink>
      <w:r w:rsidR="00534764" w:rsidRPr="00541E48">
        <w:rPr>
          <w:rFonts w:ascii="Arial" w:hAnsi="Arial" w:cs="Arial"/>
          <w:sz w:val="16"/>
          <w:szCs w:val="16"/>
        </w:rPr>
        <w:t>, accessed 26 February, 2025.</w:t>
      </w:r>
    </w:p>
  </w:footnote>
  <w:footnote w:id="5">
    <w:p w14:paraId="1F0F8CA8" w14:textId="28CD7895" w:rsidR="0082158B" w:rsidRPr="00F03D38" w:rsidRDefault="0082158B" w:rsidP="005C4A65">
      <w:pPr>
        <w:pStyle w:val="FootnoteText"/>
        <w:jc w:val="both"/>
        <w:rPr>
          <w:rFonts w:ascii="Arial" w:hAnsi="Arial" w:cs="Arial"/>
          <w:sz w:val="17"/>
          <w:szCs w:val="17"/>
        </w:rPr>
      </w:pPr>
      <w:r w:rsidRPr="00541E48">
        <w:rPr>
          <w:rStyle w:val="FootnoteReference"/>
          <w:rFonts w:ascii="Arial" w:hAnsi="Arial" w:cs="Arial"/>
          <w:sz w:val="16"/>
          <w:szCs w:val="16"/>
        </w:rPr>
        <w:footnoteRef/>
      </w:r>
      <w:r w:rsidRPr="00541E48">
        <w:rPr>
          <w:rFonts w:ascii="Arial" w:hAnsi="Arial" w:cs="Arial"/>
          <w:sz w:val="16"/>
          <w:szCs w:val="16"/>
        </w:rPr>
        <w:t xml:space="preserve"> European Commission (EC),(2024), ‘Southern Neighbourhood’, 21 May 2024,</w:t>
      </w:r>
      <w:r w:rsidR="003C0262" w:rsidRPr="00541E48">
        <w:rPr>
          <w:rFonts w:ascii="Arial" w:hAnsi="Arial" w:cs="Arial"/>
          <w:sz w:val="16"/>
          <w:szCs w:val="16"/>
        </w:rPr>
        <w:t xml:space="preserve"> </w:t>
      </w:r>
      <w:hyperlink r:id="rId3" w:history="1">
        <w:r w:rsidRPr="00541E48">
          <w:rPr>
            <w:rStyle w:val="Hyperlink"/>
            <w:rFonts w:ascii="Arial" w:hAnsi="Arial" w:cs="Arial"/>
            <w:sz w:val="16"/>
            <w:szCs w:val="16"/>
          </w:rPr>
          <w:t>https://policy.trade.ec.europa.eu/eu-trade-relationships-country-and-region/countries-and-regions/southern-neighbourhood_en</w:t>
        </w:r>
      </w:hyperlink>
      <w:r w:rsidR="00E77460" w:rsidRPr="00541E48">
        <w:rPr>
          <w:rFonts w:ascii="Arial" w:hAnsi="Arial" w:cs="Arial"/>
          <w:sz w:val="16"/>
          <w:szCs w:val="16"/>
        </w:rPr>
        <w:t>, accessed 25 February, 2025.</w:t>
      </w:r>
      <w:r w:rsidR="00E77460" w:rsidRPr="00F03D38">
        <w:rPr>
          <w:rFonts w:ascii="Arial" w:hAnsi="Arial" w:cs="Arial"/>
          <w:sz w:val="17"/>
          <w:szCs w:val="17"/>
        </w:rPr>
        <w:t xml:space="preserve"> </w:t>
      </w:r>
    </w:p>
  </w:footnote>
  <w:footnote w:id="6">
    <w:p w14:paraId="57D4A40F" w14:textId="519D5E96" w:rsidR="00F13400" w:rsidRPr="005C4A65" w:rsidRDefault="00F13400" w:rsidP="005C4A65">
      <w:pPr>
        <w:pStyle w:val="FootnoteText"/>
        <w:jc w:val="both"/>
        <w:rPr>
          <w:rFonts w:ascii="Arial" w:hAnsi="Arial" w:cs="Arial"/>
          <w:sz w:val="18"/>
          <w:szCs w:val="18"/>
          <w:lang w:val="en-US"/>
        </w:rPr>
      </w:pPr>
      <w:r w:rsidRPr="005C4A65">
        <w:rPr>
          <w:rStyle w:val="FootnoteReference"/>
          <w:rFonts w:ascii="Arial" w:hAnsi="Arial" w:cs="Arial"/>
          <w:sz w:val="16"/>
          <w:szCs w:val="16"/>
        </w:rPr>
        <w:footnoteRef/>
      </w:r>
      <w:r w:rsidRPr="005C4A65">
        <w:rPr>
          <w:rFonts w:ascii="Arial" w:hAnsi="Arial" w:cs="Arial"/>
          <w:sz w:val="16"/>
          <w:szCs w:val="16"/>
        </w:rPr>
        <w:t xml:space="preserve"> European Commission (EC),</w:t>
      </w:r>
      <w:r w:rsidR="000F7056" w:rsidRPr="005C4A65">
        <w:rPr>
          <w:rFonts w:ascii="Arial" w:hAnsi="Arial" w:cs="Arial"/>
          <w:sz w:val="16"/>
          <w:szCs w:val="16"/>
        </w:rPr>
        <w:t xml:space="preserve"> </w:t>
      </w:r>
      <w:r w:rsidRPr="005C4A65">
        <w:rPr>
          <w:rFonts w:ascii="Arial" w:hAnsi="Arial" w:cs="Arial"/>
          <w:sz w:val="16"/>
          <w:szCs w:val="16"/>
        </w:rPr>
        <w:t xml:space="preserve">(no date) ‘A Global Europe’, Commission’s priorities; Von der Leyen (2024) Political Guidelines for the Next European Commission 2024-2029, Strasbourg (18 July 2024).  </w:t>
      </w:r>
    </w:p>
  </w:footnote>
  <w:footnote w:id="7">
    <w:p w14:paraId="6BA518F5" w14:textId="28325EB0" w:rsidR="00541E48" w:rsidRPr="005C4A65" w:rsidRDefault="00541E48" w:rsidP="005C4A65">
      <w:pPr>
        <w:pStyle w:val="FootnoteText"/>
        <w:jc w:val="both"/>
        <w:rPr>
          <w:rFonts w:ascii="Arial" w:hAnsi="Arial" w:cs="Arial"/>
        </w:rPr>
      </w:pPr>
      <w:r w:rsidRPr="005C4A65">
        <w:rPr>
          <w:rStyle w:val="FootnoteReference"/>
          <w:rFonts w:ascii="Arial" w:hAnsi="Arial" w:cs="Arial"/>
          <w:sz w:val="16"/>
          <w:szCs w:val="16"/>
        </w:rPr>
        <w:footnoteRef/>
      </w:r>
      <w:r w:rsidRPr="00417A30">
        <w:rPr>
          <w:rFonts w:ascii="Arial" w:hAnsi="Arial" w:cs="Arial"/>
          <w:sz w:val="16"/>
          <w:szCs w:val="16"/>
          <w:lang w:val="nl-NL"/>
        </w:rPr>
        <w:t xml:space="preserve"> </w:t>
      </w:r>
      <w:r w:rsidR="005C4A65" w:rsidRPr="00417A30">
        <w:rPr>
          <w:rFonts w:ascii="Arial" w:hAnsi="Arial" w:cs="Arial"/>
          <w:color w:val="222222"/>
          <w:sz w:val="16"/>
          <w:szCs w:val="16"/>
          <w:shd w:val="clear" w:color="auto" w:fill="FFFFFF"/>
          <w:lang w:val="nl-NL"/>
        </w:rPr>
        <w:t xml:space="preserve">Demena, B.A. </w:t>
      </w:r>
      <w:proofErr w:type="spellStart"/>
      <w:r w:rsidR="005C4A65" w:rsidRPr="00417A30">
        <w:rPr>
          <w:rFonts w:ascii="Arial" w:hAnsi="Arial" w:cs="Arial"/>
          <w:color w:val="222222"/>
          <w:sz w:val="16"/>
          <w:szCs w:val="16"/>
          <w:shd w:val="clear" w:color="auto" w:fill="FFFFFF"/>
          <w:lang w:val="nl-NL"/>
        </w:rPr>
        <w:t>and</w:t>
      </w:r>
      <w:proofErr w:type="spellEnd"/>
      <w:r w:rsidR="005C4A65" w:rsidRPr="00417A30">
        <w:rPr>
          <w:rFonts w:ascii="Arial" w:hAnsi="Arial" w:cs="Arial"/>
          <w:color w:val="222222"/>
          <w:sz w:val="16"/>
          <w:szCs w:val="16"/>
          <w:shd w:val="clear" w:color="auto" w:fill="FFFFFF"/>
          <w:lang w:val="nl-NL"/>
        </w:rPr>
        <w:t xml:space="preserve"> van Bergeijk, P.A., </w:t>
      </w:r>
      <w:r w:rsidR="00417A30" w:rsidRPr="00417A30">
        <w:rPr>
          <w:rFonts w:ascii="Arial" w:hAnsi="Arial" w:cs="Arial"/>
          <w:color w:val="222222"/>
          <w:sz w:val="16"/>
          <w:szCs w:val="16"/>
          <w:shd w:val="clear" w:color="auto" w:fill="FFFFFF"/>
          <w:lang w:val="nl-NL"/>
        </w:rPr>
        <w:t>(</w:t>
      </w:r>
      <w:r w:rsidR="005C4A65" w:rsidRPr="00417A30">
        <w:rPr>
          <w:rFonts w:ascii="Arial" w:hAnsi="Arial" w:cs="Arial"/>
          <w:color w:val="222222"/>
          <w:sz w:val="16"/>
          <w:szCs w:val="16"/>
          <w:shd w:val="clear" w:color="auto" w:fill="FFFFFF"/>
          <w:lang w:val="nl-NL"/>
        </w:rPr>
        <w:t>2022</w:t>
      </w:r>
      <w:r w:rsidR="00417A30" w:rsidRPr="00417A30">
        <w:rPr>
          <w:rFonts w:ascii="Arial" w:hAnsi="Arial" w:cs="Arial"/>
          <w:color w:val="222222"/>
          <w:sz w:val="16"/>
          <w:szCs w:val="16"/>
          <w:shd w:val="clear" w:color="auto" w:fill="FFFFFF"/>
          <w:lang w:val="nl-NL"/>
        </w:rPr>
        <w:t>)</w:t>
      </w:r>
      <w:r w:rsidR="005C4A65" w:rsidRPr="00417A30">
        <w:rPr>
          <w:rFonts w:ascii="Arial" w:hAnsi="Arial" w:cs="Arial"/>
          <w:color w:val="222222"/>
          <w:sz w:val="16"/>
          <w:szCs w:val="16"/>
          <w:shd w:val="clear" w:color="auto" w:fill="FFFFFF"/>
          <w:lang w:val="nl-NL"/>
        </w:rPr>
        <w:t xml:space="preserve">. </w:t>
      </w:r>
      <w:r w:rsidR="005C4A65" w:rsidRPr="005C4A65">
        <w:rPr>
          <w:rFonts w:ascii="Arial" w:hAnsi="Arial" w:cs="Arial"/>
          <w:color w:val="222222"/>
          <w:sz w:val="16"/>
          <w:szCs w:val="16"/>
          <w:shd w:val="clear" w:color="auto" w:fill="FFFFFF"/>
        </w:rPr>
        <w:t xml:space="preserve">Trade and investment in East Africa: </w:t>
      </w:r>
      <w:r w:rsidR="005C4A65" w:rsidRPr="00417A30">
        <w:rPr>
          <w:rFonts w:ascii="Arial" w:hAnsi="Arial" w:cs="Arial"/>
          <w:color w:val="222222"/>
          <w:sz w:val="16"/>
          <w:szCs w:val="16"/>
          <w:shd w:val="clear" w:color="auto" w:fill="FFFFFF"/>
        </w:rPr>
        <w:t>Prospects, Challenges and Pathways to Sustainability</w:t>
      </w:r>
      <w:r w:rsidR="005C4A65" w:rsidRPr="005C4A65">
        <w:rPr>
          <w:rFonts w:ascii="Arial" w:hAnsi="Arial" w:cs="Arial"/>
          <w:color w:val="222222"/>
          <w:sz w:val="16"/>
          <w:szCs w:val="16"/>
          <w:shd w:val="clear" w:color="auto" w:fill="FFFFFF"/>
        </w:rPr>
        <w:t>. Singapore: Springer Nature Singapore.</w:t>
      </w:r>
    </w:p>
  </w:footnote>
  <w:footnote w:id="8">
    <w:p w14:paraId="47AB610F" w14:textId="5AC020B6" w:rsidR="00541E48" w:rsidRPr="00541E48" w:rsidRDefault="00541E48" w:rsidP="005C4A65">
      <w:pPr>
        <w:pStyle w:val="FootnoteText"/>
        <w:jc w:val="both"/>
        <w:rPr>
          <w:rFonts w:ascii="Arial" w:hAnsi="Arial" w:cs="Arial"/>
          <w:lang w:val="en-US"/>
        </w:rPr>
      </w:pPr>
      <w:r w:rsidRPr="005C4A65">
        <w:rPr>
          <w:rStyle w:val="FootnoteReference"/>
          <w:rFonts w:ascii="Arial" w:hAnsi="Arial" w:cs="Arial"/>
          <w:sz w:val="16"/>
          <w:szCs w:val="16"/>
        </w:rPr>
        <w:footnoteRef/>
      </w:r>
      <w:r w:rsidRPr="005C4A65">
        <w:rPr>
          <w:rFonts w:ascii="Arial" w:hAnsi="Arial" w:cs="Arial"/>
          <w:sz w:val="16"/>
          <w:szCs w:val="16"/>
        </w:rPr>
        <w:t xml:space="preserve"> LAHAR, L., B.A. DEMENA AND P.A.G. BERGEIJK VAN (2023) 'Non</w:t>
      </w:r>
      <w:r w:rsidRPr="005C4A65">
        <w:rPr>
          <w:rFonts w:ascii="Cambria Math" w:hAnsi="Cambria Math" w:cs="Cambria Math"/>
          <w:sz w:val="16"/>
          <w:szCs w:val="16"/>
        </w:rPr>
        <w:t>‐</w:t>
      </w:r>
      <w:r w:rsidRPr="005C4A65">
        <w:rPr>
          <w:rFonts w:ascii="Arial" w:hAnsi="Arial" w:cs="Arial"/>
          <w:sz w:val="16"/>
          <w:szCs w:val="16"/>
        </w:rPr>
        <w:t>trade in the MENA revisited: systematic review and gravity analysis' ISS working papers. General series, no. 714, International Institute of Social Studies (ISS), Den Haag.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41AF"/>
    <w:multiLevelType w:val="hybridMultilevel"/>
    <w:tmpl w:val="48D2072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F122158"/>
    <w:multiLevelType w:val="hybridMultilevel"/>
    <w:tmpl w:val="BC84B458"/>
    <w:lvl w:ilvl="0" w:tplc="B8EA8F2A">
      <w:numFmt w:val="bullet"/>
      <w:lvlText w:val="-"/>
      <w:lvlJc w:val="left"/>
      <w:pPr>
        <w:ind w:left="720" w:hanging="360"/>
      </w:pPr>
      <w:rPr>
        <w:rFonts w:ascii="Calibri" w:eastAsiaTheme="minorHAnsi" w:hAnsi="Calibri" w:cs="Calibri" w:hint="default"/>
        <w:b w:val="0"/>
        <w:i/>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DA2CF1"/>
    <w:multiLevelType w:val="hybridMultilevel"/>
    <w:tmpl w:val="BDEC9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CF6F2A"/>
    <w:multiLevelType w:val="multilevel"/>
    <w:tmpl w:val="FB6A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A7C76"/>
    <w:multiLevelType w:val="multilevel"/>
    <w:tmpl w:val="0C9C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739BE"/>
    <w:multiLevelType w:val="hybridMultilevel"/>
    <w:tmpl w:val="C26C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688512">
    <w:abstractNumId w:val="4"/>
  </w:num>
  <w:num w:numId="2" w16cid:durableId="1833445596">
    <w:abstractNumId w:val="2"/>
  </w:num>
  <w:num w:numId="3" w16cid:durableId="248858371">
    <w:abstractNumId w:val="0"/>
  </w:num>
  <w:num w:numId="4" w16cid:durableId="298540796">
    <w:abstractNumId w:val="3"/>
  </w:num>
  <w:num w:numId="5" w16cid:durableId="1397899824">
    <w:abstractNumId w:val="5"/>
  </w:num>
  <w:num w:numId="6" w16cid:durableId="1747337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1E"/>
    <w:rsid w:val="00002B42"/>
    <w:rsid w:val="0001203E"/>
    <w:rsid w:val="0001267C"/>
    <w:rsid w:val="00021089"/>
    <w:rsid w:val="00026857"/>
    <w:rsid w:val="000310C3"/>
    <w:rsid w:val="000321B9"/>
    <w:rsid w:val="00046354"/>
    <w:rsid w:val="00064B38"/>
    <w:rsid w:val="00066DC4"/>
    <w:rsid w:val="00086A5A"/>
    <w:rsid w:val="00091128"/>
    <w:rsid w:val="000927D2"/>
    <w:rsid w:val="00093EB9"/>
    <w:rsid w:val="00096348"/>
    <w:rsid w:val="000A06AC"/>
    <w:rsid w:val="000A09B8"/>
    <w:rsid w:val="000A1213"/>
    <w:rsid w:val="000B1CCC"/>
    <w:rsid w:val="000B6A66"/>
    <w:rsid w:val="000D1207"/>
    <w:rsid w:val="000E7F91"/>
    <w:rsid w:val="000F0297"/>
    <w:rsid w:val="000F1061"/>
    <w:rsid w:val="000F7056"/>
    <w:rsid w:val="0010135C"/>
    <w:rsid w:val="00106502"/>
    <w:rsid w:val="001066D5"/>
    <w:rsid w:val="0010737C"/>
    <w:rsid w:val="001106EE"/>
    <w:rsid w:val="00117228"/>
    <w:rsid w:val="0012196B"/>
    <w:rsid w:val="00121ED2"/>
    <w:rsid w:val="0012284E"/>
    <w:rsid w:val="00126B0F"/>
    <w:rsid w:val="00135389"/>
    <w:rsid w:val="0015013C"/>
    <w:rsid w:val="00154F65"/>
    <w:rsid w:val="001618C5"/>
    <w:rsid w:val="001644EB"/>
    <w:rsid w:val="00172091"/>
    <w:rsid w:val="001767A3"/>
    <w:rsid w:val="0018016B"/>
    <w:rsid w:val="001877E5"/>
    <w:rsid w:val="00193E23"/>
    <w:rsid w:val="001A3933"/>
    <w:rsid w:val="001C34A2"/>
    <w:rsid w:val="001C70C0"/>
    <w:rsid w:val="001C72BC"/>
    <w:rsid w:val="001D1CCC"/>
    <w:rsid w:val="001F776D"/>
    <w:rsid w:val="002131C8"/>
    <w:rsid w:val="00214729"/>
    <w:rsid w:val="00215409"/>
    <w:rsid w:val="00216C5B"/>
    <w:rsid w:val="002215AE"/>
    <w:rsid w:val="00223459"/>
    <w:rsid w:val="002350B3"/>
    <w:rsid w:val="00242846"/>
    <w:rsid w:val="00250E48"/>
    <w:rsid w:val="00253A86"/>
    <w:rsid w:val="00255E1E"/>
    <w:rsid w:val="00261C0C"/>
    <w:rsid w:val="00263E2D"/>
    <w:rsid w:val="00266561"/>
    <w:rsid w:val="00272BDF"/>
    <w:rsid w:val="00281863"/>
    <w:rsid w:val="00294498"/>
    <w:rsid w:val="002B08E0"/>
    <w:rsid w:val="002B25BC"/>
    <w:rsid w:val="002B3089"/>
    <w:rsid w:val="002B52FA"/>
    <w:rsid w:val="002D24B4"/>
    <w:rsid w:val="002D5EA8"/>
    <w:rsid w:val="002F57B8"/>
    <w:rsid w:val="00302786"/>
    <w:rsid w:val="00304237"/>
    <w:rsid w:val="003053FF"/>
    <w:rsid w:val="00306466"/>
    <w:rsid w:val="00311448"/>
    <w:rsid w:val="00313336"/>
    <w:rsid w:val="00321FA9"/>
    <w:rsid w:val="00323096"/>
    <w:rsid w:val="00327859"/>
    <w:rsid w:val="00332638"/>
    <w:rsid w:val="003362D9"/>
    <w:rsid w:val="003470FA"/>
    <w:rsid w:val="00362061"/>
    <w:rsid w:val="0037639A"/>
    <w:rsid w:val="003A2208"/>
    <w:rsid w:val="003A4121"/>
    <w:rsid w:val="003A4480"/>
    <w:rsid w:val="003A67B2"/>
    <w:rsid w:val="003B7F47"/>
    <w:rsid w:val="003C0262"/>
    <w:rsid w:val="003C60E3"/>
    <w:rsid w:val="003D27C3"/>
    <w:rsid w:val="003D36CE"/>
    <w:rsid w:val="003D6848"/>
    <w:rsid w:val="003E17D2"/>
    <w:rsid w:val="003E4521"/>
    <w:rsid w:val="003F689D"/>
    <w:rsid w:val="004139C7"/>
    <w:rsid w:val="00413C5E"/>
    <w:rsid w:val="004144FC"/>
    <w:rsid w:val="00416426"/>
    <w:rsid w:val="00417A30"/>
    <w:rsid w:val="0042218D"/>
    <w:rsid w:val="00422E14"/>
    <w:rsid w:val="00426815"/>
    <w:rsid w:val="00437522"/>
    <w:rsid w:val="00441B11"/>
    <w:rsid w:val="0044723B"/>
    <w:rsid w:val="00474391"/>
    <w:rsid w:val="00476A5F"/>
    <w:rsid w:val="00487C2C"/>
    <w:rsid w:val="004902A8"/>
    <w:rsid w:val="004B63CA"/>
    <w:rsid w:val="004B7356"/>
    <w:rsid w:val="004D10AA"/>
    <w:rsid w:val="004D1377"/>
    <w:rsid w:val="004D1F09"/>
    <w:rsid w:val="004D5310"/>
    <w:rsid w:val="0050322A"/>
    <w:rsid w:val="00513639"/>
    <w:rsid w:val="00534764"/>
    <w:rsid w:val="0053564E"/>
    <w:rsid w:val="00541E48"/>
    <w:rsid w:val="00553F3C"/>
    <w:rsid w:val="00556959"/>
    <w:rsid w:val="00573579"/>
    <w:rsid w:val="00573655"/>
    <w:rsid w:val="00573BE8"/>
    <w:rsid w:val="005747E4"/>
    <w:rsid w:val="00582ED9"/>
    <w:rsid w:val="00584C42"/>
    <w:rsid w:val="005946EE"/>
    <w:rsid w:val="005A0C1F"/>
    <w:rsid w:val="005A0FFF"/>
    <w:rsid w:val="005A21D3"/>
    <w:rsid w:val="005A234D"/>
    <w:rsid w:val="005A5577"/>
    <w:rsid w:val="005B5BBC"/>
    <w:rsid w:val="005B7AD9"/>
    <w:rsid w:val="005C3A86"/>
    <w:rsid w:val="005C3CE9"/>
    <w:rsid w:val="005C4707"/>
    <w:rsid w:val="005C4A65"/>
    <w:rsid w:val="005D0970"/>
    <w:rsid w:val="005D0DCA"/>
    <w:rsid w:val="005E000E"/>
    <w:rsid w:val="005F072A"/>
    <w:rsid w:val="005F50D1"/>
    <w:rsid w:val="00602389"/>
    <w:rsid w:val="00610CF6"/>
    <w:rsid w:val="00612C66"/>
    <w:rsid w:val="00615C37"/>
    <w:rsid w:val="00634F72"/>
    <w:rsid w:val="00644057"/>
    <w:rsid w:val="006503DC"/>
    <w:rsid w:val="00673D7C"/>
    <w:rsid w:val="00687013"/>
    <w:rsid w:val="0068768C"/>
    <w:rsid w:val="006B3F34"/>
    <w:rsid w:val="006C007A"/>
    <w:rsid w:val="006C0B48"/>
    <w:rsid w:val="006C7669"/>
    <w:rsid w:val="006E1CE8"/>
    <w:rsid w:val="006E24BE"/>
    <w:rsid w:val="00735673"/>
    <w:rsid w:val="00736961"/>
    <w:rsid w:val="0074258B"/>
    <w:rsid w:val="007429DA"/>
    <w:rsid w:val="00746CB3"/>
    <w:rsid w:val="0076032D"/>
    <w:rsid w:val="0077704B"/>
    <w:rsid w:val="00782F44"/>
    <w:rsid w:val="00790D64"/>
    <w:rsid w:val="00797FC7"/>
    <w:rsid w:val="007A13CB"/>
    <w:rsid w:val="007B0A6C"/>
    <w:rsid w:val="007B5C0A"/>
    <w:rsid w:val="007E7670"/>
    <w:rsid w:val="007E7CF3"/>
    <w:rsid w:val="007F0FA3"/>
    <w:rsid w:val="007F6C77"/>
    <w:rsid w:val="00800478"/>
    <w:rsid w:val="00812E72"/>
    <w:rsid w:val="008209CC"/>
    <w:rsid w:val="0082158B"/>
    <w:rsid w:val="00834D2A"/>
    <w:rsid w:val="00847BB4"/>
    <w:rsid w:val="00852703"/>
    <w:rsid w:val="008531E1"/>
    <w:rsid w:val="00870FB7"/>
    <w:rsid w:val="00871104"/>
    <w:rsid w:val="008725AB"/>
    <w:rsid w:val="00877988"/>
    <w:rsid w:val="00882CB4"/>
    <w:rsid w:val="0088354D"/>
    <w:rsid w:val="00890C57"/>
    <w:rsid w:val="008A00D1"/>
    <w:rsid w:val="008A1A1B"/>
    <w:rsid w:val="008B5996"/>
    <w:rsid w:val="008C1BF2"/>
    <w:rsid w:val="008D1C39"/>
    <w:rsid w:val="008D5D0D"/>
    <w:rsid w:val="008F2FB7"/>
    <w:rsid w:val="008F5B02"/>
    <w:rsid w:val="00902198"/>
    <w:rsid w:val="00907831"/>
    <w:rsid w:val="009116EE"/>
    <w:rsid w:val="00912BCC"/>
    <w:rsid w:val="00913A21"/>
    <w:rsid w:val="00916053"/>
    <w:rsid w:val="00924829"/>
    <w:rsid w:val="00924EBB"/>
    <w:rsid w:val="00927E8F"/>
    <w:rsid w:val="009454A2"/>
    <w:rsid w:val="00966345"/>
    <w:rsid w:val="00972401"/>
    <w:rsid w:val="009751CD"/>
    <w:rsid w:val="00976FA1"/>
    <w:rsid w:val="00981941"/>
    <w:rsid w:val="00983943"/>
    <w:rsid w:val="009875ED"/>
    <w:rsid w:val="009A7E18"/>
    <w:rsid w:val="009B66D7"/>
    <w:rsid w:val="009B6A3F"/>
    <w:rsid w:val="009D0F56"/>
    <w:rsid w:val="009D3BC6"/>
    <w:rsid w:val="009D7529"/>
    <w:rsid w:val="009E1E69"/>
    <w:rsid w:val="009E66B3"/>
    <w:rsid w:val="009E7F71"/>
    <w:rsid w:val="009E7F78"/>
    <w:rsid w:val="009F0452"/>
    <w:rsid w:val="009F399A"/>
    <w:rsid w:val="009F50B3"/>
    <w:rsid w:val="009F7655"/>
    <w:rsid w:val="00A00C92"/>
    <w:rsid w:val="00A01CDD"/>
    <w:rsid w:val="00A0315B"/>
    <w:rsid w:val="00A12495"/>
    <w:rsid w:val="00A15A80"/>
    <w:rsid w:val="00A16D84"/>
    <w:rsid w:val="00A21E57"/>
    <w:rsid w:val="00A26D7A"/>
    <w:rsid w:val="00A31B27"/>
    <w:rsid w:val="00A352BB"/>
    <w:rsid w:val="00A466B6"/>
    <w:rsid w:val="00A70DD7"/>
    <w:rsid w:val="00A733C6"/>
    <w:rsid w:val="00A90BFD"/>
    <w:rsid w:val="00A94C0B"/>
    <w:rsid w:val="00AB0A79"/>
    <w:rsid w:val="00AB2EC8"/>
    <w:rsid w:val="00AE5319"/>
    <w:rsid w:val="00AF1B46"/>
    <w:rsid w:val="00B0722E"/>
    <w:rsid w:val="00B131FB"/>
    <w:rsid w:val="00B229D0"/>
    <w:rsid w:val="00B25426"/>
    <w:rsid w:val="00B310CD"/>
    <w:rsid w:val="00B33091"/>
    <w:rsid w:val="00B34644"/>
    <w:rsid w:val="00B50B4B"/>
    <w:rsid w:val="00B542B1"/>
    <w:rsid w:val="00B57037"/>
    <w:rsid w:val="00B7479C"/>
    <w:rsid w:val="00B75D22"/>
    <w:rsid w:val="00B765B2"/>
    <w:rsid w:val="00B8005B"/>
    <w:rsid w:val="00B81CDB"/>
    <w:rsid w:val="00B915C9"/>
    <w:rsid w:val="00B94089"/>
    <w:rsid w:val="00B95113"/>
    <w:rsid w:val="00BA3241"/>
    <w:rsid w:val="00BA38CB"/>
    <w:rsid w:val="00BB1B81"/>
    <w:rsid w:val="00BC0EED"/>
    <w:rsid w:val="00BC1C23"/>
    <w:rsid w:val="00BD0EA4"/>
    <w:rsid w:val="00BD6102"/>
    <w:rsid w:val="00BE3131"/>
    <w:rsid w:val="00BE31F8"/>
    <w:rsid w:val="00BE648E"/>
    <w:rsid w:val="00BF529E"/>
    <w:rsid w:val="00C005CD"/>
    <w:rsid w:val="00C0153A"/>
    <w:rsid w:val="00C129B8"/>
    <w:rsid w:val="00C152E5"/>
    <w:rsid w:val="00C17CCE"/>
    <w:rsid w:val="00C24646"/>
    <w:rsid w:val="00C256B8"/>
    <w:rsid w:val="00C34968"/>
    <w:rsid w:val="00C45D06"/>
    <w:rsid w:val="00C66465"/>
    <w:rsid w:val="00C67972"/>
    <w:rsid w:val="00C765DD"/>
    <w:rsid w:val="00C81295"/>
    <w:rsid w:val="00C85AEB"/>
    <w:rsid w:val="00C9723E"/>
    <w:rsid w:val="00CA00AA"/>
    <w:rsid w:val="00CA0DD3"/>
    <w:rsid w:val="00CA2832"/>
    <w:rsid w:val="00CC4602"/>
    <w:rsid w:val="00CE1CE2"/>
    <w:rsid w:val="00CE6079"/>
    <w:rsid w:val="00CE73A4"/>
    <w:rsid w:val="00CF1981"/>
    <w:rsid w:val="00CF4E7D"/>
    <w:rsid w:val="00CF66CA"/>
    <w:rsid w:val="00CF6952"/>
    <w:rsid w:val="00D02CF0"/>
    <w:rsid w:val="00D11246"/>
    <w:rsid w:val="00D1384A"/>
    <w:rsid w:val="00D139B4"/>
    <w:rsid w:val="00D24C7D"/>
    <w:rsid w:val="00D350AE"/>
    <w:rsid w:val="00D3523B"/>
    <w:rsid w:val="00D41F23"/>
    <w:rsid w:val="00D445A3"/>
    <w:rsid w:val="00D500CA"/>
    <w:rsid w:val="00D50909"/>
    <w:rsid w:val="00D7501E"/>
    <w:rsid w:val="00D85B4F"/>
    <w:rsid w:val="00D91F04"/>
    <w:rsid w:val="00DA223D"/>
    <w:rsid w:val="00DC22AE"/>
    <w:rsid w:val="00DC6CF9"/>
    <w:rsid w:val="00DC70CE"/>
    <w:rsid w:val="00DD19B7"/>
    <w:rsid w:val="00DD1ED7"/>
    <w:rsid w:val="00DE0990"/>
    <w:rsid w:val="00DE2705"/>
    <w:rsid w:val="00DE2C76"/>
    <w:rsid w:val="00DE7AC8"/>
    <w:rsid w:val="00DF57F8"/>
    <w:rsid w:val="00E03057"/>
    <w:rsid w:val="00E0468A"/>
    <w:rsid w:val="00E0474F"/>
    <w:rsid w:val="00E0572D"/>
    <w:rsid w:val="00E20996"/>
    <w:rsid w:val="00E2671E"/>
    <w:rsid w:val="00E31C51"/>
    <w:rsid w:val="00E35947"/>
    <w:rsid w:val="00E416F1"/>
    <w:rsid w:val="00E41D39"/>
    <w:rsid w:val="00E42F80"/>
    <w:rsid w:val="00E5257C"/>
    <w:rsid w:val="00E60D20"/>
    <w:rsid w:val="00E643F6"/>
    <w:rsid w:val="00E70A4B"/>
    <w:rsid w:val="00E72496"/>
    <w:rsid w:val="00E77460"/>
    <w:rsid w:val="00E97F87"/>
    <w:rsid w:val="00EB38EA"/>
    <w:rsid w:val="00EB68A7"/>
    <w:rsid w:val="00EB6932"/>
    <w:rsid w:val="00EC6931"/>
    <w:rsid w:val="00EE2A8F"/>
    <w:rsid w:val="00EF0A18"/>
    <w:rsid w:val="00EF579A"/>
    <w:rsid w:val="00EF7F12"/>
    <w:rsid w:val="00F03D38"/>
    <w:rsid w:val="00F104FA"/>
    <w:rsid w:val="00F13400"/>
    <w:rsid w:val="00F14D40"/>
    <w:rsid w:val="00F235D8"/>
    <w:rsid w:val="00F31B28"/>
    <w:rsid w:val="00F355CB"/>
    <w:rsid w:val="00F35644"/>
    <w:rsid w:val="00F36208"/>
    <w:rsid w:val="00F413FF"/>
    <w:rsid w:val="00F430F8"/>
    <w:rsid w:val="00F5684B"/>
    <w:rsid w:val="00F6376A"/>
    <w:rsid w:val="00F66ABF"/>
    <w:rsid w:val="00F754E7"/>
    <w:rsid w:val="00F8533F"/>
    <w:rsid w:val="00F934DB"/>
    <w:rsid w:val="00FA5780"/>
    <w:rsid w:val="00FB0192"/>
    <w:rsid w:val="00FB0CC4"/>
    <w:rsid w:val="00FB1E15"/>
    <w:rsid w:val="00FC07D6"/>
    <w:rsid w:val="00FC087D"/>
    <w:rsid w:val="00FC742F"/>
    <w:rsid w:val="00FE7588"/>
    <w:rsid w:val="00FF33F7"/>
    <w:rsid w:val="00FF5AF7"/>
    <w:rsid w:val="00FF5AF8"/>
    <w:rsid w:val="00FF620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492E76D3"/>
  <w15:chartTrackingRefBased/>
  <w15:docId w15:val="{1A109D78-DB19-0C4E-BD4A-9463451E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4"/>
        <w:lang w:val="en-GB"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74258B"/>
    <w:pPr>
      <w:keepNext/>
      <w:keepLines/>
      <w:jc w:val="both"/>
      <w:textAlignment w:val="baseline"/>
      <w:outlineLvl w:val="0"/>
    </w:pPr>
    <w:rPr>
      <w:rFonts w:eastAsiaTheme="majorEastAsia" w:cstheme="majorBidi"/>
      <w:b/>
      <w:bCs/>
      <w:iCs/>
      <w:color w:val="000000" w:themeColor="text1"/>
      <w:sz w:val="36"/>
      <w:szCs w:val="22"/>
      <w:lang w:val="fr-FR" w:eastAsia="en-GB"/>
    </w:rPr>
  </w:style>
  <w:style w:type="paragraph" w:styleId="Heading2">
    <w:name w:val="heading 2"/>
    <w:basedOn w:val="Normal"/>
    <w:next w:val="Normal"/>
    <w:link w:val="Heading2Char"/>
    <w:autoRedefine/>
    <w:unhideWhenUsed/>
    <w:qFormat/>
    <w:rsid w:val="00C45D06"/>
    <w:pPr>
      <w:keepNext/>
      <w:keepLines/>
      <w:outlineLvl w:val="1"/>
    </w:pPr>
    <w:rPr>
      <w:rFonts w:asciiTheme="majorHAnsi" w:eastAsiaTheme="majorEastAsia" w:hAnsiTheme="majorHAnsi" w:cstheme="majorBidi"/>
      <w:b/>
      <w:bCs/>
      <w:color w:val="3A3A3A" w:themeColor="background2" w:themeShade="40"/>
      <w:sz w:val="28"/>
      <w:szCs w:val="26"/>
      <w:lang w:eastAsia="en-GB"/>
    </w:rPr>
  </w:style>
  <w:style w:type="paragraph" w:styleId="Heading3">
    <w:name w:val="heading 3"/>
    <w:basedOn w:val="Normal"/>
    <w:next w:val="Normal"/>
    <w:link w:val="Heading3Char"/>
    <w:autoRedefine/>
    <w:unhideWhenUsed/>
    <w:qFormat/>
    <w:rsid w:val="00C45D0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pPr>
    <w:rPr>
      <w:rFonts w:asciiTheme="majorHAnsi" w:eastAsiaTheme="majorEastAsia" w:hAnsiTheme="majorHAnsi" w:cstheme="majorBidi"/>
      <w:b/>
      <w:bCs/>
      <w:color w:val="595959" w:themeColor="text1" w:themeTint="A6"/>
      <w:lang w:eastAsia="en-GB"/>
    </w:rPr>
  </w:style>
  <w:style w:type="paragraph" w:styleId="Heading4">
    <w:name w:val="heading 4"/>
    <w:basedOn w:val="Normal"/>
    <w:next w:val="Normal"/>
    <w:link w:val="Heading4Char"/>
    <w:uiPriority w:val="9"/>
    <w:semiHidden/>
    <w:unhideWhenUsed/>
    <w:qFormat/>
    <w:rsid w:val="00255E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5E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5E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5E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5E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5E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58B"/>
    <w:rPr>
      <w:rFonts w:ascii="Cambria" w:eastAsiaTheme="majorEastAsia" w:hAnsi="Cambria" w:cstheme="majorBidi"/>
      <w:b/>
      <w:bCs/>
      <w:iCs/>
      <w:color w:val="000000" w:themeColor="text1"/>
      <w:sz w:val="36"/>
      <w:szCs w:val="22"/>
      <w:lang w:val="fr-FR" w:eastAsia="en-GB"/>
    </w:rPr>
  </w:style>
  <w:style w:type="character" w:customStyle="1" w:styleId="Heading2Char">
    <w:name w:val="Heading 2 Char"/>
    <w:basedOn w:val="DefaultParagraphFont"/>
    <w:link w:val="Heading2"/>
    <w:rsid w:val="00C45D06"/>
    <w:rPr>
      <w:rFonts w:asciiTheme="majorHAnsi" w:eastAsiaTheme="majorEastAsia" w:hAnsiTheme="majorHAnsi" w:cstheme="majorBidi"/>
      <w:b/>
      <w:bCs/>
      <w:color w:val="3A3A3A" w:themeColor="background2" w:themeShade="40"/>
      <w:sz w:val="28"/>
      <w:szCs w:val="26"/>
      <w:lang w:eastAsia="en-GB"/>
    </w:rPr>
  </w:style>
  <w:style w:type="character" w:customStyle="1" w:styleId="Heading3Char">
    <w:name w:val="Heading 3 Char"/>
    <w:basedOn w:val="DefaultParagraphFont"/>
    <w:link w:val="Heading3"/>
    <w:rsid w:val="00C45D06"/>
    <w:rPr>
      <w:rFonts w:asciiTheme="majorHAnsi" w:eastAsiaTheme="majorEastAsia" w:hAnsiTheme="majorHAnsi" w:cstheme="majorBidi"/>
      <w:b/>
      <w:bCs/>
      <w:color w:val="595959" w:themeColor="text1" w:themeTint="A6"/>
      <w:lang w:eastAsia="en-GB"/>
    </w:rPr>
  </w:style>
  <w:style w:type="paragraph" w:styleId="TableofFigures">
    <w:name w:val="table of figures"/>
    <w:aliases w:val="Text Boxes"/>
    <w:basedOn w:val="Normal"/>
    <w:next w:val="Normal"/>
    <w:autoRedefine/>
    <w:uiPriority w:val="99"/>
    <w:unhideWhenUsed/>
    <w:qFormat/>
    <w:rsid w:val="00D41F23"/>
    <w:pPr>
      <w:tabs>
        <w:tab w:val="right" w:leader="dot" w:pos="9016"/>
      </w:tabs>
      <w:suppressAutoHyphens/>
      <w:spacing w:after="60"/>
      <w:ind w:left="480" w:hanging="480"/>
    </w:pPr>
    <w:rPr>
      <w:rFonts w:ascii="Garamond" w:eastAsia="Times New Roman" w:hAnsi="Garamond" w:cstheme="minorHAnsi"/>
      <w:caps/>
      <w:noProof/>
      <w:kern w:val="0"/>
      <w:sz w:val="20"/>
      <w:szCs w:val="20"/>
      <w:lang w:eastAsia="en-GB" w:bidi="ar-SA"/>
      <w14:ligatures w14:val="none"/>
    </w:rPr>
  </w:style>
  <w:style w:type="character" w:customStyle="1" w:styleId="Heading4Char">
    <w:name w:val="Heading 4 Char"/>
    <w:basedOn w:val="DefaultParagraphFont"/>
    <w:link w:val="Heading4"/>
    <w:uiPriority w:val="9"/>
    <w:semiHidden/>
    <w:rsid w:val="00255E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5E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5E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5E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5E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5E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5E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E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E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5E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5E1E"/>
    <w:rPr>
      <w:i/>
      <w:iCs/>
      <w:color w:val="404040" w:themeColor="text1" w:themeTint="BF"/>
    </w:rPr>
  </w:style>
  <w:style w:type="paragraph" w:styleId="ListParagraph">
    <w:name w:val="List Paragraph"/>
    <w:basedOn w:val="Normal"/>
    <w:uiPriority w:val="34"/>
    <w:qFormat/>
    <w:rsid w:val="00255E1E"/>
    <w:pPr>
      <w:ind w:left="720"/>
      <w:contextualSpacing/>
    </w:pPr>
  </w:style>
  <w:style w:type="character" w:styleId="IntenseEmphasis">
    <w:name w:val="Intense Emphasis"/>
    <w:basedOn w:val="DefaultParagraphFont"/>
    <w:uiPriority w:val="21"/>
    <w:qFormat/>
    <w:rsid w:val="00255E1E"/>
    <w:rPr>
      <w:i/>
      <w:iCs/>
      <w:color w:val="0F4761" w:themeColor="accent1" w:themeShade="BF"/>
    </w:rPr>
  </w:style>
  <w:style w:type="paragraph" w:styleId="IntenseQuote">
    <w:name w:val="Intense Quote"/>
    <w:basedOn w:val="Normal"/>
    <w:next w:val="Normal"/>
    <w:link w:val="IntenseQuoteChar"/>
    <w:uiPriority w:val="30"/>
    <w:qFormat/>
    <w:rsid w:val="00255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E1E"/>
    <w:rPr>
      <w:i/>
      <w:iCs/>
      <w:color w:val="0F4761" w:themeColor="accent1" w:themeShade="BF"/>
    </w:rPr>
  </w:style>
  <w:style w:type="character" w:styleId="IntenseReference">
    <w:name w:val="Intense Reference"/>
    <w:basedOn w:val="DefaultParagraphFont"/>
    <w:uiPriority w:val="32"/>
    <w:qFormat/>
    <w:rsid w:val="00255E1E"/>
    <w:rPr>
      <w:b/>
      <w:bCs/>
      <w:smallCaps/>
      <w:color w:val="0F4761" w:themeColor="accent1" w:themeShade="BF"/>
      <w:spacing w:val="5"/>
    </w:rPr>
  </w:style>
  <w:style w:type="character" w:styleId="FootnoteReference">
    <w:name w:val="footnote reference"/>
    <w:basedOn w:val="DefaultParagraphFont"/>
    <w:uiPriority w:val="99"/>
    <w:semiHidden/>
    <w:unhideWhenUsed/>
    <w:rsid w:val="00255E1E"/>
    <w:rPr>
      <w:vertAlign w:val="superscript"/>
    </w:rPr>
  </w:style>
  <w:style w:type="paragraph" w:customStyle="1" w:styleId="whitespace-pre-wrap">
    <w:name w:val="whitespace-pre-wrap"/>
    <w:basedOn w:val="Normal"/>
    <w:rsid w:val="00255E1E"/>
    <w:pPr>
      <w:spacing w:before="100" w:beforeAutospacing="1" w:after="100" w:afterAutospacing="1"/>
    </w:pPr>
    <w:rPr>
      <w:rFonts w:ascii="Times New Roman" w:eastAsia="Times New Roman" w:hAnsi="Times New Roman" w:cs="Times New Roman"/>
      <w:kern w:val="0"/>
      <w:lang w:eastAsia="en-GB" w:bidi="ar-SA"/>
      <w14:ligatures w14:val="none"/>
    </w:rPr>
  </w:style>
  <w:style w:type="paragraph" w:styleId="NormalWeb">
    <w:name w:val="Normal (Web)"/>
    <w:basedOn w:val="Normal"/>
    <w:uiPriority w:val="99"/>
    <w:unhideWhenUsed/>
    <w:rsid w:val="00255E1E"/>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whitespace-normal">
    <w:name w:val="whitespace-normal"/>
    <w:basedOn w:val="Normal"/>
    <w:rsid w:val="00255E1E"/>
    <w:pPr>
      <w:spacing w:before="100" w:beforeAutospacing="1" w:after="100" w:afterAutospacing="1"/>
    </w:pPr>
    <w:rPr>
      <w:rFonts w:ascii="Times New Roman" w:eastAsia="Times New Roman" w:hAnsi="Times New Roman" w:cs="Times New Roman"/>
      <w:kern w:val="0"/>
      <w:lang w:eastAsia="en-GB" w:bidi="ar-SA"/>
      <w14:ligatures w14:val="none"/>
    </w:rPr>
  </w:style>
  <w:style w:type="character" w:styleId="CommentReference">
    <w:name w:val="annotation reference"/>
    <w:basedOn w:val="DefaultParagraphFont"/>
    <w:uiPriority w:val="99"/>
    <w:semiHidden/>
    <w:unhideWhenUsed/>
    <w:rsid w:val="00255E1E"/>
    <w:rPr>
      <w:sz w:val="16"/>
      <w:szCs w:val="16"/>
    </w:rPr>
  </w:style>
  <w:style w:type="paragraph" w:styleId="CommentText">
    <w:name w:val="annotation text"/>
    <w:basedOn w:val="Normal"/>
    <w:link w:val="CommentTextChar"/>
    <w:uiPriority w:val="99"/>
    <w:semiHidden/>
    <w:unhideWhenUsed/>
    <w:rsid w:val="00DA223D"/>
    <w:rPr>
      <w:sz w:val="20"/>
      <w:szCs w:val="20"/>
    </w:rPr>
  </w:style>
  <w:style w:type="character" w:customStyle="1" w:styleId="CommentTextChar">
    <w:name w:val="Comment Text Char"/>
    <w:basedOn w:val="DefaultParagraphFont"/>
    <w:link w:val="CommentText"/>
    <w:uiPriority w:val="99"/>
    <w:semiHidden/>
    <w:rsid w:val="00DA223D"/>
    <w:rPr>
      <w:sz w:val="20"/>
      <w:szCs w:val="20"/>
    </w:rPr>
  </w:style>
  <w:style w:type="paragraph" w:styleId="CommentSubject">
    <w:name w:val="annotation subject"/>
    <w:basedOn w:val="CommentText"/>
    <w:next w:val="CommentText"/>
    <w:link w:val="CommentSubjectChar"/>
    <w:uiPriority w:val="99"/>
    <w:semiHidden/>
    <w:unhideWhenUsed/>
    <w:rsid w:val="00DA223D"/>
    <w:rPr>
      <w:b/>
      <w:bCs/>
    </w:rPr>
  </w:style>
  <w:style w:type="character" w:customStyle="1" w:styleId="CommentSubjectChar">
    <w:name w:val="Comment Subject Char"/>
    <w:basedOn w:val="CommentTextChar"/>
    <w:link w:val="CommentSubject"/>
    <w:uiPriority w:val="99"/>
    <w:semiHidden/>
    <w:rsid w:val="00DA223D"/>
    <w:rPr>
      <w:b/>
      <w:bCs/>
      <w:sz w:val="20"/>
      <w:szCs w:val="20"/>
    </w:rPr>
  </w:style>
  <w:style w:type="character" w:customStyle="1" w:styleId="apple-converted-space">
    <w:name w:val="apple-converted-space"/>
    <w:basedOn w:val="DefaultParagraphFont"/>
    <w:rsid w:val="006B3F34"/>
  </w:style>
  <w:style w:type="paragraph" w:styleId="FootnoteText">
    <w:name w:val="footnote text"/>
    <w:basedOn w:val="Normal"/>
    <w:link w:val="FootnoteTextChar"/>
    <w:uiPriority w:val="99"/>
    <w:unhideWhenUsed/>
    <w:rsid w:val="006B3F34"/>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6B3F34"/>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FC07D6"/>
    <w:rPr>
      <w:color w:val="467886" w:themeColor="hyperlink"/>
      <w:u w:val="single"/>
    </w:rPr>
  </w:style>
  <w:style w:type="character" w:styleId="UnresolvedMention">
    <w:name w:val="Unresolved Mention"/>
    <w:basedOn w:val="DefaultParagraphFont"/>
    <w:uiPriority w:val="99"/>
    <w:semiHidden/>
    <w:unhideWhenUsed/>
    <w:rsid w:val="00FC07D6"/>
    <w:rPr>
      <w:color w:val="605E5C"/>
      <w:shd w:val="clear" w:color="auto" w:fill="E1DFDD"/>
    </w:rPr>
  </w:style>
  <w:style w:type="table" w:styleId="TableGrid">
    <w:name w:val="Table Grid"/>
    <w:basedOn w:val="TableNormal"/>
    <w:uiPriority w:val="39"/>
    <w:rsid w:val="00A0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1baulvz">
    <w:name w:val="css-1baulvz"/>
    <w:basedOn w:val="DefaultParagraphFont"/>
    <w:rsid w:val="00610CF6"/>
  </w:style>
  <w:style w:type="paragraph" w:styleId="Revision">
    <w:name w:val="Revision"/>
    <w:hidden/>
    <w:uiPriority w:val="99"/>
    <w:semiHidden/>
    <w:rsid w:val="00B765B2"/>
  </w:style>
  <w:style w:type="paragraph" w:styleId="Footer">
    <w:name w:val="footer"/>
    <w:basedOn w:val="Normal"/>
    <w:link w:val="FooterChar"/>
    <w:uiPriority w:val="99"/>
    <w:unhideWhenUsed/>
    <w:rsid w:val="00687013"/>
    <w:pPr>
      <w:tabs>
        <w:tab w:val="center" w:pos="4513"/>
        <w:tab w:val="right" w:pos="9026"/>
      </w:tabs>
    </w:pPr>
  </w:style>
  <w:style w:type="character" w:customStyle="1" w:styleId="FooterChar">
    <w:name w:val="Footer Char"/>
    <w:basedOn w:val="DefaultParagraphFont"/>
    <w:link w:val="Footer"/>
    <w:uiPriority w:val="99"/>
    <w:rsid w:val="00687013"/>
  </w:style>
  <w:style w:type="character" w:styleId="PageNumber">
    <w:name w:val="page number"/>
    <w:basedOn w:val="DefaultParagraphFont"/>
    <w:uiPriority w:val="99"/>
    <w:semiHidden/>
    <w:unhideWhenUsed/>
    <w:rsid w:val="00687013"/>
  </w:style>
  <w:style w:type="paragraph" w:styleId="Header">
    <w:name w:val="header"/>
    <w:basedOn w:val="Normal"/>
    <w:link w:val="HeaderChar"/>
    <w:uiPriority w:val="99"/>
    <w:unhideWhenUsed/>
    <w:rsid w:val="00687013"/>
    <w:pPr>
      <w:tabs>
        <w:tab w:val="center" w:pos="4513"/>
        <w:tab w:val="right" w:pos="9026"/>
      </w:tabs>
    </w:pPr>
  </w:style>
  <w:style w:type="character" w:customStyle="1" w:styleId="HeaderChar">
    <w:name w:val="Header Char"/>
    <w:basedOn w:val="DefaultParagraphFont"/>
    <w:link w:val="Header"/>
    <w:uiPriority w:val="99"/>
    <w:rsid w:val="0068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53504">
      <w:bodyDiv w:val="1"/>
      <w:marLeft w:val="0"/>
      <w:marRight w:val="0"/>
      <w:marTop w:val="0"/>
      <w:marBottom w:val="0"/>
      <w:divBdr>
        <w:top w:val="none" w:sz="0" w:space="0" w:color="auto"/>
        <w:left w:val="none" w:sz="0" w:space="0" w:color="auto"/>
        <w:bottom w:val="none" w:sz="0" w:space="0" w:color="auto"/>
        <w:right w:val="none" w:sz="0" w:space="0" w:color="auto"/>
      </w:divBdr>
      <w:divsChild>
        <w:div w:id="876746415">
          <w:marLeft w:val="0"/>
          <w:marRight w:val="0"/>
          <w:marTop w:val="0"/>
          <w:marBottom w:val="0"/>
          <w:divBdr>
            <w:top w:val="none" w:sz="0" w:space="0" w:color="auto"/>
            <w:left w:val="none" w:sz="0" w:space="0" w:color="auto"/>
            <w:bottom w:val="none" w:sz="0" w:space="0" w:color="auto"/>
            <w:right w:val="none" w:sz="0" w:space="0" w:color="auto"/>
          </w:divBdr>
        </w:div>
        <w:div w:id="968632640">
          <w:marLeft w:val="0"/>
          <w:marRight w:val="0"/>
          <w:marTop w:val="0"/>
          <w:marBottom w:val="0"/>
          <w:divBdr>
            <w:top w:val="none" w:sz="0" w:space="0" w:color="auto"/>
            <w:left w:val="none" w:sz="0" w:space="0" w:color="auto"/>
            <w:bottom w:val="none" w:sz="0" w:space="0" w:color="auto"/>
            <w:right w:val="none" w:sz="0" w:space="0" w:color="auto"/>
          </w:divBdr>
        </w:div>
        <w:div w:id="558129077">
          <w:marLeft w:val="0"/>
          <w:marRight w:val="0"/>
          <w:marTop w:val="0"/>
          <w:marBottom w:val="0"/>
          <w:divBdr>
            <w:top w:val="none" w:sz="0" w:space="0" w:color="auto"/>
            <w:left w:val="none" w:sz="0" w:space="0" w:color="auto"/>
            <w:bottom w:val="none" w:sz="0" w:space="0" w:color="auto"/>
            <w:right w:val="none" w:sz="0" w:space="0" w:color="auto"/>
          </w:divBdr>
        </w:div>
        <w:div w:id="998969117">
          <w:marLeft w:val="0"/>
          <w:marRight w:val="0"/>
          <w:marTop w:val="0"/>
          <w:marBottom w:val="0"/>
          <w:divBdr>
            <w:top w:val="none" w:sz="0" w:space="0" w:color="auto"/>
            <w:left w:val="none" w:sz="0" w:space="0" w:color="auto"/>
            <w:bottom w:val="none" w:sz="0" w:space="0" w:color="auto"/>
            <w:right w:val="none" w:sz="0" w:space="0" w:color="auto"/>
          </w:divBdr>
        </w:div>
        <w:div w:id="165931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nk.springer.com/book/10.1007/978-981-19-4211-2"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policy.trade.ec.europa.eu/eu-trade-relationships-country-and-region/countries-and-regions/southern-neighbourhood_en" TargetMode="External"/><Relationship Id="rId2" Type="http://schemas.openxmlformats.org/officeDocument/2006/relationships/hyperlink" Target="https://policy.trade.ec.europa.eu/eu-trade-relationships-country-and-region/countries-and-regions/southern-neighbourhood_en" TargetMode="External"/><Relationship Id="rId1" Type="http://schemas.openxmlformats.org/officeDocument/2006/relationships/hyperlink" Target="https://www.eeas.europa.eu/eeas/africa-and-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1289</ap:Words>
  <ap:Characters>7353</ap:Characters>
  <ap:DocSecurity>0</ap:DocSecurity>
  <ap:Lines>61</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2025-02-27T17:52:00.0000000Z</dcterms:created>
  <dcterms:modified xsi:type="dcterms:W3CDTF">2025-02-27T17:52:00.0000000Z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2025-02-25T21:14:52Z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bab9850d-f731-4b67-8d0d-b601ce56f955</vt:lpwstr>
  </property>
  <property fmtid="{D5CDD505-2E9C-101B-9397-08002B2CF9AE}" pid="8" name="MSIP_Label_8772ba27-cab8-4042-a351-a31f6e4eacdc_ContentBits">
    <vt:lpwstr>0</vt:lpwstr>
  </property>
  <property fmtid="{D5CDD505-2E9C-101B-9397-08002B2CF9AE}" pid="9" name="MSIP_Label_8772ba27-cab8-4042-a351-a31f6e4eacdc_Tag">
    <vt:lpwstr>50, 3, 0, 1</vt:lpwstr>
  </property>
</Properties>
</file>