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3FA1" w:rsidP="002220F7" w:rsidRDefault="00463FA1" w14:paraId="11766F11" w14:textId="77777777"/>
    <w:p w:rsidR="00417EFD" w:rsidP="002220F7" w:rsidRDefault="00417EFD" w14:paraId="500CF89B" w14:textId="30330CC7">
      <w:r w:rsidRPr="00417EFD">
        <w:t xml:space="preserve">Geachte </w:t>
      </w:r>
      <w:r w:rsidR="002220F7">
        <w:t>V</w:t>
      </w:r>
      <w:r w:rsidRPr="00417EFD">
        <w:t>oorzitter,</w:t>
      </w:r>
    </w:p>
    <w:p w:rsidRPr="00417EFD" w:rsidR="00417EFD" w:rsidP="002220F7" w:rsidRDefault="00417EFD" w14:paraId="0B46C08D" w14:textId="77777777"/>
    <w:p w:rsidR="00417EFD" w:rsidP="002220F7" w:rsidRDefault="00417EFD" w14:paraId="1CAA3584" w14:textId="71D3E569">
      <w:r w:rsidRPr="00417EFD">
        <w:t xml:space="preserve">Tijdens de procedurevergadering van 12 december 2024 heeft de vaste commissie voor Europese Zaken verzocht om een brief met de visie van het kabinet inzake rechtsstaatconditionaliteit in het toekomstige cohesiebeleid van de Europese Unie en deze voorafgaand te sturen aan een nog te plannen commissiedebat hierover. Middels deze brief geven </w:t>
      </w:r>
      <w:r w:rsidR="003A591B">
        <w:t xml:space="preserve">wij </w:t>
      </w:r>
      <w:r w:rsidRPr="00417EFD">
        <w:t>gehoor aan dit verzoek.</w:t>
      </w:r>
    </w:p>
    <w:p w:rsidRPr="00417EFD" w:rsidR="00417EFD" w:rsidP="002220F7" w:rsidRDefault="00417EFD" w14:paraId="2BB4D4C0" w14:textId="77777777"/>
    <w:p w:rsidR="00417EFD" w:rsidP="002220F7" w:rsidRDefault="00417EFD" w14:paraId="24202858" w14:textId="22A23246">
      <w:pPr>
        <w:rPr>
          <w:i/>
          <w:iCs/>
        </w:rPr>
      </w:pPr>
      <w:r w:rsidRPr="00417EFD">
        <w:rPr>
          <w:i/>
          <w:iCs/>
        </w:rPr>
        <w:t>Visie kabinet</w:t>
      </w:r>
      <w:r w:rsidRPr="00417EFD">
        <w:rPr>
          <w:i/>
          <w:iCs/>
        </w:rPr>
        <w:br/>
      </w:r>
      <w:r w:rsidRPr="00417EFD">
        <w:t xml:space="preserve">Respect voor de rechtsstaat en fundamentele waarden door lidstaten is essentieel voor een goed functionerende Europese Unie. Het is een cruciale randvoorwaarde voor </w:t>
      </w:r>
      <w:r w:rsidRPr="00F929DB" w:rsidR="00F929DB">
        <w:t xml:space="preserve">goed bestuur en </w:t>
      </w:r>
      <w:r w:rsidRPr="00417EFD">
        <w:t>het vertrouwen van burgers en bedrijven in de overheidsinstellingen, het behoud van onze waardengemeenschap en het goed functioneren van de interne markt. Daarom vindt het kabinet het van belang dat het beschikbare instrumentarium zo volledig en effectief mogelijk wordt ingezet om eerbiediging van de rechtsstaat en fundamentele waarden</w:t>
      </w:r>
      <w:r w:rsidRPr="00417EFD" w:rsidDel="00377373">
        <w:t xml:space="preserve"> </w:t>
      </w:r>
      <w:r w:rsidRPr="00417EFD">
        <w:t xml:space="preserve">in lidstaten te borgen. Op dit moment bevatten de verordening gemeenschappelijke bepalingen (de </w:t>
      </w:r>
      <w:r w:rsidRPr="00417EFD">
        <w:rPr>
          <w:i/>
          <w:iCs/>
        </w:rPr>
        <w:t>Common Provisions Regulation</w:t>
      </w:r>
      <w:r w:rsidRPr="00417EFD">
        <w:t>)</w:t>
      </w:r>
      <w:r w:rsidRPr="00417EFD">
        <w:rPr>
          <w:vertAlign w:val="superscript"/>
        </w:rPr>
        <w:footnoteReference w:id="1"/>
      </w:r>
      <w:r w:rsidRPr="00417EFD">
        <w:t xml:space="preserve"> en de MFK-rechtsstaatverordening</w:t>
      </w:r>
      <w:r w:rsidRPr="00417EFD">
        <w:rPr>
          <w:vertAlign w:val="superscript"/>
        </w:rPr>
        <w:footnoteReference w:id="2"/>
      </w:r>
      <w:r w:rsidRPr="00417EFD">
        <w:t xml:space="preserve"> rechtsstaatconditionaliteiten t</w:t>
      </w:r>
      <w:r w:rsidR="002220F7">
        <w:t>en aanzien van</w:t>
      </w:r>
      <w:r w:rsidRPr="00417EFD">
        <w:t xml:space="preserve"> het cohesiebeleid. Voor de toekomstige programma’s onder het cohesiebeleid (na 2027) hecht het kabinet wederom aan een sterke koppeling tussen ontvangst van EU-middelen uit die fondsen en het naleven van de beginselen van de rechtsstaat en eerbiediging van fundamentele waarden die worden genoemd in het Handvest van de Grondrechten van de Europese Unie (hierna: Handvest). In het onlangs gepubliceerde visiepaper ‘cohesiebeleid post 2027’</w:t>
      </w:r>
      <w:r w:rsidRPr="00417EFD">
        <w:rPr>
          <w:vertAlign w:val="superscript"/>
        </w:rPr>
        <w:footnoteReference w:id="3"/>
      </w:r>
      <w:r w:rsidRPr="00417EFD">
        <w:t xml:space="preserve"> geeft het kabinet daarom aan dat het naleven van de beginselen van de rechtsstaat die in het Handvest worden genoemd een horizontale randvoorwaarde moet blijven voor het ontvangen van middelen uit de fondsen onder het cohesiebeleid. </w:t>
      </w:r>
    </w:p>
    <w:p w:rsidR="00417EFD" w:rsidP="002220F7" w:rsidRDefault="00417EFD" w14:paraId="7732FD68" w14:textId="77777777">
      <w:pPr>
        <w:rPr>
          <w:i/>
          <w:iCs/>
        </w:rPr>
      </w:pPr>
    </w:p>
    <w:p w:rsidR="00417EFD" w:rsidP="002220F7" w:rsidRDefault="00417EFD" w14:paraId="00C4F90C" w14:textId="6310314F">
      <w:r w:rsidRPr="00417EFD">
        <w:rPr>
          <w:i/>
          <w:iCs/>
        </w:rPr>
        <w:lastRenderedPageBreak/>
        <w:t>Krachtenveld Raad</w:t>
      </w:r>
      <w:r w:rsidRPr="00417EFD">
        <w:rPr>
          <w:i/>
          <w:iCs/>
        </w:rPr>
        <w:br/>
      </w:r>
      <w:r w:rsidRPr="00417EFD">
        <w:t>Een aantal lidstaten heeft tijdens de Raad Algemene Zaken Cohesie (RAZ-Cohesie) van 28 november jl.</w:t>
      </w:r>
      <w:r w:rsidRPr="00417EFD">
        <w:rPr>
          <w:vertAlign w:val="superscript"/>
        </w:rPr>
        <w:footnoteReference w:id="4"/>
      </w:r>
      <w:r w:rsidRPr="00417EFD">
        <w:t xml:space="preserve">  benadrukt dat het respecteren van de rechtsstaat een voorwaarde moet zijn voor steun uit de cohesieprogramma’s. Duitsland heeft onlangs </w:t>
      </w:r>
      <w:r w:rsidR="00F929DB">
        <w:t>zijn</w:t>
      </w:r>
      <w:r w:rsidRPr="00417EFD">
        <w:t xml:space="preserve"> visie op het toekomstig cohesiebeleid gepubliceerd en het naleven van de beginselen van de rechtsstaat is daar onderdeel van.</w:t>
      </w:r>
      <w:r w:rsidRPr="00417EFD">
        <w:rPr>
          <w:vertAlign w:val="superscript"/>
        </w:rPr>
        <w:footnoteReference w:id="5"/>
      </w:r>
      <w:r w:rsidRPr="00417EFD">
        <w:t xml:space="preserve"> </w:t>
      </w:r>
    </w:p>
    <w:p w:rsidRPr="00417EFD" w:rsidR="00417EFD" w:rsidP="002220F7" w:rsidRDefault="00417EFD" w14:paraId="46C9BF4B" w14:textId="77777777">
      <w:pPr>
        <w:rPr>
          <w:i/>
          <w:iCs/>
        </w:rPr>
      </w:pPr>
    </w:p>
    <w:p w:rsidR="002220F7" w:rsidP="002220F7" w:rsidRDefault="00417EFD" w14:paraId="7B5377C1" w14:textId="77777777">
      <w:r w:rsidRPr="00417EFD">
        <w:t>Het cohesiebeleid na 2027 is onderdeel van het Meerjarig Financieel Kader (MFK). Over de overkoepelende inzet van het kabinet ten aanzien van het volgende MFK zal de Kamer later worden geïnformeerd.</w:t>
      </w:r>
      <w:r w:rsidRPr="00417EFD">
        <w:br/>
      </w:r>
    </w:p>
    <w:p w:rsidR="002220F7" w:rsidP="002220F7" w:rsidRDefault="002220F7" w14:paraId="741050B2" w14:textId="77777777"/>
    <w:p w:rsidR="002220F7" w:rsidP="002220F7" w:rsidRDefault="002220F7" w14:paraId="7A2E237D" w14:textId="77777777"/>
    <w:p w:rsidR="002220F7" w:rsidP="002220F7" w:rsidRDefault="002220F7" w14:paraId="1287CA64" w14:textId="77777777"/>
    <w:p w:rsidR="002220F7" w:rsidP="002220F7" w:rsidRDefault="002220F7" w14:paraId="526AD706" w14:textId="77777777"/>
    <w:p w:rsidRPr="00417EFD" w:rsidR="00417EFD" w:rsidP="002220F7" w:rsidRDefault="00417EFD" w14:paraId="634ECCD8" w14:textId="7713ECA8">
      <w:r w:rsidRPr="00417EFD">
        <w:t>Dirk Beljaarts</w:t>
      </w:r>
      <w:r w:rsidRPr="00417EFD">
        <w:br/>
        <w:t>Minister van Economische Zaken</w:t>
      </w:r>
      <w:r w:rsidRPr="00417EFD">
        <w:br/>
      </w:r>
    </w:p>
    <w:p w:rsidRPr="00417EFD" w:rsidR="00417EFD" w:rsidP="002220F7" w:rsidRDefault="00417EFD" w14:paraId="611572FD" w14:textId="77777777"/>
    <w:p w:rsidRPr="00417EFD" w:rsidR="00417EFD" w:rsidP="002220F7" w:rsidRDefault="00417EFD" w14:paraId="0EE94774" w14:textId="77777777"/>
    <w:p w:rsidR="002220F7" w:rsidP="002220F7" w:rsidRDefault="002220F7" w14:paraId="271B9F8E" w14:textId="77777777"/>
    <w:p w:rsidR="002220F7" w:rsidP="002220F7" w:rsidRDefault="002220F7" w14:paraId="4629738B" w14:textId="77777777"/>
    <w:p w:rsidRPr="00417EFD" w:rsidR="00417EFD" w:rsidP="002220F7" w:rsidRDefault="00417EFD" w14:paraId="5448191F" w14:textId="179EE7A5">
      <w:r w:rsidRPr="00417EFD">
        <w:t>Caspar Veldkamp</w:t>
      </w:r>
      <w:r w:rsidRPr="00417EFD">
        <w:br/>
        <w:t>Minister van Buitenlandse Zaken</w:t>
      </w:r>
    </w:p>
    <w:sectPr w:rsidRPr="00417EFD" w:rsidR="00417EF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9DDF6" w14:textId="77777777" w:rsidR="00A054C7" w:rsidRDefault="00A054C7">
      <w:r>
        <w:separator/>
      </w:r>
    </w:p>
    <w:p w14:paraId="61D4EC0C" w14:textId="77777777" w:rsidR="00A054C7" w:rsidRDefault="00A054C7"/>
  </w:endnote>
  <w:endnote w:type="continuationSeparator" w:id="0">
    <w:p w14:paraId="37C692E6" w14:textId="77777777" w:rsidR="00A054C7" w:rsidRDefault="00A054C7">
      <w:r>
        <w:continuationSeparator/>
      </w:r>
    </w:p>
    <w:p w14:paraId="57FE5E17" w14:textId="77777777" w:rsidR="00A054C7" w:rsidRDefault="00A05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F5F47" w14:textId="77777777" w:rsidR="0001134B" w:rsidRDefault="000113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558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E7E96" w14:paraId="15FEE89A" w14:textId="77777777" w:rsidTr="00CA6A25">
      <w:trPr>
        <w:trHeight w:hRule="exact" w:val="240"/>
      </w:trPr>
      <w:tc>
        <w:tcPr>
          <w:tcW w:w="7601" w:type="dxa"/>
          <w:shd w:val="clear" w:color="auto" w:fill="auto"/>
        </w:tcPr>
        <w:p w14:paraId="7BFAF50E" w14:textId="77777777" w:rsidR="00527BD4" w:rsidRDefault="00527BD4" w:rsidP="003F1F6B">
          <w:pPr>
            <w:pStyle w:val="Huisstijl-Rubricering"/>
          </w:pPr>
        </w:p>
      </w:tc>
      <w:tc>
        <w:tcPr>
          <w:tcW w:w="2156" w:type="dxa"/>
        </w:tcPr>
        <w:p w14:paraId="65981232" w14:textId="16A698B8" w:rsidR="00527BD4" w:rsidRPr="00645414" w:rsidRDefault="00417EF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01134B">
              <w:t>2</w:t>
            </w:r>
          </w:fldSimple>
        </w:p>
      </w:tc>
    </w:tr>
  </w:tbl>
  <w:p w14:paraId="6F2E06A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E7E96" w14:paraId="18DEF63A" w14:textId="77777777" w:rsidTr="00CA6A25">
      <w:trPr>
        <w:trHeight w:hRule="exact" w:val="240"/>
      </w:trPr>
      <w:tc>
        <w:tcPr>
          <w:tcW w:w="7601" w:type="dxa"/>
          <w:shd w:val="clear" w:color="auto" w:fill="auto"/>
        </w:tcPr>
        <w:p w14:paraId="6268FEC7" w14:textId="77777777" w:rsidR="00527BD4" w:rsidRDefault="00527BD4" w:rsidP="008C356D">
          <w:pPr>
            <w:pStyle w:val="Huisstijl-Rubricering"/>
          </w:pPr>
        </w:p>
      </w:tc>
      <w:tc>
        <w:tcPr>
          <w:tcW w:w="2170" w:type="dxa"/>
        </w:tcPr>
        <w:p w14:paraId="7102F0DB" w14:textId="504CC7AA" w:rsidR="00527BD4" w:rsidRPr="00ED539E" w:rsidRDefault="00417EF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054C7">
              <w:t>1</w:t>
            </w:r>
          </w:fldSimple>
        </w:p>
      </w:tc>
    </w:tr>
  </w:tbl>
  <w:p w14:paraId="3C98BB81" w14:textId="77777777" w:rsidR="00527BD4" w:rsidRPr="00BC3B53" w:rsidRDefault="00527BD4" w:rsidP="008C356D">
    <w:pPr>
      <w:pStyle w:val="Voettekst"/>
      <w:spacing w:line="240" w:lineRule="auto"/>
      <w:rPr>
        <w:sz w:val="2"/>
        <w:szCs w:val="2"/>
      </w:rPr>
    </w:pPr>
  </w:p>
  <w:p w14:paraId="4A5E12B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97E2E" w14:textId="77777777" w:rsidR="00A054C7" w:rsidRDefault="00A054C7">
      <w:r>
        <w:separator/>
      </w:r>
    </w:p>
    <w:p w14:paraId="520A618F" w14:textId="77777777" w:rsidR="00A054C7" w:rsidRDefault="00A054C7"/>
  </w:footnote>
  <w:footnote w:type="continuationSeparator" w:id="0">
    <w:p w14:paraId="7FB28DA3" w14:textId="77777777" w:rsidR="00A054C7" w:rsidRDefault="00A054C7">
      <w:r>
        <w:continuationSeparator/>
      </w:r>
    </w:p>
    <w:p w14:paraId="7FF0ABCF" w14:textId="77777777" w:rsidR="00A054C7" w:rsidRDefault="00A054C7"/>
  </w:footnote>
  <w:footnote w:id="1">
    <w:p w14:paraId="6CF895E6" w14:textId="77777777" w:rsidR="00417EFD" w:rsidRPr="002220F7" w:rsidRDefault="00417EFD" w:rsidP="00417EFD">
      <w:pPr>
        <w:pStyle w:val="Voetnoottekst"/>
        <w:rPr>
          <w:szCs w:val="13"/>
          <w:lang w:val="en-US"/>
        </w:rPr>
      </w:pPr>
      <w:r w:rsidRPr="002220F7">
        <w:rPr>
          <w:rStyle w:val="Voetnootmarkering"/>
          <w:szCs w:val="13"/>
        </w:rPr>
        <w:footnoteRef/>
      </w:r>
      <w:r w:rsidRPr="002220F7">
        <w:rPr>
          <w:szCs w:val="13"/>
          <w:lang w:val="en-US"/>
        </w:rPr>
        <w:t xml:space="preserve"> </w:t>
      </w:r>
      <w:hyperlink r:id="rId1" w:history="1">
        <w:r w:rsidRPr="002220F7">
          <w:rPr>
            <w:rStyle w:val="Hyperlink"/>
            <w:szCs w:val="13"/>
            <w:lang w:val="fr-FR"/>
          </w:rPr>
          <w:t>Regulation - 2021/1060 - NL - EUR-Lex (europa.eu)</w:t>
        </w:r>
      </w:hyperlink>
    </w:p>
  </w:footnote>
  <w:footnote w:id="2">
    <w:p w14:paraId="179B7804" w14:textId="77777777" w:rsidR="00417EFD" w:rsidRPr="002220F7" w:rsidRDefault="00417EFD" w:rsidP="00417EFD">
      <w:pPr>
        <w:pStyle w:val="Voetnoottekst"/>
        <w:rPr>
          <w:szCs w:val="13"/>
          <w:lang w:val="en-US"/>
        </w:rPr>
      </w:pPr>
      <w:r w:rsidRPr="002220F7">
        <w:rPr>
          <w:rStyle w:val="Voetnootmarkering"/>
          <w:szCs w:val="13"/>
        </w:rPr>
        <w:footnoteRef/>
      </w:r>
      <w:r w:rsidRPr="002220F7">
        <w:rPr>
          <w:szCs w:val="13"/>
          <w:lang w:val="en-US"/>
        </w:rPr>
        <w:t xml:space="preserve"> </w:t>
      </w:r>
      <w:hyperlink r:id="rId2" w:history="1">
        <w:r w:rsidRPr="002220F7">
          <w:rPr>
            <w:rStyle w:val="Hyperlink"/>
            <w:szCs w:val="13"/>
            <w:lang w:val="en-US"/>
          </w:rPr>
          <w:t>Regulation - 2020/2092 - NL - EUR-Lex (europa.eu)</w:t>
        </w:r>
      </w:hyperlink>
    </w:p>
  </w:footnote>
  <w:footnote w:id="3">
    <w:p w14:paraId="4257F4D0" w14:textId="77777777" w:rsidR="00417EFD" w:rsidRPr="002220F7" w:rsidRDefault="00417EFD" w:rsidP="00417EFD">
      <w:pPr>
        <w:pStyle w:val="Voetnoottekst"/>
        <w:rPr>
          <w:szCs w:val="13"/>
        </w:rPr>
      </w:pPr>
      <w:r w:rsidRPr="002220F7">
        <w:rPr>
          <w:rStyle w:val="Voetnootmarkering"/>
          <w:szCs w:val="13"/>
        </w:rPr>
        <w:footnoteRef/>
      </w:r>
      <w:r w:rsidRPr="002220F7">
        <w:rPr>
          <w:szCs w:val="13"/>
        </w:rPr>
        <w:t xml:space="preserve"> </w:t>
      </w:r>
      <w:hyperlink r:id="rId3" w:history="1">
        <w:r w:rsidRPr="002220F7">
          <w:rPr>
            <w:rStyle w:val="Hyperlink"/>
            <w:szCs w:val="13"/>
          </w:rPr>
          <w:t>Visiepaper Cohesiebeleid post 2027 | Rapport | Rijksoverheid.nl</w:t>
        </w:r>
      </w:hyperlink>
    </w:p>
  </w:footnote>
  <w:footnote w:id="4">
    <w:p w14:paraId="4357B4B7" w14:textId="77777777" w:rsidR="00417EFD" w:rsidRPr="002220F7" w:rsidRDefault="00417EFD" w:rsidP="00417EFD">
      <w:pPr>
        <w:pStyle w:val="Voetnoottekst"/>
        <w:rPr>
          <w:szCs w:val="13"/>
        </w:rPr>
      </w:pPr>
      <w:r w:rsidRPr="002220F7">
        <w:rPr>
          <w:rStyle w:val="Voetnootmarkering"/>
          <w:szCs w:val="13"/>
        </w:rPr>
        <w:footnoteRef/>
      </w:r>
      <w:r w:rsidRPr="002220F7">
        <w:rPr>
          <w:szCs w:val="13"/>
        </w:rPr>
        <w:t xml:space="preserve"> </w:t>
      </w:r>
      <w:hyperlink r:id="rId4" w:history="1">
        <w:r w:rsidRPr="002220F7">
          <w:rPr>
            <w:rStyle w:val="Hyperlink"/>
            <w:szCs w:val="13"/>
          </w:rPr>
          <w:t>Kamerbrief met verslag Raad Algemene Zaken (RAZ) Cohesie 28 november 2024</w:t>
        </w:r>
      </w:hyperlink>
    </w:p>
  </w:footnote>
  <w:footnote w:id="5">
    <w:p w14:paraId="16BCB290" w14:textId="77777777" w:rsidR="00417EFD" w:rsidRPr="002220F7" w:rsidRDefault="00417EFD" w:rsidP="00417EFD">
      <w:pPr>
        <w:pStyle w:val="Voetnoottekst"/>
        <w:rPr>
          <w:szCs w:val="13"/>
          <w:lang w:val="en-US"/>
        </w:rPr>
      </w:pPr>
      <w:r w:rsidRPr="002220F7">
        <w:rPr>
          <w:rStyle w:val="Voetnootmarkering"/>
          <w:szCs w:val="13"/>
        </w:rPr>
        <w:footnoteRef/>
      </w:r>
      <w:r w:rsidRPr="002220F7">
        <w:rPr>
          <w:szCs w:val="13"/>
          <w:lang w:val="en-US"/>
        </w:rPr>
        <w:t xml:space="preserve"> </w:t>
      </w:r>
      <w:hyperlink r:id="rId5" w:history="1">
        <w:r w:rsidRPr="002220F7">
          <w:rPr>
            <w:rStyle w:val="Hyperlink"/>
            <w:szCs w:val="13"/>
            <w:lang w:val="en-US"/>
          </w:rPr>
          <w:t>Joint statement of the German Federal Government and the Länder on EU cohesion policy beyond 2027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8FC57" w14:textId="77777777" w:rsidR="0001134B" w:rsidRDefault="000113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E7E96" w14:paraId="2BAFFD30" w14:textId="77777777" w:rsidTr="00A50CF6">
      <w:tc>
        <w:tcPr>
          <w:tcW w:w="2156" w:type="dxa"/>
          <w:shd w:val="clear" w:color="auto" w:fill="auto"/>
        </w:tcPr>
        <w:p w14:paraId="5F506E9A" w14:textId="77777777" w:rsidR="00527BD4" w:rsidRPr="005819CE" w:rsidRDefault="00417EFD" w:rsidP="00A50CF6">
          <w:pPr>
            <w:pStyle w:val="Huisstijl-Adres"/>
            <w:rPr>
              <w:b/>
            </w:rPr>
          </w:pPr>
          <w:r>
            <w:rPr>
              <w:b/>
            </w:rPr>
            <w:t>Directoraat-generaal Bedrijfsleven &amp; Innovatie</w:t>
          </w:r>
          <w:r w:rsidRPr="005819CE">
            <w:rPr>
              <w:b/>
            </w:rPr>
            <w:br/>
          </w:r>
        </w:p>
      </w:tc>
    </w:tr>
    <w:tr w:rsidR="008E7E96" w14:paraId="654F03A0" w14:textId="77777777" w:rsidTr="00A50CF6">
      <w:trPr>
        <w:trHeight w:hRule="exact" w:val="200"/>
      </w:trPr>
      <w:tc>
        <w:tcPr>
          <w:tcW w:w="2156" w:type="dxa"/>
          <w:shd w:val="clear" w:color="auto" w:fill="auto"/>
        </w:tcPr>
        <w:p w14:paraId="1990DBDA" w14:textId="77777777" w:rsidR="00527BD4" w:rsidRPr="005819CE" w:rsidRDefault="00527BD4" w:rsidP="00A50CF6"/>
      </w:tc>
    </w:tr>
    <w:tr w:rsidR="008E7E96" w14:paraId="35820B5F" w14:textId="77777777" w:rsidTr="00502512">
      <w:trPr>
        <w:trHeight w:hRule="exact" w:val="774"/>
      </w:trPr>
      <w:tc>
        <w:tcPr>
          <w:tcW w:w="2156" w:type="dxa"/>
          <w:shd w:val="clear" w:color="auto" w:fill="auto"/>
        </w:tcPr>
        <w:p w14:paraId="234AEB44" w14:textId="77777777" w:rsidR="00527BD4" w:rsidRDefault="00417EFD" w:rsidP="003A5290">
          <w:pPr>
            <w:pStyle w:val="Huisstijl-Kopje"/>
          </w:pPr>
          <w:r>
            <w:t>Ons kenmerk</w:t>
          </w:r>
        </w:p>
        <w:p w14:paraId="0C3056E3" w14:textId="77777777" w:rsidR="00527BD4" w:rsidRPr="005819CE" w:rsidRDefault="00417EFD" w:rsidP="004425CC">
          <w:pPr>
            <w:pStyle w:val="Huisstijl-Kopje"/>
          </w:pPr>
          <w:r>
            <w:rPr>
              <w:b w:val="0"/>
            </w:rPr>
            <w:t>DGBI</w:t>
          </w:r>
          <w:r w:rsidRPr="00502512">
            <w:rPr>
              <w:b w:val="0"/>
            </w:rPr>
            <w:t xml:space="preserve"> / </w:t>
          </w:r>
          <w:r>
            <w:rPr>
              <w:b w:val="0"/>
            </w:rPr>
            <w:t>96555150</w:t>
          </w:r>
        </w:p>
      </w:tc>
    </w:tr>
  </w:tbl>
  <w:p w14:paraId="58FB0B3C" w14:textId="77777777" w:rsidR="00527BD4" w:rsidRDefault="00527BD4" w:rsidP="008C356D">
    <w:pPr>
      <w:pStyle w:val="Koptekst"/>
      <w:rPr>
        <w:rFonts w:cs="Verdana-Bold"/>
        <w:b/>
        <w:bCs/>
        <w:smallCaps/>
        <w:szCs w:val="18"/>
      </w:rPr>
    </w:pPr>
  </w:p>
  <w:p w14:paraId="31EAE0D4" w14:textId="77777777" w:rsidR="00527BD4" w:rsidRDefault="00527BD4" w:rsidP="008C356D"/>
  <w:p w14:paraId="1ABFEB4D" w14:textId="77777777" w:rsidR="00527BD4" w:rsidRPr="00740712" w:rsidRDefault="00527BD4" w:rsidP="008C356D"/>
  <w:p w14:paraId="4FB2AAFC" w14:textId="77777777" w:rsidR="00527BD4" w:rsidRPr="00217880" w:rsidRDefault="00527BD4" w:rsidP="008C356D">
    <w:pPr>
      <w:spacing w:line="0" w:lineRule="atLeast"/>
      <w:rPr>
        <w:sz w:val="2"/>
        <w:szCs w:val="2"/>
      </w:rPr>
    </w:pPr>
  </w:p>
  <w:p w14:paraId="1456605D" w14:textId="77777777" w:rsidR="00527BD4" w:rsidRDefault="00527BD4" w:rsidP="004F44C2">
    <w:pPr>
      <w:pStyle w:val="Koptekst"/>
      <w:rPr>
        <w:rFonts w:cs="Verdana-Bold"/>
        <w:b/>
        <w:bCs/>
        <w:smallCaps/>
        <w:szCs w:val="18"/>
      </w:rPr>
    </w:pPr>
  </w:p>
  <w:p w14:paraId="50BB88F4" w14:textId="77777777" w:rsidR="00527BD4" w:rsidRDefault="00527BD4" w:rsidP="004F44C2"/>
  <w:p w14:paraId="4581E92F" w14:textId="77777777" w:rsidR="00527BD4" w:rsidRPr="00740712" w:rsidRDefault="00527BD4" w:rsidP="004F44C2"/>
  <w:p w14:paraId="23DB832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E7E96" w14:paraId="724B4823" w14:textId="77777777" w:rsidTr="00751A6A">
      <w:trPr>
        <w:trHeight w:val="2636"/>
      </w:trPr>
      <w:tc>
        <w:tcPr>
          <w:tcW w:w="737" w:type="dxa"/>
          <w:shd w:val="clear" w:color="auto" w:fill="auto"/>
        </w:tcPr>
        <w:p w14:paraId="59C6FF8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24620DB" w14:textId="77777777" w:rsidR="00527BD4" w:rsidRDefault="00417EFD"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7C2624F" wp14:editId="57424F68">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7675597" w14:textId="77777777" w:rsidR="007269E3" w:rsidRDefault="007269E3" w:rsidP="00651CEE">
          <w:pPr>
            <w:framePr w:w="6340" w:h="2750" w:hRule="exact" w:hSpace="180" w:wrap="around" w:vAnchor="page" w:hAnchor="text" w:x="3873" w:y="-140"/>
            <w:spacing w:line="240" w:lineRule="auto"/>
          </w:pPr>
        </w:p>
      </w:tc>
    </w:tr>
  </w:tbl>
  <w:p w14:paraId="4D1B4F17" w14:textId="77777777" w:rsidR="00527BD4" w:rsidRDefault="00527BD4" w:rsidP="00D0609E">
    <w:pPr>
      <w:framePr w:w="6340" w:h="2750" w:hRule="exact" w:hSpace="180" w:wrap="around" w:vAnchor="page" w:hAnchor="text" w:x="3873" w:y="-140"/>
    </w:pPr>
  </w:p>
  <w:p w14:paraId="2BB6003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E7E96" w:rsidRPr="0087015C" w14:paraId="0EEA8AE4" w14:textId="77777777" w:rsidTr="00A50CF6">
      <w:tc>
        <w:tcPr>
          <w:tcW w:w="2160" w:type="dxa"/>
          <w:shd w:val="clear" w:color="auto" w:fill="auto"/>
        </w:tcPr>
        <w:p w14:paraId="00343108" w14:textId="77777777" w:rsidR="00527BD4" w:rsidRPr="005819CE" w:rsidRDefault="00417EFD" w:rsidP="00A50CF6">
          <w:pPr>
            <w:pStyle w:val="Huisstijl-Adres"/>
            <w:rPr>
              <w:b/>
            </w:rPr>
          </w:pPr>
          <w:r>
            <w:rPr>
              <w:b/>
            </w:rPr>
            <w:t>Directoraat-generaal Bedrijfsleven &amp; Innovatie</w:t>
          </w:r>
          <w:r w:rsidRPr="005819CE">
            <w:rPr>
              <w:b/>
            </w:rPr>
            <w:br/>
          </w:r>
        </w:p>
        <w:p w14:paraId="6D499F99" w14:textId="77777777" w:rsidR="00527BD4" w:rsidRPr="00BE5ED9" w:rsidRDefault="00417EFD" w:rsidP="00A50CF6">
          <w:pPr>
            <w:pStyle w:val="Huisstijl-Adres"/>
          </w:pPr>
          <w:r>
            <w:rPr>
              <w:b/>
            </w:rPr>
            <w:t>Bezoekadres</w:t>
          </w:r>
          <w:r>
            <w:rPr>
              <w:b/>
            </w:rPr>
            <w:br/>
          </w:r>
          <w:r>
            <w:t>Bezuidenhoutseweg 73</w:t>
          </w:r>
          <w:r w:rsidRPr="005819CE">
            <w:br/>
          </w:r>
          <w:r>
            <w:t>2594 AC Den Haag</w:t>
          </w:r>
        </w:p>
        <w:p w14:paraId="3C7CAA6B" w14:textId="77777777" w:rsidR="00EF495B" w:rsidRDefault="00417EFD" w:rsidP="0098788A">
          <w:pPr>
            <w:pStyle w:val="Huisstijl-Adres"/>
          </w:pPr>
          <w:r>
            <w:rPr>
              <w:b/>
            </w:rPr>
            <w:t>Postadres</w:t>
          </w:r>
          <w:r>
            <w:rPr>
              <w:b/>
            </w:rPr>
            <w:br/>
          </w:r>
          <w:r>
            <w:t>Postbus 20401</w:t>
          </w:r>
          <w:r w:rsidRPr="005819CE">
            <w:br/>
            <w:t>2500 E</w:t>
          </w:r>
          <w:r>
            <w:t>K</w:t>
          </w:r>
          <w:r w:rsidRPr="005819CE">
            <w:t xml:space="preserve"> Den Haag</w:t>
          </w:r>
        </w:p>
        <w:p w14:paraId="15A29A13" w14:textId="77777777" w:rsidR="00EF495B" w:rsidRPr="005B3814" w:rsidRDefault="00417EFD" w:rsidP="0098788A">
          <w:pPr>
            <w:pStyle w:val="Huisstijl-Adres"/>
          </w:pPr>
          <w:r>
            <w:rPr>
              <w:b/>
            </w:rPr>
            <w:t>Overheidsidentificatienr</w:t>
          </w:r>
          <w:r>
            <w:rPr>
              <w:b/>
            </w:rPr>
            <w:br/>
          </w:r>
          <w:r w:rsidRPr="005B3814">
            <w:t>00000001003214369000</w:t>
          </w:r>
        </w:p>
        <w:p w14:paraId="48B6265D" w14:textId="72710AAE" w:rsidR="00527BD4" w:rsidRPr="0001134B" w:rsidRDefault="00417EF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8E7E96" w:rsidRPr="0087015C" w14:paraId="43946816" w14:textId="77777777" w:rsidTr="0001134B">
      <w:trPr>
        <w:trHeight w:hRule="exact" w:val="80"/>
      </w:trPr>
      <w:tc>
        <w:tcPr>
          <w:tcW w:w="2160" w:type="dxa"/>
          <w:shd w:val="clear" w:color="auto" w:fill="auto"/>
        </w:tcPr>
        <w:p w14:paraId="56DEFCC8" w14:textId="77777777" w:rsidR="00527BD4" w:rsidRPr="002220F7" w:rsidRDefault="00527BD4" w:rsidP="00A50CF6"/>
      </w:tc>
    </w:tr>
    <w:tr w:rsidR="008E7E96" w14:paraId="4C9B94FB" w14:textId="77777777" w:rsidTr="00A50CF6">
      <w:tc>
        <w:tcPr>
          <w:tcW w:w="2160" w:type="dxa"/>
          <w:shd w:val="clear" w:color="auto" w:fill="auto"/>
        </w:tcPr>
        <w:p w14:paraId="2F69EF42" w14:textId="77777777" w:rsidR="000C0163" w:rsidRPr="005819CE" w:rsidRDefault="00417EFD" w:rsidP="000C0163">
          <w:pPr>
            <w:pStyle w:val="Huisstijl-Kopje"/>
          </w:pPr>
          <w:r>
            <w:t>Ons kenmerk</w:t>
          </w:r>
          <w:r w:rsidRPr="005819CE">
            <w:t xml:space="preserve"> </w:t>
          </w:r>
        </w:p>
        <w:p w14:paraId="0E0C7399" w14:textId="77777777" w:rsidR="000C0163" w:rsidRPr="005819CE" w:rsidRDefault="00417EFD" w:rsidP="000C0163">
          <w:pPr>
            <w:pStyle w:val="Huisstijl-Gegeven"/>
          </w:pPr>
          <w:r>
            <w:t>DGBI</w:t>
          </w:r>
          <w:r w:rsidR="00926AE2">
            <w:t xml:space="preserve"> / </w:t>
          </w:r>
          <w:r>
            <w:t>96555150</w:t>
          </w:r>
        </w:p>
        <w:p w14:paraId="0EBB660A" w14:textId="77777777" w:rsidR="00527BD4" w:rsidRPr="005819CE" w:rsidRDefault="00417EFD" w:rsidP="00A50CF6">
          <w:pPr>
            <w:pStyle w:val="Huisstijl-Kopje"/>
          </w:pPr>
          <w:r>
            <w:t>Uw kenmerk</w:t>
          </w:r>
        </w:p>
        <w:p w14:paraId="46463C9D" w14:textId="55284AE8" w:rsidR="00527BD4" w:rsidRPr="005819CE" w:rsidRDefault="00463FA1" w:rsidP="00A50CF6">
          <w:pPr>
            <w:pStyle w:val="Huisstijl-Gegeven"/>
          </w:pPr>
          <w:r w:rsidRPr="00463FA1">
            <w:t>2024Z20456/2024D49466</w:t>
          </w:r>
        </w:p>
        <w:p w14:paraId="2872866C" w14:textId="77777777" w:rsidR="00527BD4" w:rsidRPr="005819CE" w:rsidRDefault="00527BD4" w:rsidP="002220F7">
          <w:pPr>
            <w:pStyle w:val="Huisstijl-Kopje"/>
          </w:pPr>
        </w:p>
      </w:tc>
    </w:tr>
  </w:tbl>
  <w:p w14:paraId="07AF406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E7E96" w14:paraId="68451AB6" w14:textId="77777777" w:rsidTr="007610AA">
      <w:trPr>
        <w:trHeight w:val="400"/>
      </w:trPr>
      <w:tc>
        <w:tcPr>
          <w:tcW w:w="7520" w:type="dxa"/>
          <w:gridSpan w:val="2"/>
          <w:shd w:val="clear" w:color="auto" w:fill="auto"/>
        </w:tcPr>
        <w:p w14:paraId="69471D8A" w14:textId="77777777" w:rsidR="00527BD4" w:rsidRPr="00BC3B53" w:rsidRDefault="00417EFD" w:rsidP="00A50CF6">
          <w:pPr>
            <w:pStyle w:val="Huisstijl-Retouradres"/>
          </w:pPr>
          <w:r>
            <w:t>&gt; Retouradres Postbus 20401 2500 EK Den Haag</w:t>
          </w:r>
        </w:p>
      </w:tc>
    </w:tr>
    <w:tr w:rsidR="008E7E96" w14:paraId="381F7B2A" w14:textId="77777777" w:rsidTr="007610AA">
      <w:tc>
        <w:tcPr>
          <w:tcW w:w="7520" w:type="dxa"/>
          <w:gridSpan w:val="2"/>
          <w:shd w:val="clear" w:color="auto" w:fill="auto"/>
        </w:tcPr>
        <w:p w14:paraId="3E1EA151" w14:textId="77777777" w:rsidR="00527BD4" w:rsidRPr="00983E8F" w:rsidRDefault="00527BD4" w:rsidP="00A50CF6">
          <w:pPr>
            <w:pStyle w:val="Huisstijl-Rubricering"/>
          </w:pPr>
        </w:p>
      </w:tc>
    </w:tr>
    <w:tr w:rsidR="008E7E96" w14:paraId="5BD8B6F3" w14:textId="77777777" w:rsidTr="007610AA">
      <w:trPr>
        <w:trHeight w:hRule="exact" w:val="2440"/>
      </w:trPr>
      <w:tc>
        <w:tcPr>
          <w:tcW w:w="7520" w:type="dxa"/>
          <w:gridSpan w:val="2"/>
          <w:shd w:val="clear" w:color="auto" w:fill="auto"/>
        </w:tcPr>
        <w:p w14:paraId="71FD3EA9" w14:textId="77777777" w:rsidR="00417EFD" w:rsidRPr="00417EFD" w:rsidRDefault="00417EFD" w:rsidP="00417EFD">
          <w:pPr>
            <w:pStyle w:val="Huisstijl-NAW"/>
          </w:pPr>
          <w:r w:rsidRPr="00417EFD">
            <w:t xml:space="preserve">De Voorzitter van de Tweede Kamer </w:t>
          </w:r>
        </w:p>
        <w:p w14:paraId="1B59D494" w14:textId="77777777" w:rsidR="00417EFD" w:rsidRPr="00417EFD" w:rsidRDefault="00417EFD" w:rsidP="00417EFD">
          <w:pPr>
            <w:pStyle w:val="Huisstijl-NAW"/>
          </w:pPr>
          <w:r w:rsidRPr="00417EFD">
            <w:t xml:space="preserve">der Staten-Generaal </w:t>
          </w:r>
        </w:p>
        <w:p w14:paraId="603CFCEB" w14:textId="77777777" w:rsidR="00417EFD" w:rsidRPr="00417EFD" w:rsidRDefault="00417EFD" w:rsidP="00417EFD">
          <w:pPr>
            <w:pStyle w:val="Huisstijl-NAW"/>
          </w:pPr>
          <w:r w:rsidRPr="00417EFD">
            <w:t xml:space="preserve">Prinses Irenestraat 6 </w:t>
          </w:r>
        </w:p>
        <w:p w14:paraId="2AC4D2D3" w14:textId="5B74754A" w:rsidR="00527BD4" w:rsidRDefault="00417EFD" w:rsidP="00417EFD">
          <w:pPr>
            <w:pStyle w:val="Huisstijl-NAW"/>
          </w:pPr>
          <w:r w:rsidRPr="00417EFD">
            <w:t xml:space="preserve">2595 BD </w:t>
          </w:r>
          <w:r w:rsidR="002220F7">
            <w:t xml:space="preserve"> </w:t>
          </w:r>
          <w:r w:rsidRPr="00417EFD">
            <w:t>DEN HAAG</w:t>
          </w:r>
        </w:p>
      </w:tc>
    </w:tr>
    <w:tr w:rsidR="008E7E96" w14:paraId="364294A4" w14:textId="77777777" w:rsidTr="007610AA">
      <w:trPr>
        <w:trHeight w:hRule="exact" w:val="400"/>
      </w:trPr>
      <w:tc>
        <w:tcPr>
          <w:tcW w:w="7520" w:type="dxa"/>
          <w:gridSpan w:val="2"/>
          <w:shd w:val="clear" w:color="auto" w:fill="auto"/>
        </w:tcPr>
        <w:p w14:paraId="23EF815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E7E96" w14:paraId="35FC4C10" w14:textId="77777777" w:rsidTr="007610AA">
      <w:trPr>
        <w:trHeight w:val="240"/>
      </w:trPr>
      <w:tc>
        <w:tcPr>
          <w:tcW w:w="900" w:type="dxa"/>
          <w:shd w:val="clear" w:color="auto" w:fill="auto"/>
        </w:tcPr>
        <w:p w14:paraId="334D38D6" w14:textId="77777777" w:rsidR="00527BD4" w:rsidRPr="007709EF" w:rsidRDefault="00417EFD" w:rsidP="00A50CF6">
          <w:pPr>
            <w:rPr>
              <w:szCs w:val="18"/>
            </w:rPr>
          </w:pPr>
          <w:r>
            <w:rPr>
              <w:szCs w:val="18"/>
            </w:rPr>
            <w:t>Datum</w:t>
          </w:r>
        </w:p>
      </w:tc>
      <w:tc>
        <w:tcPr>
          <w:tcW w:w="6620" w:type="dxa"/>
          <w:shd w:val="clear" w:color="auto" w:fill="auto"/>
        </w:tcPr>
        <w:p w14:paraId="348A3ABE" w14:textId="70FC36E1" w:rsidR="00527BD4" w:rsidRPr="007709EF" w:rsidRDefault="0001134B" w:rsidP="00A50CF6">
          <w:r>
            <w:t>20 februari 2025</w:t>
          </w:r>
        </w:p>
      </w:tc>
    </w:tr>
    <w:tr w:rsidR="008E7E96" w14:paraId="4D6328CD" w14:textId="77777777" w:rsidTr="007610AA">
      <w:trPr>
        <w:trHeight w:val="240"/>
      </w:trPr>
      <w:tc>
        <w:tcPr>
          <w:tcW w:w="900" w:type="dxa"/>
          <w:shd w:val="clear" w:color="auto" w:fill="auto"/>
        </w:tcPr>
        <w:p w14:paraId="2AFECEC4" w14:textId="77777777" w:rsidR="00527BD4" w:rsidRPr="007709EF" w:rsidRDefault="00417EFD" w:rsidP="00A50CF6">
          <w:pPr>
            <w:rPr>
              <w:szCs w:val="18"/>
            </w:rPr>
          </w:pPr>
          <w:r>
            <w:rPr>
              <w:szCs w:val="18"/>
            </w:rPr>
            <w:t>Betreft</w:t>
          </w:r>
        </w:p>
      </w:tc>
      <w:tc>
        <w:tcPr>
          <w:tcW w:w="6620" w:type="dxa"/>
          <w:shd w:val="clear" w:color="auto" w:fill="auto"/>
        </w:tcPr>
        <w:p w14:paraId="0C4EFD96" w14:textId="77777777" w:rsidR="00527BD4" w:rsidRPr="007709EF" w:rsidRDefault="00417EFD" w:rsidP="00A50CF6">
          <w:r>
            <w:t>Kamerbrief over rechtsstaatconditionaliteit in het toekomstige cohesiebeleid van de Europese Unie</w:t>
          </w:r>
        </w:p>
      </w:tc>
    </w:tr>
  </w:tbl>
  <w:p w14:paraId="70211AF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1062E02">
      <w:start w:val="1"/>
      <w:numFmt w:val="bullet"/>
      <w:pStyle w:val="Lijstopsomteken"/>
      <w:lvlText w:val="•"/>
      <w:lvlJc w:val="left"/>
      <w:pPr>
        <w:tabs>
          <w:tab w:val="num" w:pos="227"/>
        </w:tabs>
        <w:ind w:left="227" w:hanging="227"/>
      </w:pPr>
      <w:rPr>
        <w:rFonts w:ascii="Verdana" w:hAnsi="Verdana" w:hint="default"/>
        <w:sz w:val="18"/>
        <w:szCs w:val="18"/>
      </w:rPr>
    </w:lvl>
    <w:lvl w:ilvl="1" w:tplc="498AA12E" w:tentative="1">
      <w:start w:val="1"/>
      <w:numFmt w:val="bullet"/>
      <w:lvlText w:val="o"/>
      <w:lvlJc w:val="left"/>
      <w:pPr>
        <w:tabs>
          <w:tab w:val="num" w:pos="1440"/>
        </w:tabs>
        <w:ind w:left="1440" w:hanging="360"/>
      </w:pPr>
      <w:rPr>
        <w:rFonts w:ascii="Courier New" w:hAnsi="Courier New" w:cs="Courier New" w:hint="default"/>
      </w:rPr>
    </w:lvl>
    <w:lvl w:ilvl="2" w:tplc="D71E5CDE" w:tentative="1">
      <w:start w:val="1"/>
      <w:numFmt w:val="bullet"/>
      <w:lvlText w:val=""/>
      <w:lvlJc w:val="left"/>
      <w:pPr>
        <w:tabs>
          <w:tab w:val="num" w:pos="2160"/>
        </w:tabs>
        <w:ind w:left="2160" w:hanging="360"/>
      </w:pPr>
      <w:rPr>
        <w:rFonts w:ascii="Wingdings" w:hAnsi="Wingdings" w:hint="default"/>
      </w:rPr>
    </w:lvl>
    <w:lvl w:ilvl="3" w:tplc="265634EA" w:tentative="1">
      <w:start w:val="1"/>
      <w:numFmt w:val="bullet"/>
      <w:lvlText w:val=""/>
      <w:lvlJc w:val="left"/>
      <w:pPr>
        <w:tabs>
          <w:tab w:val="num" w:pos="2880"/>
        </w:tabs>
        <w:ind w:left="2880" w:hanging="360"/>
      </w:pPr>
      <w:rPr>
        <w:rFonts w:ascii="Symbol" w:hAnsi="Symbol" w:hint="default"/>
      </w:rPr>
    </w:lvl>
    <w:lvl w:ilvl="4" w:tplc="6406D402" w:tentative="1">
      <w:start w:val="1"/>
      <w:numFmt w:val="bullet"/>
      <w:lvlText w:val="o"/>
      <w:lvlJc w:val="left"/>
      <w:pPr>
        <w:tabs>
          <w:tab w:val="num" w:pos="3600"/>
        </w:tabs>
        <w:ind w:left="3600" w:hanging="360"/>
      </w:pPr>
      <w:rPr>
        <w:rFonts w:ascii="Courier New" w:hAnsi="Courier New" w:cs="Courier New" w:hint="default"/>
      </w:rPr>
    </w:lvl>
    <w:lvl w:ilvl="5" w:tplc="D30ADE9E" w:tentative="1">
      <w:start w:val="1"/>
      <w:numFmt w:val="bullet"/>
      <w:lvlText w:val=""/>
      <w:lvlJc w:val="left"/>
      <w:pPr>
        <w:tabs>
          <w:tab w:val="num" w:pos="4320"/>
        </w:tabs>
        <w:ind w:left="4320" w:hanging="360"/>
      </w:pPr>
      <w:rPr>
        <w:rFonts w:ascii="Wingdings" w:hAnsi="Wingdings" w:hint="default"/>
      </w:rPr>
    </w:lvl>
    <w:lvl w:ilvl="6" w:tplc="17F0B732" w:tentative="1">
      <w:start w:val="1"/>
      <w:numFmt w:val="bullet"/>
      <w:lvlText w:val=""/>
      <w:lvlJc w:val="left"/>
      <w:pPr>
        <w:tabs>
          <w:tab w:val="num" w:pos="5040"/>
        </w:tabs>
        <w:ind w:left="5040" w:hanging="360"/>
      </w:pPr>
      <w:rPr>
        <w:rFonts w:ascii="Symbol" w:hAnsi="Symbol" w:hint="default"/>
      </w:rPr>
    </w:lvl>
    <w:lvl w:ilvl="7" w:tplc="8C309B80" w:tentative="1">
      <w:start w:val="1"/>
      <w:numFmt w:val="bullet"/>
      <w:lvlText w:val="o"/>
      <w:lvlJc w:val="left"/>
      <w:pPr>
        <w:tabs>
          <w:tab w:val="num" w:pos="5760"/>
        </w:tabs>
        <w:ind w:left="5760" w:hanging="360"/>
      </w:pPr>
      <w:rPr>
        <w:rFonts w:ascii="Courier New" w:hAnsi="Courier New" w:cs="Courier New" w:hint="default"/>
      </w:rPr>
    </w:lvl>
    <w:lvl w:ilvl="8" w:tplc="EEBA02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4706D84">
      <w:start w:val="1"/>
      <w:numFmt w:val="bullet"/>
      <w:pStyle w:val="Lijstopsomteken2"/>
      <w:lvlText w:val="–"/>
      <w:lvlJc w:val="left"/>
      <w:pPr>
        <w:tabs>
          <w:tab w:val="num" w:pos="227"/>
        </w:tabs>
        <w:ind w:left="227" w:firstLine="0"/>
      </w:pPr>
      <w:rPr>
        <w:rFonts w:ascii="Verdana" w:hAnsi="Verdana" w:hint="default"/>
      </w:rPr>
    </w:lvl>
    <w:lvl w:ilvl="1" w:tplc="D68422FE" w:tentative="1">
      <w:start w:val="1"/>
      <w:numFmt w:val="bullet"/>
      <w:lvlText w:val="o"/>
      <w:lvlJc w:val="left"/>
      <w:pPr>
        <w:tabs>
          <w:tab w:val="num" w:pos="1440"/>
        </w:tabs>
        <w:ind w:left="1440" w:hanging="360"/>
      </w:pPr>
      <w:rPr>
        <w:rFonts w:ascii="Courier New" w:hAnsi="Courier New" w:cs="Courier New" w:hint="default"/>
      </w:rPr>
    </w:lvl>
    <w:lvl w:ilvl="2" w:tplc="DCC4C77E" w:tentative="1">
      <w:start w:val="1"/>
      <w:numFmt w:val="bullet"/>
      <w:lvlText w:val=""/>
      <w:lvlJc w:val="left"/>
      <w:pPr>
        <w:tabs>
          <w:tab w:val="num" w:pos="2160"/>
        </w:tabs>
        <w:ind w:left="2160" w:hanging="360"/>
      </w:pPr>
      <w:rPr>
        <w:rFonts w:ascii="Wingdings" w:hAnsi="Wingdings" w:hint="default"/>
      </w:rPr>
    </w:lvl>
    <w:lvl w:ilvl="3" w:tplc="DCDA4C12" w:tentative="1">
      <w:start w:val="1"/>
      <w:numFmt w:val="bullet"/>
      <w:lvlText w:val=""/>
      <w:lvlJc w:val="left"/>
      <w:pPr>
        <w:tabs>
          <w:tab w:val="num" w:pos="2880"/>
        </w:tabs>
        <w:ind w:left="2880" w:hanging="360"/>
      </w:pPr>
      <w:rPr>
        <w:rFonts w:ascii="Symbol" w:hAnsi="Symbol" w:hint="default"/>
      </w:rPr>
    </w:lvl>
    <w:lvl w:ilvl="4" w:tplc="C1B6F090" w:tentative="1">
      <w:start w:val="1"/>
      <w:numFmt w:val="bullet"/>
      <w:lvlText w:val="o"/>
      <w:lvlJc w:val="left"/>
      <w:pPr>
        <w:tabs>
          <w:tab w:val="num" w:pos="3600"/>
        </w:tabs>
        <w:ind w:left="3600" w:hanging="360"/>
      </w:pPr>
      <w:rPr>
        <w:rFonts w:ascii="Courier New" w:hAnsi="Courier New" w:cs="Courier New" w:hint="default"/>
      </w:rPr>
    </w:lvl>
    <w:lvl w:ilvl="5" w:tplc="4A667902" w:tentative="1">
      <w:start w:val="1"/>
      <w:numFmt w:val="bullet"/>
      <w:lvlText w:val=""/>
      <w:lvlJc w:val="left"/>
      <w:pPr>
        <w:tabs>
          <w:tab w:val="num" w:pos="4320"/>
        </w:tabs>
        <w:ind w:left="4320" w:hanging="360"/>
      </w:pPr>
      <w:rPr>
        <w:rFonts w:ascii="Wingdings" w:hAnsi="Wingdings" w:hint="default"/>
      </w:rPr>
    </w:lvl>
    <w:lvl w:ilvl="6" w:tplc="A4D2866E" w:tentative="1">
      <w:start w:val="1"/>
      <w:numFmt w:val="bullet"/>
      <w:lvlText w:val=""/>
      <w:lvlJc w:val="left"/>
      <w:pPr>
        <w:tabs>
          <w:tab w:val="num" w:pos="5040"/>
        </w:tabs>
        <w:ind w:left="5040" w:hanging="360"/>
      </w:pPr>
      <w:rPr>
        <w:rFonts w:ascii="Symbol" w:hAnsi="Symbol" w:hint="default"/>
      </w:rPr>
    </w:lvl>
    <w:lvl w:ilvl="7" w:tplc="CF50AC82" w:tentative="1">
      <w:start w:val="1"/>
      <w:numFmt w:val="bullet"/>
      <w:lvlText w:val="o"/>
      <w:lvlJc w:val="left"/>
      <w:pPr>
        <w:tabs>
          <w:tab w:val="num" w:pos="5760"/>
        </w:tabs>
        <w:ind w:left="5760" w:hanging="360"/>
      </w:pPr>
      <w:rPr>
        <w:rFonts w:ascii="Courier New" w:hAnsi="Courier New" w:cs="Courier New" w:hint="default"/>
      </w:rPr>
    </w:lvl>
    <w:lvl w:ilvl="8" w:tplc="78AAAC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78736160">
    <w:abstractNumId w:val="10"/>
  </w:num>
  <w:num w:numId="2" w16cid:durableId="448742384">
    <w:abstractNumId w:val="7"/>
  </w:num>
  <w:num w:numId="3" w16cid:durableId="1475220643">
    <w:abstractNumId w:val="6"/>
  </w:num>
  <w:num w:numId="4" w16cid:durableId="241526173">
    <w:abstractNumId w:val="5"/>
  </w:num>
  <w:num w:numId="5" w16cid:durableId="1060590472">
    <w:abstractNumId w:val="4"/>
  </w:num>
  <w:num w:numId="6" w16cid:durableId="1847747626">
    <w:abstractNumId w:val="8"/>
  </w:num>
  <w:num w:numId="7" w16cid:durableId="1662194013">
    <w:abstractNumId w:val="3"/>
  </w:num>
  <w:num w:numId="8" w16cid:durableId="406876878">
    <w:abstractNumId w:val="2"/>
  </w:num>
  <w:num w:numId="9" w16cid:durableId="125009487">
    <w:abstractNumId w:val="1"/>
  </w:num>
  <w:num w:numId="10" w16cid:durableId="1551266009">
    <w:abstractNumId w:val="0"/>
  </w:num>
  <w:num w:numId="11" w16cid:durableId="551309453">
    <w:abstractNumId w:val="9"/>
  </w:num>
  <w:num w:numId="12" w16cid:durableId="1489595535">
    <w:abstractNumId w:val="11"/>
  </w:num>
  <w:num w:numId="13" w16cid:durableId="1639262413">
    <w:abstractNumId w:val="13"/>
  </w:num>
  <w:num w:numId="14" w16cid:durableId="44612029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134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1B14"/>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0F7"/>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A6364"/>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11F9"/>
    <w:rsid w:val="0037396C"/>
    <w:rsid w:val="0037421D"/>
    <w:rsid w:val="00376093"/>
    <w:rsid w:val="003779BE"/>
    <w:rsid w:val="00383DA1"/>
    <w:rsid w:val="00385F30"/>
    <w:rsid w:val="00393696"/>
    <w:rsid w:val="00393963"/>
    <w:rsid w:val="00395575"/>
    <w:rsid w:val="00395672"/>
    <w:rsid w:val="003A06C8"/>
    <w:rsid w:val="003A0D7C"/>
    <w:rsid w:val="003A5290"/>
    <w:rsid w:val="003A591B"/>
    <w:rsid w:val="003B0155"/>
    <w:rsid w:val="003B7EE7"/>
    <w:rsid w:val="003C2CCB"/>
    <w:rsid w:val="003D2123"/>
    <w:rsid w:val="003D39EC"/>
    <w:rsid w:val="003D5DED"/>
    <w:rsid w:val="003E3DD5"/>
    <w:rsid w:val="003F07C6"/>
    <w:rsid w:val="003F1F6B"/>
    <w:rsid w:val="003F3757"/>
    <w:rsid w:val="003F38BD"/>
    <w:rsid w:val="003F44B7"/>
    <w:rsid w:val="004008E9"/>
    <w:rsid w:val="00413D48"/>
    <w:rsid w:val="00417EFD"/>
    <w:rsid w:val="00441AC2"/>
    <w:rsid w:val="0044249B"/>
    <w:rsid w:val="004425CC"/>
    <w:rsid w:val="0045023C"/>
    <w:rsid w:val="00451A5B"/>
    <w:rsid w:val="00452BCD"/>
    <w:rsid w:val="00452CEA"/>
    <w:rsid w:val="00463FA1"/>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40B5"/>
    <w:rsid w:val="005C65B5"/>
    <w:rsid w:val="005C740C"/>
    <w:rsid w:val="005C7B41"/>
    <w:rsid w:val="005D625B"/>
    <w:rsid w:val="005F62D3"/>
    <w:rsid w:val="005F6D11"/>
    <w:rsid w:val="00600CF0"/>
    <w:rsid w:val="006048F4"/>
    <w:rsid w:val="0060660A"/>
    <w:rsid w:val="00613B1D"/>
    <w:rsid w:val="00617A44"/>
    <w:rsid w:val="006202B6"/>
    <w:rsid w:val="00625CD0"/>
    <w:rsid w:val="0062627D"/>
    <w:rsid w:val="00627432"/>
    <w:rsid w:val="00627D17"/>
    <w:rsid w:val="0063237C"/>
    <w:rsid w:val="006448E4"/>
    <w:rsid w:val="00645414"/>
    <w:rsid w:val="00651CEE"/>
    <w:rsid w:val="00653606"/>
    <w:rsid w:val="006610E9"/>
    <w:rsid w:val="00661591"/>
    <w:rsid w:val="0066232E"/>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22F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58A"/>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015C"/>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E7E96"/>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4C7"/>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19D"/>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195E"/>
    <w:rsid w:val="00B331A2"/>
    <w:rsid w:val="00B425F0"/>
    <w:rsid w:val="00B42DFA"/>
    <w:rsid w:val="00B531DD"/>
    <w:rsid w:val="00B55014"/>
    <w:rsid w:val="00B62232"/>
    <w:rsid w:val="00B70BF3"/>
    <w:rsid w:val="00B71DC2"/>
    <w:rsid w:val="00B8435F"/>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4915"/>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348A"/>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1CC6"/>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29D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FD81F"/>
  <w15:docId w15:val="{68AAF82E-24BF-4839-A06E-7FB8748A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463FA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0/04/visiepaper-cohesiebeleid-post-2027" TargetMode="External"/><Relationship Id="rId2" Type="http://schemas.openxmlformats.org/officeDocument/2006/relationships/hyperlink" Target="https://eur-lex.europa.eu/legal-content/NL/TXT/?uri=CELEX:32020R2092" TargetMode="External"/><Relationship Id="rId1" Type="http://schemas.openxmlformats.org/officeDocument/2006/relationships/hyperlink" Target="https://eur-lex.europa.eu/legal-content/NL/TXT/?uri=CELEX:02021R1060-20240630&amp;qid=1736871446952" TargetMode="External"/><Relationship Id="rId5" Type="http://schemas.openxmlformats.org/officeDocument/2006/relationships/hyperlink" Target="https://www.bmwk.de/Redaktion/EN/Downloads/S-T/statement-cohesion-policy-beyond-2027.html" TargetMode="External"/><Relationship Id="rId4" Type="http://schemas.openxmlformats.org/officeDocument/2006/relationships/hyperlink" Target="https://open.overheid.nl/documenten/6c9163da-5962-4b8d-9045-a88167a047a7/fi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384</ap:Words>
  <ap:Characters>2117</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2025-02-20T15:25:00.0000000Z</dcterms:created>
  <dcterms:modified xsi:type="dcterms:W3CDTF">2025-02-20T15:25:00.0000000Z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baard</vt:lpwstr>
  </property>
  <property fmtid="{D5CDD505-2E9C-101B-9397-08002B2CF9AE}" pid="3" name="AUTHOR_ID">
    <vt:lpwstr>baard</vt:lpwstr>
  </property>
  <property fmtid="{D5CDD505-2E9C-101B-9397-08002B2CF9AE}" pid="4" name="A_ADRES">
    <vt:lpwstr>Tweede Kamer</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Kamerbrief over rechtsstaatconditionaliteit in het toekomstige cohesiebeleid van de Europese Unie</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baard</vt:lpwstr>
  </property>
</Properties>
</file>