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484639" w:rsidTr="00D9561B" w14:paraId="4486C334" w14:textId="77777777">
        <w:trPr>
          <w:trHeight w:val="1514"/>
        </w:trPr>
        <w:tc>
          <w:tcPr>
            <w:tcW w:w="7522" w:type="dxa"/>
            <w:tcBorders>
              <w:top w:val="nil"/>
              <w:left w:val="nil"/>
              <w:bottom w:val="nil"/>
              <w:right w:val="nil"/>
            </w:tcBorders>
            <w:tcMar>
              <w:left w:w="0" w:type="dxa"/>
              <w:right w:w="0" w:type="dxa"/>
            </w:tcMar>
          </w:tcPr>
          <w:p w:rsidR="00374412" w:rsidP="00D9561B" w:rsidRDefault="0082290B" w14:paraId="3C766A49" w14:textId="77777777">
            <w:r>
              <w:t>De v</w:t>
            </w:r>
            <w:r w:rsidR="008E3932">
              <w:t>oorzitter van de Tweede Kamer der Staten-Generaal</w:t>
            </w:r>
          </w:p>
          <w:p w:rsidR="00374412" w:rsidP="00D9561B" w:rsidRDefault="0082290B" w14:paraId="25D85068" w14:textId="77777777">
            <w:r>
              <w:t>Postbus 20018</w:t>
            </w:r>
          </w:p>
          <w:p w:rsidR="008E3932" w:rsidP="00D9561B" w:rsidRDefault="0082290B" w14:paraId="7691701B"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484639" w:rsidTr="00FF66F9" w14:paraId="350EBD04" w14:textId="77777777">
        <w:trPr>
          <w:trHeight w:val="289" w:hRule="exact"/>
        </w:trPr>
        <w:tc>
          <w:tcPr>
            <w:tcW w:w="929" w:type="dxa"/>
          </w:tcPr>
          <w:p w:rsidRPr="00434042" w:rsidR="0005404B" w:rsidP="00FF66F9" w:rsidRDefault="0082290B" w14:paraId="00FB846D" w14:textId="77777777">
            <w:pPr>
              <w:rPr>
                <w:lang w:eastAsia="en-US"/>
              </w:rPr>
            </w:pPr>
            <w:r>
              <w:rPr>
                <w:lang w:eastAsia="en-US"/>
              </w:rPr>
              <w:t>Datum</w:t>
            </w:r>
          </w:p>
        </w:tc>
        <w:tc>
          <w:tcPr>
            <w:tcW w:w="6581" w:type="dxa"/>
          </w:tcPr>
          <w:p w:rsidRPr="00434042" w:rsidR="0005404B" w:rsidP="00FF66F9" w:rsidRDefault="00461DBD" w14:paraId="4C13F79A" w14:textId="01BE7B43">
            <w:pPr>
              <w:rPr>
                <w:lang w:eastAsia="en-US"/>
              </w:rPr>
            </w:pPr>
            <w:r>
              <w:rPr>
                <w:lang w:eastAsia="en-US"/>
              </w:rPr>
              <w:t>20 februari 2025</w:t>
            </w:r>
          </w:p>
        </w:tc>
      </w:tr>
      <w:tr w:rsidR="00484639" w:rsidTr="00FF66F9" w14:paraId="3F906F8B" w14:textId="77777777">
        <w:trPr>
          <w:trHeight w:val="368"/>
        </w:trPr>
        <w:tc>
          <w:tcPr>
            <w:tcW w:w="929" w:type="dxa"/>
          </w:tcPr>
          <w:p w:rsidR="0005404B" w:rsidP="00FF66F9" w:rsidRDefault="0082290B" w14:paraId="1176213E" w14:textId="77777777">
            <w:pPr>
              <w:rPr>
                <w:lang w:eastAsia="en-US"/>
              </w:rPr>
            </w:pPr>
            <w:r>
              <w:rPr>
                <w:lang w:eastAsia="en-US"/>
              </w:rPr>
              <w:t>Betreft</w:t>
            </w:r>
          </w:p>
        </w:tc>
        <w:tc>
          <w:tcPr>
            <w:tcW w:w="6581" w:type="dxa"/>
          </w:tcPr>
          <w:p w:rsidR="0005404B" w:rsidP="00FF66F9" w:rsidRDefault="0082290B" w14:paraId="7BE5F261" w14:textId="472A6FCD">
            <w:pPr>
              <w:rPr>
                <w:lang w:eastAsia="en-US"/>
              </w:rPr>
            </w:pPr>
            <w:r>
              <w:rPr>
                <w:lang w:eastAsia="en-US"/>
              </w:rPr>
              <w:t>Sponsorconvenant 202</w:t>
            </w:r>
            <w:r w:rsidR="00AD0240">
              <w:rPr>
                <w:lang w:eastAsia="en-US"/>
              </w:rPr>
              <w:t>5</w:t>
            </w:r>
            <w:r>
              <w:rPr>
                <w:lang w:eastAsia="en-US"/>
              </w:rPr>
              <w:t>-202</w:t>
            </w:r>
            <w:r w:rsidR="00AD0240">
              <w:rPr>
                <w:lang w:eastAsia="en-US"/>
              </w:rPr>
              <w:t>9</w:t>
            </w:r>
          </w:p>
        </w:tc>
      </w:tr>
    </w:tbl>
    <w:p w:rsidR="00484639" w:rsidRDefault="001C2C36" w14:paraId="23140E86"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461DBD" w:rsidR="00484639" w:rsidTr="00A421A1" w14:paraId="45CC3862" w14:textId="77777777">
        <w:tc>
          <w:tcPr>
            <w:tcW w:w="2160" w:type="dxa"/>
          </w:tcPr>
          <w:p w:rsidRPr="00F53C9D" w:rsidR="006205C0" w:rsidP="00686AED" w:rsidRDefault="0082290B" w14:paraId="537DFB27" w14:textId="77777777">
            <w:pPr>
              <w:pStyle w:val="Colofonkop"/>
              <w:framePr w:hSpace="0" w:wrap="auto" w:hAnchor="text" w:vAnchor="margin" w:xAlign="left" w:yAlign="inline"/>
            </w:pPr>
            <w:r>
              <w:t>Onderwijsprestaties en Voortgezet Onderwijs</w:t>
            </w:r>
          </w:p>
          <w:p w:rsidR="006205C0" w:rsidP="00A421A1" w:rsidRDefault="0082290B" w14:paraId="2318E428" w14:textId="77777777">
            <w:pPr>
              <w:pStyle w:val="Huisstijl-Gegeven"/>
              <w:spacing w:after="0"/>
            </w:pPr>
            <w:r>
              <w:t xml:space="preserve">Rijnstraat 50 </w:t>
            </w:r>
          </w:p>
          <w:p w:rsidR="004425A7" w:rsidP="00E972A2" w:rsidRDefault="0082290B" w14:paraId="0CF595F8" w14:textId="77777777">
            <w:pPr>
              <w:pStyle w:val="Huisstijl-Gegeven"/>
              <w:spacing w:after="0"/>
            </w:pPr>
            <w:r>
              <w:t>Den Haag</w:t>
            </w:r>
          </w:p>
          <w:p w:rsidR="004425A7" w:rsidP="00E972A2" w:rsidRDefault="0082290B" w14:paraId="448710DA" w14:textId="77777777">
            <w:pPr>
              <w:pStyle w:val="Huisstijl-Gegeven"/>
              <w:spacing w:after="0"/>
            </w:pPr>
            <w:r>
              <w:t>Postbus 16375</w:t>
            </w:r>
          </w:p>
          <w:p w:rsidR="004425A7" w:rsidP="00E972A2" w:rsidRDefault="0082290B" w14:paraId="0C9E5929" w14:textId="77777777">
            <w:pPr>
              <w:pStyle w:val="Huisstijl-Gegeven"/>
              <w:spacing w:after="0"/>
            </w:pPr>
            <w:r>
              <w:t>2500 BJ Den Haag</w:t>
            </w:r>
          </w:p>
          <w:p w:rsidR="004425A7" w:rsidP="00E972A2" w:rsidRDefault="0082290B" w14:paraId="31CF24D4" w14:textId="77777777">
            <w:pPr>
              <w:pStyle w:val="Huisstijl-Gegeven"/>
              <w:spacing w:after="90"/>
            </w:pPr>
            <w:r>
              <w:t>www.rijksoverheid.nl</w:t>
            </w:r>
          </w:p>
          <w:p w:rsidRPr="00D86CC6" w:rsidR="006205C0" w:rsidP="00A421A1" w:rsidRDefault="0082290B" w14:paraId="72C4B5ED" w14:textId="77777777">
            <w:pPr>
              <w:spacing w:line="180" w:lineRule="exact"/>
              <w:rPr>
                <w:b/>
                <w:sz w:val="13"/>
                <w:szCs w:val="13"/>
              </w:rPr>
            </w:pPr>
            <w:r>
              <w:rPr>
                <w:b/>
                <w:sz w:val="13"/>
                <w:szCs w:val="13"/>
              </w:rPr>
              <w:t>Contactpersoon</w:t>
            </w:r>
          </w:p>
          <w:p w:rsidRPr="000E5C4B" w:rsidR="006205C0" w:rsidP="00285B27" w:rsidRDefault="006205C0" w14:paraId="757C8A22" w14:textId="29D2D4AA">
            <w:pPr>
              <w:spacing w:line="180" w:lineRule="exact"/>
              <w:rPr>
                <w:sz w:val="13"/>
                <w:szCs w:val="13"/>
                <w:lang w:val="en-US"/>
              </w:rPr>
            </w:pPr>
          </w:p>
        </w:tc>
      </w:tr>
      <w:tr w:rsidRPr="00461DBD" w:rsidR="00484639" w:rsidTr="00A421A1" w14:paraId="62671D47" w14:textId="77777777">
        <w:trPr>
          <w:trHeight w:val="200" w:hRule="exact"/>
        </w:trPr>
        <w:tc>
          <w:tcPr>
            <w:tcW w:w="2160" w:type="dxa"/>
          </w:tcPr>
          <w:p w:rsidRPr="000E5C4B" w:rsidR="006205C0" w:rsidP="00A421A1" w:rsidRDefault="006205C0" w14:paraId="469BCF28" w14:textId="77777777">
            <w:pPr>
              <w:spacing w:after="90" w:line="180" w:lineRule="exact"/>
              <w:rPr>
                <w:sz w:val="13"/>
                <w:szCs w:val="13"/>
                <w:lang w:val="en-US"/>
              </w:rPr>
            </w:pPr>
          </w:p>
        </w:tc>
      </w:tr>
      <w:tr w:rsidR="00484639" w:rsidTr="00A421A1" w14:paraId="2A9E8CEB" w14:textId="77777777">
        <w:trPr>
          <w:trHeight w:val="450"/>
        </w:trPr>
        <w:tc>
          <w:tcPr>
            <w:tcW w:w="2160" w:type="dxa"/>
          </w:tcPr>
          <w:p w:rsidR="00F51A76" w:rsidP="00A421A1" w:rsidRDefault="0082290B" w14:paraId="28DB0E47" w14:textId="77777777">
            <w:pPr>
              <w:spacing w:line="180" w:lineRule="exact"/>
              <w:rPr>
                <w:b/>
                <w:sz w:val="13"/>
                <w:szCs w:val="13"/>
              </w:rPr>
            </w:pPr>
            <w:r>
              <w:rPr>
                <w:b/>
                <w:sz w:val="13"/>
                <w:szCs w:val="13"/>
              </w:rPr>
              <w:t>Onze referentie</w:t>
            </w:r>
          </w:p>
          <w:p w:rsidRPr="00FA7882" w:rsidR="006205C0" w:rsidP="00215356" w:rsidRDefault="00F31255" w14:paraId="76BF7954" w14:textId="51E67663">
            <w:pPr>
              <w:spacing w:line="180" w:lineRule="exact"/>
              <w:rPr>
                <w:sz w:val="13"/>
                <w:szCs w:val="13"/>
              </w:rPr>
            </w:pPr>
            <w:r w:rsidRPr="00F31255">
              <w:rPr>
                <w:sz w:val="13"/>
                <w:szCs w:val="13"/>
              </w:rPr>
              <w:t>49400520</w:t>
            </w:r>
          </w:p>
        </w:tc>
      </w:tr>
      <w:tr w:rsidR="00484639" w:rsidTr="00D130C0" w14:paraId="14289678" w14:textId="77777777">
        <w:trPr>
          <w:trHeight w:val="113"/>
        </w:trPr>
        <w:tc>
          <w:tcPr>
            <w:tcW w:w="2160" w:type="dxa"/>
          </w:tcPr>
          <w:p w:rsidRPr="00C5333A" w:rsidR="006205C0" w:rsidP="00D36088" w:rsidRDefault="0082290B" w14:paraId="1F90E186" w14:textId="77777777">
            <w:pPr>
              <w:tabs>
                <w:tab w:val="center" w:pos="1080"/>
              </w:tabs>
              <w:spacing w:line="180" w:lineRule="exact"/>
              <w:rPr>
                <w:sz w:val="13"/>
                <w:szCs w:val="13"/>
              </w:rPr>
            </w:pPr>
            <w:r>
              <w:rPr>
                <w:b/>
                <w:sz w:val="13"/>
                <w:szCs w:val="13"/>
              </w:rPr>
              <w:t>Bijlagen</w:t>
            </w:r>
          </w:p>
        </w:tc>
      </w:tr>
      <w:tr w:rsidR="00484639" w:rsidTr="00D130C0" w14:paraId="36552E06" w14:textId="77777777">
        <w:trPr>
          <w:trHeight w:val="113"/>
        </w:trPr>
        <w:tc>
          <w:tcPr>
            <w:tcW w:w="2160" w:type="dxa"/>
          </w:tcPr>
          <w:p w:rsidRPr="00D74F66" w:rsidR="006205C0" w:rsidP="00A421A1" w:rsidRDefault="0082290B" w14:paraId="74212353" w14:textId="7F766126">
            <w:pPr>
              <w:spacing w:after="90" w:line="180" w:lineRule="exact"/>
              <w:rPr>
                <w:sz w:val="13"/>
              </w:rPr>
            </w:pPr>
            <w:r>
              <w:rPr>
                <w:sz w:val="13"/>
              </w:rPr>
              <w:t>1</w:t>
            </w:r>
            <w:r w:rsidR="001C0F78">
              <w:rPr>
                <w:sz w:val="13"/>
              </w:rPr>
              <w:t>. Sponsorconvenant  202</w:t>
            </w:r>
            <w:r w:rsidR="00AD0240">
              <w:rPr>
                <w:sz w:val="13"/>
              </w:rPr>
              <w:t>5</w:t>
            </w:r>
            <w:r w:rsidR="001C0F78">
              <w:rPr>
                <w:sz w:val="13"/>
              </w:rPr>
              <w:t>-202</w:t>
            </w:r>
            <w:r w:rsidR="00AD0240">
              <w:rPr>
                <w:sz w:val="13"/>
              </w:rPr>
              <w:t>9</w:t>
            </w:r>
          </w:p>
        </w:tc>
      </w:tr>
    </w:tbl>
    <w:p w:rsidR="00D34885" w:rsidP="00A421A1" w:rsidRDefault="00D34885" w14:paraId="613A020C" w14:textId="77777777"/>
    <w:p w:rsidR="000E5C4B" w:rsidP="000E5C4B" w:rsidRDefault="00541718" w14:paraId="71C7D5E5" w14:textId="18E46AF0">
      <w:r>
        <w:t xml:space="preserve">Tijdens de behandeling van de begroting over 2023 heb ik </w:t>
      </w:r>
      <w:r w:rsidR="00D34885">
        <w:t xml:space="preserve">aan </w:t>
      </w:r>
      <w:r>
        <w:t xml:space="preserve">uw </w:t>
      </w:r>
      <w:r w:rsidR="00D34885">
        <w:t>K</w:t>
      </w:r>
      <w:r>
        <w:t xml:space="preserve">amer </w:t>
      </w:r>
      <w:r w:rsidR="00D34885">
        <w:t xml:space="preserve">toegezegd </w:t>
      </w:r>
      <w:r>
        <w:t>het sponsorconvenant</w:t>
      </w:r>
      <w:r w:rsidRPr="00D34885" w:rsidR="00D34885">
        <w:t xml:space="preserve"> </w:t>
      </w:r>
      <w:r w:rsidR="00D34885">
        <w:t>te evalueren en te bezien of een vervolg wenselijk is.</w:t>
      </w:r>
      <w:r>
        <w:rPr>
          <w:rStyle w:val="Voetnootmarkering"/>
        </w:rPr>
        <w:footnoteReference w:id="1"/>
      </w:r>
      <w:r>
        <w:t xml:space="preserve"> Die stappen heb ik met </w:t>
      </w:r>
      <w:r w:rsidR="00D34885">
        <w:t>vertegenwoordigers van het onderwijsveld</w:t>
      </w:r>
      <w:r w:rsidR="00EF0C1C">
        <w:t xml:space="preserve">, maatschappelijke organisaties, </w:t>
      </w:r>
      <w:r w:rsidR="00D34885">
        <w:t>het bedrijfsleven</w:t>
      </w:r>
      <w:r w:rsidR="00EF0C1C">
        <w:t xml:space="preserve"> en andere stakeholders</w:t>
      </w:r>
      <w:r w:rsidR="00D34885">
        <w:t xml:space="preserve"> </w:t>
      </w:r>
      <w:r>
        <w:t xml:space="preserve">de afgelopen periode gezet. </w:t>
      </w:r>
      <w:r w:rsidR="001F35CC">
        <w:t>Het is goed</w:t>
      </w:r>
      <w:r w:rsidR="003C6C1A">
        <w:t xml:space="preserve"> </w:t>
      </w:r>
      <w:r w:rsidR="000E5C4B">
        <w:t>dat we tot een vernieuwd sponsorconvenant zijn gekomen.</w:t>
      </w:r>
      <w:r w:rsidR="000D42C5">
        <w:rPr>
          <w:rStyle w:val="Voetnootmarkering"/>
        </w:rPr>
        <w:footnoteReference w:id="2"/>
      </w:r>
      <w:r w:rsidR="000E5C4B">
        <w:t xml:space="preserve"> Hieronder geef ik een toelichting van de uitgangspunten van het sponsorconvenant, de uitkomsten van </w:t>
      </w:r>
      <w:r w:rsidR="00D34885">
        <w:t>evaluatie</w:t>
      </w:r>
      <w:r w:rsidR="000E5C4B">
        <w:t>gesprekken met de convenantpartijen en de navenante wijzigingen in het sponsorconvenant</w:t>
      </w:r>
      <w:r w:rsidR="00D34885">
        <w:t>.</w:t>
      </w:r>
    </w:p>
    <w:p w:rsidR="000E5C4B" w:rsidP="000E5C4B" w:rsidRDefault="000E5C4B" w14:paraId="1BB0E3AB" w14:textId="77777777"/>
    <w:p w:rsidR="000E5C4B" w:rsidP="000E5C4B" w:rsidRDefault="000E5C4B" w14:paraId="1A65A249" w14:textId="5D06AE32">
      <w:pPr>
        <w:rPr>
          <w:i/>
          <w:iCs/>
        </w:rPr>
      </w:pPr>
      <w:r>
        <w:rPr>
          <w:i/>
          <w:iCs/>
        </w:rPr>
        <w:t>Uitgangspunten van het</w:t>
      </w:r>
      <w:r w:rsidRPr="000E5C4B">
        <w:rPr>
          <w:i/>
          <w:iCs/>
        </w:rPr>
        <w:t xml:space="preserve"> sponsorconvenant </w:t>
      </w:r>
    </w:p>
    <w:p w:rsidR="001F35CC" w:rsidP="001F35CC" w:rsidRDefault="001F35CC" w14:paraId="42E7A393" w14:textId="77777777">
      <w:r>
        <w:t>Scholen staan midden in de maatschappij en werken, vooral op lokaal niveau, soms samen met commerciële partners. Van de groenteboer die fruit verzorgt tijdens een zomerfeest, tot een bezoek van een grote werkgever uit de regio om leerlingen bekend te maken met technische beroepen. Dit verrijkt de schooltijd van leerlingen. In sommige gevallen is bij dit soort samenwerking sprake van sponsoring: als een school in ruil voor een geldelijke of materi</w:t>
      </w:r>
      <w:r w:rsidRPr="00A16239">
        <w:t>ë</w:t>
      </w:r>
      <w:r>
        <w:t>le bijdrage, of vrijstelling van een (een deel) van de bijdrage, een tegenprestatie op zich neemt waar leerlingen mee te maken krijgen, en deze bijdrage niet is gebaseerd op de onderwijswetgeving, noemen we dat sponsoring. Sponsoring kan ongewenste vormen aannemen, bijvoorbeeld als het onderwijs te afhankelijk wordt van geldelijke bijdragen van bedrijven.</w:t>
      </w:r>
    </w:p>
    <w:p w:rsidR="001F35CC" w:rsidP="001F35CC" w:rsidRDefault="001F35CC" w14:paraId="4B7B1385" w14:textId="77777777"/>
    <w:p w:rsidR="000E5C4B" w:rsidP="000E5C4B" w:rsidRDefault="001F35CC" w14:paraId="1D8F7B55" w14:textId="7C32B302">
      <w:r>
        <w:t xml:space="preserve">Met het sponsorconvenant helpen we scholen bij zorgvuldige en transparante besluitvorming over het aangaan van sponsorovereenkomsten. Hier zijn namelijk regels voor: in de wet is vastgelegd dat het bevoegd gezag de </w:t>
      </w:r>
      <w:r>
        <w:lastRenderedPageBreak/>
        <w:t xml:space="preserve">medezeggenschapsraad moet betrekken bij besluiten over sponsoring. Ook zijn de informatieplicht en klachtenregeling wettelijk vastgelegd. Daarnaast moet het sponsorbeleid in het schoolplan en de schoolgids staan. </w:t>
      </w:r>
    </w:p>
    <w:p w:rsidR="00D572BD" w:rsidP="000E5C4B" w:rsidRDefault="00D572BD" w14:paraId="106D5C66" w14:textId="77777777"/>
    <w:p w:rsidRPr="000E5C4B" w:rsidR="000E5C4B" w:rsidP="000E5C4B" w:rsidRDefault="000E5C4B" w14:paraId="3BADA018" w14:textId="51A7630B">
      <w:pPr>
        <w:rPr>
          <w:i/>
          <w:iCs/>
        </w:rPr>
      </w:pPr>
      <w:r w:rsidRPr="000E5C4B">
        <w:rPr>
          <w:i/>
          <w:iCs/>
        </w:rPr>
        <w:t>Uitkomsten evaluatiegesprekken</w:t>
      </w:r>
    </w:p>
    <w:p w:rsidR="001F35CC" w:rsidP="000E5C4B" w:rsidRDefault="000E5C4B" w14:paraId="014F8D22" w14:textId="2A6DB8B6">
      <w:r>
        <w:t xml:space="preserve">Uit evaluatiegesprekken met de convenantpartijen blijkt dat </w:t>
      </w:r>
      <w:r w:rsidR="001F35CC">
        <w:t>scholen bij sponsoring doorgaans handelen conform de wet- en regelgeving en de normen zoals beschreven in het sponsor</w:t>
      </w:r>
      <w:r w:rsidR="00A611CE">
        <w:t>con</w:t>
      </w:r>
      <w:r w:rsidR="001F35CC">
        <w:t xml:space="preserve">venant. Daarbij hanteren zij, ook in het vernieuwde sponsorconvenant, de volgende uitgangspunten: </w:t>
      </w:r>
    </w:p>
    <w:p w:rsidR="001F35CC" w:rsidP="001F35CC" w:rsidRDefault="001F35CC" w14:paraId="2786AAFA" w14:textId="77777777">
      <w:pPr>
        <w:pStyle w:val="Lijstalinea"/>
        <w:numPr>
          <w:ilvl w:val="0"/>
          <w:numId w:val="16"/>
        </w:numPr>
      </w:pPr>
      <w:r>
        <w:t>de onderwijsinhoud mag niet worden beïnvloed;</w:t>
      </w:r>
    </w:p>
    <w:p w:rsidR="001F35CC" w:rsidP="001F35CC" w:rsidRDefault="001F35CC" w14:paraId="745A0D1D" w14:textId="77777777">
      <w:pPr>
        <w:pStyle w:val="Lijstalinea"/>
        <w:numPr>
          <w:ilvl w:val="0"/>
          <w:numId w:val="16"/>
        </w:numPr>
      </w:pPr>
      <w:r>
        <w:t>de samenwerking mag de ontwikkeling van kinderen niet schaden;</w:t>
      </w:r>
    </w:p>
    <w:p w:rsidR="001F35CC" w:rsidP="001F35CC" w:rsidRDefault="001F35CC" w14:paraId="3DB5F8A3" w14:textId="77777777">
      <w:pPr>
        <w:pStyle w:val="Lijstalinea"/>
        <w:numPr>
          <w:ilvl w:val="0"/>
          <w:numId w:val="16"/>
        </w:numPr>
      </w:pPr>
      <w:r>
        <w:t>het uitvoeren van de kernactiviteiten van de school mag niet afhankelijk van sponsoring worden;</w:t>
      </w:r>
    </w:p>
    <w:p w:rsidR="001F35CC" w:rsidP="001F35CC" w:rsidRDefault="001F35CC" w14:paraId="09105CA9" w14:textId="77777777">
      <w:pPr>
        <w:pStyle w:val="Lijstalinea"/>
        <w:numPr>
          <w:ilvl w:val="0"/>
          <w:numId w:val="16"/>
        </w:numPr>
      </w:pPr>
      <w:r>
        <w:t>alle betrokkenen bij de school moeten op een zorgvuldige manier met sponsoring omgaan.</w:t>
      </w:r>
    </w:p>
    <w:p w:rsidR="000E5C4B" w:rsidP="00D572BD" w:rsidRDefault="000E5C4B" w14:paraId="5BCE055D" w14:textId="77777777">
      <w:pPr>
        <w:spacing w:line="240" w:lineRule="auto"/>
      </w:pPr>
    </w:p>
    <w:p w:rsidR="00B42E66" w:rsidP="00B42E66" w:rsidRDefault="001F35CC" w14:paraId="079A816E" w14:textId="123F3B0B">
      <w:r>
        <w:t xml:space="preserve">De convenantpartijen geven in evaluatiegesprekken aan dat zij het desalniettemin verstandig vinden dat het sponsorconvenant er is als handvat en om in voorkomende gevallen op terug te vallen. Daarom is </w:t>
      </w:r>
      <w:r w:rsidR="000E5C4B">
        <w:t xml:space="preserve">het sponsorconvenant onder meer aangescherpt op definitie, looptijd en brede toepasbaarheid. </w:t>
      </w:r>
      <w:r w:rsidR="00B42E66">
        <w:t xml:space="preserve">Door de kernachtigere beschrijving van de uitgangspunten van sponsoring worden scholen en bedrijven beter in staat gesteld om weloverwogen beslissingen te nemen op het gebied van sponsoring. </w:t>
      </w:r>
    </w:p>
    <w:p w:rsidR="00B42E66" w:rsidP="000E5C4B" w:rsidRDefault="00B42E66" w14:paraId="6DF50F7D" w14:textId="77777777"/>
    <w:p w:rsidR="00F93F94" w:rsidP="000E5C4B" w:rsidRDefault="00B42E66" w14:paraId="49D00EE3" w14:textId="59B1804A">
      <w:r>
        <w:t>C</w:t>
      </w:r>
      <w:r w:rsidR="000E5C4B">
        <w:t xml:space="preserve">oncrete voorbeelden van sponsoring </w:t>
      </w:r>
      <w:r>
        <w:t xml:space="preserve">zijn </w:t>
      </w:r>
      <w:r w:rsidR="000E5C4B">
        <w:t>toegevoegd</w:t>
      </w:r>
      <w:r w:rsidR="009B18CA">
        <w:t>, waaronder samenwerkingen tussen scholen en bijlesbedrijven</w:t>
      </w:r>
      <w:r w:rsidR="000E5C4B">
        <w:t xml:space="preserve">. </w:t>
      </w:r>
      <w:r w:rsidR="001F35CC">
        <w:t>H</w:t>
      </w:r>
      <w:r w:rsidR="00F93F94">
        <w:t>et sponsorconvenant roep</w:t>
      </w:r>
      <w:r w:rsidR="00793C56">
        <w:t>t</w:t>
      </w:r>
      <w:r w:rsidR="00F93F94">
        <w:t xml:space="preserve"> scholen op om bijlessen in het kader van sponsoring </w:t>
      </w:r>
      <w:r w:rsidR="00A611CE">
        <w:t xml:space="preserve">beschikbaar </w:t>
      </w:r>
      <w:r w:rsidR="00F93F94">
        <w:t xml:space="preserve">te laten zijn voor alle leerlingen binnen de school. </w:t>
      </w:r>
      <w:r>
        <w:t>Aan s</w:t>
      </w:r>
      <w:r w:rsidR="00F93F94">
        <w:t xml:space="preserve">cholen wordt gevraagd </w:t>
      </w:r>
      <w:r w:rsidR="00A611CE">
        <w:t xml:space="preserve">om extra ondersteuning zoveel mogelijk intern aan te bieden. Indien dat niet mogelijk is, dient de extra begeleiding op school plaats te vinden en zoveel mogelijk met partijen zonder winstoogmerk. Scholen blijven verantwoordelijk voor het waarborgen van een kwalitatief goed aanbod en een veilige omgeving voor leerlingen. </w:t>
      </w:r>
    </w:p>
    <w:p w:rsidR="00F93F94" w:rsidP="000E5C4B" w:rsidRDefault="00F93F94" w14:paraId="7B5EBCAE" w14:textId="77777777"/>
    <w:p w:rsidR="000E5C4B" w:rsidP="000E5C4B" w:rsidRDefault="00CC1C9E" w14:paraId="317410E7" w14:textId="232152F8">
      <w:r>
        <w:t xml:space="preserve">De motie van het lid </w:t>
      </w:r>
      <w:r w:rsidR="003C6C1A">
        <w:t>V</w:t>
      </w:r>
      <w:r>
        <w:t>an Raan (PvdD) vraagt om een aanscherping van het sponsorconvenant om kindermarketing uit scholen te weren.</w:t>
      </w:r>
      <w:r w:rsidR="000D42C5">
        <w:rPr>
          <w:rStyle w:val="Voetnootmarkering"/>
        </w:rPr>
        <w:footnoteReference w:id="3"/>
      </w:r>
      <w:r>
        <w:t xml:space="preserve"> In het vernieuwde sponsorconvenant stellen de scherpere definitie en praktische voorbeelden scholen beter in staat om bewuste afwegingen te maken bij het aangaan van een samenwerking</w:t>
      </w:r>
      <w:r w:rsidR="000D42C5">
        <w:t xml:space="preserve"> met partijen die daarvoor mogelijk een tegenprestatie verlangen</w:t>
      </w:r>
      <w:r>
        <w:t xml:space="preserve">. </w:t>
      </w:r>
      <w:r w:rsidR="000E5C4B">
        <w:t>Tevens is gehoor gegeven aan de motie van het lid Heerema (VVD)</w:t>
      </w:r>
      <w:r>
        <w:t xml:space="preserve">, waaruit volgt </w:t>
      </w:r>
      <w:r w:rsidR="000E5C4B">
        <w:t>dat sponsoring niet afkomstig mag zijn uit landen die onze kernwaarden of vrijheden afwijzen</w:t>
      </w:r>
      <w:r>
        <w:t>.</w:t>
      </w:r>
      <w:r w:rsidR="000D42C5">
        <w:rPr>
          <w:rStyle w:val="Voetnootmarkering"/>
        </w:rPr>
        <w:footnoteReference w:id="4"/>
      </w:r>
      <w:r>
        <w:t xml:space="preserve"> Dit is als concreet voorbeeld van ongewenste sponsoring in het sponsorconvenant op</w:t>
      </w:r>
      <w:r w:rsidR="00A16239">
        <w:t>genomen</w:t>
      </w:r>
      <w:r w:rsidR="000E5C4B">
        <w:t xml:space="preserve">. </w:t>
      </w:r>
    </w:p>
    <w:p w:rsidR="000E5C4B" w:rsidP="000E5C4B" w:rsidRDefault="000E5C4B" w14:paraId="0F18F063" w14:textId="77777777"/>
    <w:p w:rsidR="00002926" w:rsidP="000E5C4B" w:rsidRDefault="000E5C4B" w14:paraId="58A7DBAD" w14:textId="07B50B4C">
      <w:bookmarkStart w:name="_Hlk184628942" w:id="1"/>
      <w:r>
        <w:t xml:space="preserve">De looptijd van het sponsorconvenant is gewijzigd naar vijf jaar. Het sponsorconvenant zal voortaan iedere vijf jaar op initiatief van </w:t>
      </w:r>
      <w:r w:rsidR="007521BF">
        <w:t xml:space="preserve">het ministerie van </w:t>
      </w:r>
      <w:r>
        <w:t xml:space="preserve">OCW of eerder, indien één van de convenantpartijen daar aanleiding toe ziet, </w:t>
      </w:r>
      <w:r>
        <w:lastRenderedPageBreak/>
        <w:t>worden geëvalueerd.</w:t>
      </w:r>
      <w:r w:rsidR="00002926">
        <w:t xml:space="preserve"> Daarbij bezien we ook welke rol </w:t>
      </w:r>
      <w:r w:rsidR="007521BF">
        <w:t xml:space="preserve">het ministerie van </w:t>
      </w:r>
      <w:r w:rsidR="00002926">
        <w:t xml:space="preserve">OCW als stelselverantwoordelijke </w:t>
      </w:r>
      <w:r w:rsidR="001F35CC">
        <w:t>hier</w:t>
      </w:r>
      <w:r w:rsidR="00002926">
        <w:t>bij dient te hebben</w:t>
      </w:r>
      <w:r w:rsidR="003C6C1A">
        <w:t>.</w:t>
      </w:r>
      <w:r>
        <w:t xml:space="preserve"> </w:t>
      </w:r>
      <w:bookmarkEnd w:id="1"/>
    </w:p>
    <w:p w:rsidR="00F93F94" w:rsidP="000E5C4B" w:rsidRDefault="00F93F94" w14:paraId="5CAF94FC" w14:textId="77777777"/>
    <w:p w:rsidRPr="000E5C4B" w:rsidR="000E5C4B" w:rsidP="000E5C4B" w:rsidRDefault="000E5C4B" w14:paraId="1D872FE7" w14:textId="77777777">
      <w:pPr>
        <w:rPr>
          <w:i/>
          <w:iCs/>
        </w:rPr>
      </w:pPr>
      <w:r w:rsidRPr="000E5C4B">
        <w:rPr>
          <w:i/>
          <w:iCs/>
        </w:rPr>
        <w:t>Tot slot</w:t>
      </w:r>
    </w:p>
    <w:p w:rsidR="00105677" w:rsidP="000E5C4B" w:rsidRDefault="00EF0C1C" w14:paraId="61930B55" w14:textId="5135CFE0">
      <w:r>
        <w:t>H</w:t>
      </w:r>
      <w:r w:rsidR="000E5C4B">
        <w:t>et vernieuwde sponsorconvenant</w:t>
      </w:r>
      <w:r>
        <w:t xml:space="preserve"> biedt</w:t>
      </w:r>
      <w:r w:rsidR="000E5C4B">
        <w:t xml:space="preserve"> scholen handvatten om zorgvuldig en transparant met sponsoring om te gaan. </w:t>
      </w:r>
      <w:r w:rsidR="00846208">
        <w:t xml:space="preserve">Een weloverwogen samenwerking </w:t>
      </w:r>
      <w:r w:rsidR="00D66215">
        <w:t>tussen het bedrijfsleven en</w:t>
      </w:r>
      <w:r w:rsidR="00846208">
        <w:t xml:space="preserve"> organisaties </w:t>
      </w:r>
      <w:r w:rsidR="00D66215">
        <w:t>buiten de school</w:t>
      </w:r>
      <w:r w:rsidR="00846208">
        <w:t xml:space="preserve"> kan een positieve bijdrage leveren aan de verbinding tussen het onderwijs en maatschappij. </w:t>
      </w:r>
      <w:r w:rsidR="000E5C4B">
        <w:t>Ik wil alle convenantpartijen die hebben meegewerkt aan de actualisatie van het sponsorconvenant bedanken voor hun hulp, goede ideeën en inzet.</w:t>
      </w:r>
    </w:p>
    <w:p w:rsidR="00190A9F" w:rsidP="00CA35E4" w:rsidRDefault="00190A9F" w14:paraId="705F5791" w14:textId="77777777"/>
    <w:p w:rsidR="00596F8E" w:rsidP="00CA35E4" w:rsidRDefault="00596F8E" w14:paraId="3D399272" w14:textId="77777777"/>
    <w:p w:rsidR="00820DDA" w:rsidP="00CA35E4" w:rsidRDefault="0082290B" w14:paraId="2EB1242D" w14:textId="267474F5">
      <w:r>
        <w:t xml:space="preserve">De </w:t>
      </w:r>
      <w:r w:rsidR="00701A42">
        <w:t>staatssecretaris</w:t>
      </w:r>
      <w:r>
        <w:t xml:space="preserve"> van Onderwijs, Cultuur en Wetenschap,</w:t>
      </w:r>
    </w:p>
    <w:p w:rsidR="000F521E" w:rsidP="003A7160" w:rsidRDefault="000F521E" w14:paraId="5CC5AAD6" w14:textId="77777777"/>
    <w:p w:rsidR="000F521E" w:rsidP="003A7160" w:rsidRDefault="000F521E" w14:paraId="2637C170" w14:textId="77777777"/>
    <w:p w:rsidR="000F521E" w:rsidP="003A7160" w:rsidRDefault="000F521E" w14:paraId="4404BC88" w14:textId="77777777"/>
    <w:p w:rsidR="000F521E" w:rsidP="003A7160" w:rsidRDefault="000F521E" w14:paraId="04C174E4" w14:textId="77777777"/>
    <w:p w:rsidRPr="00820DDA" w:rsidR="00820DDA" w:rsidP="001237E1" w:rsidRDefault="00701A42" w14:paraId="0D7B87A2" w14:textId="734778B4">
      <w:pPr>
        <w:pStyle w:val="standaard-tekst"/>
      </w:pPr>
      <w:r>
        <w:t>Mari</w:t>
      </w:r>
      <w:r w:rsidRPr="00701A42">
        <w:t>ë</w:t>
      </w:r>
      <w:r>
        <w:t>lle Paul</w:t>
      </w:r>
    </w:p>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BA472" w14:textId="77777777" w:rsidR="003C3207" w:rsidRDefault="003C3207">
      <w:r>
        <w:separator/>
      </w:r>
    </w:p>
    <w:p w14:paraId="0C007ADD" w14:textId="77777777" w:rsidR="003C3207" w:rsidRDefault="003C3207"/>
  </w:endnote>
  <w:endnote w:type="continuationSeparator" w:id="0">
    <w:p w14:paraId="16D34428" w14:textId="77777777" w:rsidR="003C3207" w:rsidRDefault="003C3207">
      <w:r>
        <w:continuationSeparator/>
      </w:r>
    </w:p>
    <w:p w14:paraId="41EA7D29" w14:textId="77777777" w:rsidR="003C3207" w:rsidRDefault="003C32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22640"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484639" w14:paraId="5EAADC76" w14:textId="77777777" w:rsidTr="004C7E1D">
      <w:trPr>
        <w:trHeight w:hRule="exact" w:val="357"/>
      </w:trPr>
      <w:tc>
        <w:tcPr>
          <w:tcW w:w="7603" w:type="dxa"/>
          <w:shd w:val="clear" w:color="auto" w:fill="auto"/>
        </w:tcPr>
        <w:p w14:paraId="0AF25EF0" w14:textId="77777777" w:rsidR="002F71BB" w:rsidRPr="004C7E1D" w:rsidRDefault="002F71BB" w:rsidP="004C7E1D">
          <w:pPr>
            <w:spacing w:line="180" w:lineRule="exact"/>
            <w:rPr>
              <w:sz w:val="13"/>
              <w:szCs w:val="13"/>
            </w:rPr>
          </w:pPr>
        </w:p>
      </w:tc>
      <w:tc>
        <w:tcPr>
          <w:tcW w:w="2172" w:type="dxa"/>
          <w:shd w:val="clear" w:color="auto" w:fill="auto"/>
        </w:tcPr>
        <w:p w14:paraId="0F30D011" w14:textId="3D674648" w:rsidR="002F71BB" w:rsidRPr="004C7E1D" w:rsidRDefault="0082290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D66215">
            <w:rPr>
              <w:szCs w:val="13"/>
            </w:rPr>
            <w:t>3</w:t>
          </w:r>
          <w:r w:rsidRPr="004C7E1D">
            <w:rPr>
              <w:szCs w:val="13"/>
            </w:rPr>
            <w:fldChar w:fldCharType="end"/>
          </w:r>
        </w:p>
      </w:tc>
    </w:tr>
  </w:tbl>
  <w:p w14:paraId="5BD89539"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484639" w14:paraId="6462311D" w14:textId="77777777" w:rsidTr="004C7E1D">
      <w:trPr>
        <w:trHeight w:hRule="exact" w:val="357"/>
      </w:trPr>
      <w:tc>
        <w:tcPr>
          <w:tcW w:w="7709" w:type="dxa"/>
          <w:shd w:val="clear" w:color="auto" w:fill="auto"/>
        </w:tcPr>
        <w:p w14:paraId="55523419" w14:textId="77777777" w:rsidR="00D17084" w:rsidRPr="004C7E1D" w:rsidRDefault="00D17084" w:rsidP="004C7E1D">
          <w:pPr>
            <w:spacing w:line="180" w:lineRule="exact"/>
            <w:rPr>
              <w:sz w:val="13"/>
              <w:szCs w:val="13"/>
            </w:rPr>
          </w:pPr>
        </w:p>
      </w:tc>
      <w:tc>
        <w:tcPr>
          <w:tcW w:w="2060" w:type="dxa"/>
          <w:shd w:val="clear" w:color="auto" w:fill="auto"/>
        </w:tcPr>
        <w:p w14:paraId="4DA5956C" w14:textId="5DCD04FC" w:rsidR="00D17084" w:rsidRPr="004C7E1D" w:rsidRDefault="0082290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D66215">
            <w:rPr>
              <w:szCs w:val="13"/>
            </w:rPr>
            <w:t>3</w:t>
          </w:r>
          <w:r w:rsidRPr="004C7E1D">
            <w:rPr>
              <w:szCs w:val="13"/>
            </w:rPr>
            <w:fldChar w:fldCharType="end"/>
          </w:r>
        </w:p>
      </w:tc>
    </w:tr>
  </w:tbl>
  <w:p w14:paraId="2603206B"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5A8AB" w14:textId="77777777" w:rsidR="003C3207" w:rsidRDefault="003C3207">
      <w:r>
        <w:separator/>
      </w:r>
    </w:p>
    <w:p w14:paraId="12C49239" w14:textId="77777777" w:rsidR="003C3207" w:rsidRDefault="003C3207"/>
  </w:footnote>
  <w:footnote w:type="continuationSeparator" w:id="0">
    <w:p w14:paraId="644AF74B" w14:textId="77777777" w:rsidR="003C3207" w:rsidRDefault="003C3207">
      <w:r>
        <w:continuationSeparator/>
      </w:r>
    </w:p>
    <w:p w14:paraId="2AFDF168" w14:textId="77777777" w:rsidR="003C3207" w:rsidRDefault="003C3207"/>
  </w:footnote>
  <w:footnote w:id="1">
    <w:p w14:paraId="2F1E17CF" w14:textId="613CE992" w:rsidR="00541718" w:rsidRPr="00522FD5" w:rsidRDefault="00541718" w:rsidP="00522FD5">
      <w:pPr>
        <w:pStyle w:val="Voetnoottekst"/>
        <w:spacing w:line="240" w:lineRule="auto"/>
        <w:rPr>
          <w:sz w:val="15"/>
          <w:szCs w:val="22"/>
        </w:rPr>
      </w:pPr>
      <w:r w:rsidRPr="00522FD5">
        <w:rPr>
          <w:rStyle w:val="Voetnootmarkering"/>
          <w:sz w:val="15"/>
          <w:szCs w:val="22"/>
        </w:rPr>
        <w:footnoteRef/>
      </w:r>
      <w:r w:rsidRPr="00522FD5">
        <w:rPr>
          <w:sz w:val="15"/>
          <w:szCs w:val="22"/>
        </w:rPr>
        <w:t xml:space="preserve"> Toezegging kenmerk TZ202111-061</w:t>
      </w:r>
    </w:p>
  </w:footnote>
  <w:footnote w:id="2">
    <w:p w14:paraId="00BBA1A9" w14:textId="75C086E8" w:rsidR="000D42C5" w:rsidRDefault="000D42C5" w:rsidP="00522FD5">
      <w:pPr>
        <w:pStyle w:val="Voetnoottekst"/>
        <w:spacing w:line="240" w:lineRule="auto"/>
      </w:pPr>
      <w:r w:rsidRPr="00522FD5">
        <w:rPr>
          <w:rStyle w:val="Voetnootmarkering"/>
          <w:sz w:val="15"/>
          <w:szCs w:val="22"/>
        </w:rPr>
        <w:footnoteRef/>
      </w:r>
      <w:r w:rsidRPr="00522FD5">
        <w:rPr>
          <w:sz w:val="15"/>
          <w:szCs w:val="22"/>
        </w:rPr>
        <w:t xml:space="preserve"> </w:t>
      </w:r>
      <w:bookmarkStart w:id="0" w:name="_Hlk184733427"/>
      <w:r w:rsidRPr="00522FD5">
        <w:rPr>
          <w:sz w:val="15"/>
          <w:szCs w:val="15"/>
        </w:rPr>
        <w:t>Ministerie van Onderwijs, Cultuur en Wetenschap, De PO-raad, De VO-raad, De Algemene Vereniging van Schoolleiders (AVS), Het Landelijk Aktie Komitee Scholieren (LAKS), De Algemene Onderwijsbond (AOb), Het Christelijk Nationaal Vakverbond Onderwijs (CNV), Ouders &amp; Onderwijs (O&amp;O), De Groep Educatieve Uitgeverijen (nu: MEVW)</w:t>
      </w:r>
      <w:r w:rsidR="001237E1" w:rsidRPr="00522FD5">
        <w:rPr>
          <w:sz w:val="15"/>
          <w:szCs w:val="15"/>
        </w:rPr>
        <w:t xml:space="preserve">, de Vereniging VNO-NCW en MKB-Nederland. </w:t>
      </w:r>
      <w:r w:rsidRPr="00522FD5">
        <w:rPr>
          <w:sz w:val="15"/>
          <w:szCs w:val="15"/>
        </w:rPr>
        <w:t xml:space="preserve">Met ingang van het nieuwe sponsorconvenant treedt Sectorraad-Go toe als een van de ondertekenaars. </w:t>
      </w:r>
      <w:bookmarkEnd w:id="0"/>
    </w:p>
  </w:footnote>
  <w:footnote w:id="3">
    <w:p w14:paraId="4E9799E0" w14:textId="321AE075" w:rsidR="000D42C5" w:rsidRPr="000D42C5" w:rsidRDefault="000D42C5">
      <w:pPr>
        <w:pStyle w:val="Voetnoottekst"/>
        <w:rPr>
          <w:sz w:val="15"/>
          <w:szCs w:val="22"/>
        </w:rPr>
      </w:pPr>
      <w:r w:rsidRPr="000D42C5">
        <w:rPr>
          <w:rStyle w:val="Voetnootmarkering"/>
          <w:sz w:val="16"/>
          <w:szCs w:val="24"/>
        </w:rPr>
        <w:footnoteRef/>
      </w:r>
      <w:r w:rsidRPr="000D42C5">
        <w:rPr>
          <w:sz w:val="16"/>
          <w:szCs w:val="24"/>
        </w:rPr>
        <w:t xml:space="preserve"> Kamerstukken II, 2020-2021</w:t>
      </w:r>
      <w:r>
        <w:rPr>
          <w:sz w:val="16"/>
          <w:szCs w:val="24"/>
        </w:rPr>
        <w:t>,</w:t>
      </w:r>
      <w:r w:rsidRPr="000D42C5">
        <w:rPr>
          <w:sz w:val="16"/>
          <w:szCs w:val="24"/>
        </w:rPr>
        <w:t xml:space="preserve"> 35570 VIII, nr. 80</w:t>
      </w:r>
    </w:p>
  </w:footnote>
  <w:footnote w:id="4">
    <w:p w14:paraId="0C5A0AF6" w14:textId="6FCB6318" w:rsidR="000D42C5" w:rsidRDefault="000D42C5">
      <w:pPr>
        <w:pStyle w:val="Voetnoottekst"/>
      </w:pPr>
      <w:r w:rsidRPr="000D42C5">
        <w:rPr>
          <w:rStyle w:val="Voetnootmarkering"/>
          <w:sz w:val="16"/>
          <w:szCs w:val="24"/>
        </w:rPr>
        <w:footnoteRef/>
      </w:r>
      <w:r w:rsidRPr="000D42C5">
        <w:rPr>
          <w:sz w:val="16"/>
          <w:szCs w:val="24"/>
        </w:rPr>
        <w:t xml:space="preserve"> Kamerstukken II, 2020-2021, 35300-VIII, nr. 230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484639" w14:paraId="024D9CCD" w14:textId="77777777" w:rsidTr="006D2D53">
      <w:trPr>
        <w:trHeight w:hRule="exact" w:val="400"/>
      </w:trPr>
      <w:tc>
        <w:tcPr>
          <w:tcW w:w="7518" w:type="dxa"/>
          <w:shd w:val="clear" w:color="auto" w:fill="auto"/>
        </w:tcPr>
        <w:p w14:paraId="77C2AC01" w14:textId="77777777" w:rsidR="00527BD4" w:rsidRPr="00275984" w:rsidRDefault="00527BD4" w:rsidP="00BF4427">
          <w:pPr>
            <w:pStyle w:val="Huisstijl-Rubricering"/>
          </w:pPr>
        </w:p>
      </w:tc>
    </w:tr>
  </w:tbl>
  <w:p w14:paraId="76851074"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484639" w14:paraId="30CE7BAE" w14:textId="77777777" w:rsidTr="003B528D">
      <w:tc>
        <w:tcPr>
          <w:tcW w:w="2160" w:type="dxa"/>
          <w:shd w:val="clear" w:color="auto" w:fill="auto"/>
        </w:tcPr>
        <w:p w14:paraId="69D523E2" w14:textId="77777777" w:rsidR="002F71BB" w:rsidRPr="000407BB" w:rsidRDefault="0082290B" w:rsidP="005D283A">
          <w:pPr>
            <w:pStyle w:val="Colofonkop"/>
            <w:framePr w:hSpace="0" w:wrap="auto" w:vAnchor="margin" w:hAnchor="text" w:xAlign="left" w:yAlign="inline"/>
          </w:pPr>
          <w:r>
            <w:t>Onze referentie</w:t>
          </w:r>
        </w:p>
      </w:tc>
    </w:tr>
    <w:tr w:rsidR="00484639" w14:paraId="4562E682" w14:textId="77777777" w:rsidTr="002F71BB">
      <w:trPr>
        <w:trHeight w:val="259"/>
      </w:trPr>
      <w:tc>
        <w:tcPr>
          <w:tcW w:w="2160" w:type="dxa"/>
          <w:shd w:val="clear" w:color="auto" w:fill="auto"/>
        </w:tcPr>
        <w:p w14:paraId="7C6B8F3C" w14:textId="3BB438F7" w:rsidR="00E35CF4" w:rsidRPr="005D283A" w:rsidRDefault="00231FC0" w:rsidP="0049501A">
          <w:pPr>
            <w:spacing w:line="180" w:lineRule="exact"/>
            <w:rPr>
              <w:sz w:val="13"/>
              <w:szCs w:val="13"/>
            </w:rPr>
          </w:pPr>
          <w:r w:rsidRPr="00F31255">
            <w:rPr>
              <w:sz w:val="13"/>
              <w:szCs w:val="13"/>
            </w:rPr>
            <w:t>49400520</w:t>
          </w:r>
        </w:p>
      </w:tc>
    </w:tr>
  </w:tbl>
  <w:p w14:paraId="7E31F0D9"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484639" w14:paraId="5FD859F7" w14:textId="77777777" w:rsidTr="001377D4">
      <w:trPr>
        <w:trHeight w:val="2636"/>
      </w:trPr>
      <w:tc>
        <w:tcPr>
          <w:tcW w:w="737" w:type="dxa"/>
          <w:shd w:val="clear" w:color="auto" w:fill="auto"/>
        </w:tcPr>
        <w:p w14:paraId="505C5489"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123E324" w14:textId="77777777" w:rsidR="00704845" w:rsidRDefault="0082290B" w:rsidP="0047126E">
          <w:pPr>
            <w:framePr w:w="3873" w:h="2625" w:hRule="exact" w:wrap="around" w:vAnchor="page" w:hAnchor="page" w:x="6323" w:y="1"/>
          </w:pPr>
          <w:r>
            <w:rPr>
              <w:noProof/>
              <w:lang w:val="en-US" w:eastAsia="en-US"/>
            </w:rPr>
            <w:drawing>
              <wp:inline distT="0" distB="0" distL="0" distR="0" wp14:anchorId="165561E6" wp14:editId="64996DCC">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8CD879C" w14:textId="77777777" w:rsidR="00483ECA" w:rsidRDefault="00483ECA" w:rsidP="00D037A9"/>
      </w:tc>
    </w:tr>
  </w:tbl>
  <w:p w14:paraId="0A004C6C"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484639" w14:paraId="0724BFCA" w14:textId="77777777" w:rsidTr="0008539E">
      <w:trPr>
        <w:trHeight w:hRule="exact" w:val="572"/>
      </w:trPr>
      <w:tc>
        <w:tcPr>
          <w:tcW w:w="7520" w:type="dxa"/>
          <w:shd w:val="clear" w:color="auto" w:fill="auto"/>
        </w:tcPr>
        <w:p w14:paraId="48809018" w14:textId="77777777" w:rsidR="00527BD4" w:rsidRPr="00963440" w:rsidRDefault="0082290B" w:rsidP="00210BA3">
          <w:pPr>
            <w:pStyle w:val="Huisstijl-Adres"/>
            <w:spacing w:after="0"/>
          </w:pPr>
          <w:r w:rsidRPr="009E3B07">
            <w:t>&gt;Retouradres </w:t>
          </w:r>
          <w:r>
            <w:t>Postbus 16375 2500 BJ Den Haag</w:t>
          </w:r>
          <w:r w:rsidRPr="009E3B07">
            <w:t xml:space="preserve"> </w:t>
          </w:r>
        </w:p>
      </w:tc>
    </w:tr>
    <w:tr w:rsidR="00484639" w14:paraId="18D89433" w14:textId="77777777" w:rsidTr="00E776C6">
      <w:trPr>
        <w:cantSplit/>
        <w:trHeight w:hRule="exact" w:val="238"/>
      </w:trPr>
      <w:tc>
        <w:tcPr>
          <w:tcW w:w="7520" w:type="dxa"/>
          <w:shd w:val="clear" w:color="auto" w:fill="auto"/>
        </w:tcPr>
        <w:p w14:paraId="27DE5E68" w14:textId="77777777" w:rsidR="00093ABC" w:rsidRPr="00963440" w:rsidRDefault="00093ABC" w:rsidP="00963440"/>
      </w:tc>
    </w:tr>
    <w:tr w:rsidR="00484639" w14:paraId="4BBF8DCA" w14:textId="77777777" w:rsidTr="00E776C6">
      <w:trPr>
        <w:cantSplit/>
        <w:trHeight w:hRule="exact" w:val="1520"/>
      </w:trPr>
      <w:tc>
        <w:tcPr>
          <w:tcW w:w="7520" w:type="dxa"/>
          <w:shd w:val="clear" w:color="auto" w:fill="auto"/>
        </w:tcPr>
        <w:p w14:paraId="47BA28E4" w14:textId="77777777" w:rsidR="00A604D3" w:rsidRPr="00963440" w:rsidRDefault="00A604D3" w:rsidP="00963440"/>
      </w:tc>
    </w:tr>
    <w:tr w:rsidR="00484639" w14:paraId="7AC9727E" w14:textId="77777777" w:rsidTr="00E776C6">
      <w:trPr>
        <w:trHeight w:hRule="exact" w:val="1077"/>
      </w:trPr>
      <w:tc>
        <w:tcPr>
          <w:tcW w:w="7520" w:type="dxa"/>
          <w:shd w:val="clear" w:color="auto" w:fill="auto"/>
        </w:tcPr>
        <w:p w14:paraId="0EAF6BDB" w14:textId="77777777" w:rsidR="00892BA5" w:rsidRPr="00035E67" w:rsidRDefault="00892BA5" w:rsidP="00892BA5">
          <w:pPr>
            <w:tabs>
              <w:tab w:val="left" w:pos="740"/>
            </w:tabs>
            <w:autoSpaceDE w:val="0"/>
            <w:autoSpaceDN w:val="0"/>
            <w:adjustRightInd w:val="0"/>
            <w:rPr>
              <w:rFonts w:cs="Verdana"/>
              <w:szCs w:val="18"/>
            </w:rPr>
          </w:pPr>
        </w:p>
      </w:tc>
    </w:tr>
  </w:tbl>
  <w:p w14:paraId="1D3A45FC" w14:textId="77777777" w:rsidR="006F273B" w:rsidRDefault="006F273B" w:rsidP="00BC4AE3">
    <w:pPr>
      <w:pStyle w:val="Koptekst"/>
    </w:pPr>
  </w:p>
  <w:p w14:paraId="5F9B91E9" w14:textId="77777777" w:rsidR="00153BD0" w:rsidRDefault="00153BD0" w:rsidP="00BC4AE3">
    <w:pPr>
      <w:pStyle w:val="Koptekst"/>
    </w:pPr>
  </w:p>
  <w:p w14:paraId="6E398EC7" w14:textId="77777777" w:rsidR="0044605E" w:rsidRDefault="0044605E" w:rsidP="00BC4AE3">
    <w:pPr>
      <w:pStyle w:val="Koptekst"/>
    </w:pPr>
  </w:p>
  <w:p w14:paraId="31276127" w14:textId="77777777" w:rsidR="0044605E" w:rsidRDefault="0044605E" w:rsidP="00BC4AE3">
    <w:pPr>
      <w:pStyle w:val="Koptekst"/>
    </w:pPr>
  </w:p>
  <w:p w14:paraId="4EC6EE8F"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F006140">
      <w:start w:val="1"/>
      <w:numFmt w:val="bullet"/>
      <w:pStyle w:val="Lijstopsomteken"/>
      <w:lvlText w:val="•"/>
      <w:lvlJc w:val="left"/>
      <w:pPr>
        <w:tabs>
          <w:tab w:val="num" w:pos="227"/>
        </w:tabs>
        <w:ind w:left="227" w:hanging="227"/>
      </w:pPr>
      <w:rPr>
        <w:rFonts w:ascii="Verdana" w:hAnsi="Verdana" w:hint="default"/>
        <w:sz w:val="18"/>
        <w:szCs w:val="18"/>
      </w:rPr>
    </w:lvl>
    <w:lvl w:ilvl="1" w:tplc="685AA2AE" w:tentative="1">
      <w:start w:val="1"/>
      <w:numFmt w:val="bullet"/>
      <w:lvlText w:val="o"/>
      <w:lvlJc w:val="left"/>
      <w:pPr>
        <w:tabs>
          <w:tab w:val="num" w:pos="1440"/>
        </w:tabs>
        <w:ind w:left="1440" w:hanging="360"/>
      </w:pPr>
      <w:rPr>
        <w:rFonts w:ascii="Courier New" w:hAnsi="Courier New" w:cs="Courier New" w:hint="default"/>
      </w:rPr>
    </w:lvl>
    <w:lvl w:ilvl="2" w:tplc="6980EF76" w:tentative="1">
      <w:start w:val="1"/>
      <w:numFmt w:val="bullet"/>
      <w:lvlText w:val=""/>
      <w:lvlJc w:val="left"/>
      <w:pPr>
        <w:tabs>
          <w:tab w:val="num" w:pos="2160"/>
        </w:tabs>
        <w:ind w:left="2160" w:hanging="360"/>
      </w:pPr>
      <w:rPr>
        <w:rFonts w:ascii="Wingdings" w:hAnsi="Wingdings" w:hint="default"/>
      </w:rPr>
    </w:lvl>
    <w:lvl w:ilvl="3" w:tplc="0CB4AC74" w:tentative="1">
      <w:start w:val="1"/>
      <w:numFmt w:val="bullet"/>
      <w:lvlText w:val=""/>
      <w:lvlJc w:val="left"/>
      <w:pPr>
        <w:tabs>
          <w:tab w:val="num" w:pos="2880"/>
        </w:tabs>
        <w:ind w:left="2880" w:hanging="360"/>
      </w:pPr>
      <w:rPr>
        <w:rFonts w:ascii="Symbol" w:hAnsi="Symbol" w:hint="default"/>
      </w:rPr>
    </w:lvl>
    <w:lvl w:ilvl="4" w:tplc="8F121ECE" w:tentative="1">
      <w:start w:val="1"/>
      <w:numFmt w:val="bullet"/>
      <w:lvlText w:val="o"/>
      <w:lvlJc w:val="left"/>
      <w:pPr>
        <w:tabs>
          <w:tab w:val="num" w:pos="3600"/>
        </w:tabs>
        <w:ind w:left="3600" w:hanging="360"/>
      </w:pPr>
      <w:rPr>
        <w:rFonts w:ascii="Courier New" w:hAnsi="Courier New" w:cs="Courier New" w:hint="default"/>
      </w:rPr>
    </w:lvl>
    <w:lvl w:ilvl="5" w:tplc="2B281866" w:tentative="1">
      <w:start w:val="1"/>
      <w:numFmt w:val="bullet"/>
      <w:lvlText w:val=""/>
      <w:lvlJc w:val="left"/>
      <w:pPr>
        <w:tabs>
          <w:tab w:val="num" w:pos="4320"/>
        </w:tabs>
        <w:ind w:left="4320" w:hanging="360"/>
      </w:pPr>
      <w:rPr>
        <w:rFonts w:ascii="Wingdings" w:hAnsi="Wingdings" w:hint="default"/>
      </w:rPr>
    </w:lvl>
    <w:lvl w:ilvl="6" w:tplc="6504C352" w:tentative="1">
      <w:start w:val="1"/>
      <w:numFmt w:val="bullet"/>
      <w:lvlText w:val=""/>
      <w:lvlJc w:val="left"/>
      <w:pPr>
        <w:tabs>
          <w:tab w:val="num" w:pos="5040"/>
        </w:tabs>
        <w:ind w:left="5040" w:hanging="360"/>
      </w:pPr>
      <w:rPr>
        <w:rFonts w:ascii="Symbol" w:hAnsi="Symbol" w:hint="default"/>
      </w:rPr>
    </w:lvl>
    <w:lvl w:ilvl="7" w:tplc="D4F44AEE" w:tentative="1">
      <w:start w:val="1"/>
      <w:numFmt w:val="bullet"/>
      <w:lvlText w:val="o"/>
      <w:lvlJc w:val="left"/>
      <w:pPr>
        <w:tabs>
          <w:tab w:val="num" w:pos="5760"/>
        </w:tabs>
        <w:ind w:left="5760" w:hanging="360"/>
      </w:pPr>
      <w:rPr>
        <w:rFonts w:ascii="Courier New" w:hAnsi="Courier New" w:cs="Courier New" w:hint="default"/>
      </w:rPr>
    </w:lvl>
    <w:lvl w:ilvl="8" w:tplc="0AF6F6E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2D81FDC">
      <w:start w:val="1"/>
      <w:numFmt w:val="bullet"/>
      <w:pStyle w:val="Lijstopsomteken2"/>
      <w:lvlText w:val="–"/>
      <w:lvlJc w:val="left"/>
      <w:pPr>
        <w:tabs>
          <w:tab w:val="num" w:pos="227"/>
        </w:tabs>
        <w:ind w:left="227" w:firstLine="0"/>
      </w:pPr>
      <w:rPr>
        <w:rFonts w:ascii="Verdana" w:hAnsi="Verdana" w:hint="default"/>
      </w:rPr>
    </w:lvl>
    <w:lvl w:ilvl="1" w:tplc="B6F8D500" w:tentative="1">
      <w:start w:val="1"/>
      <w:numFmt w:val="bullet"/>
      <w:lvlText w:val="o"/>
      <w:lvlJc w:val="left"/>
      <w:pPr>
        <w:tabs>
          <w:tab w:val="num" w:pos="1440"/>
        </w:tabs>
        <w:ind w:left="1440" w:hanging="360"/>
      </w:pPr>
      <w:rPr>
        <w:rFonts w:ascii="Courier New" w:hAnsi="Courier New" w:cs="Courier New" w:hint="default"/>
      </w:rPr>
    </w:lvl>
    <w:lvl w:ilvl="2" w:tplc="E97E114C" w:tentative="1">
      <w:start w:val="1"/>
      <w:numFmt w:val="bullet"/>
      <w:lvlText w:val=""/>
      <w:lvlJc w:val="left"/>
      <w:pPr>
        <w:tabs>
          <w:tab w:val="num" w:pos="2160"/>
        </w:tabs>
        <w:ind w:left="2160" w:hanging="360"/>
      </w:pPr>
      <w:rPr>
        <w:rFonts w:ascii="Wingdings" w:hAnsi="Wingdings" w:hint="default"/>
      </w:rPr>
    </w:lvl>
    <w:lvl w:ilvl="3" w:tplc="E2DE07CC" w:tentative="1">
      <w:start w:val="1"/>
      <w:numFmt w:val="bullet"/>
      <w:lvlText w:val=""/>
      <w:lvlJc w:val="left"/>
      <w:pPr>
        <w:tabs>
          <w:tab w:val="num" w:pos="2880"/>
        </w:tabs>
        <w:ind w:left="2880" w:hanging="360"/>
      </w:pPr>
      <w:rPr>
        <w:rFonts w:ascii="Symbol" w:hAnsi="Symbol" w:hint="default"/>
      </w:rPr>
    </w:lvl>
    <w:lvl w:ilvl="4" w:tplc="561A8CAA" w:tentative="1">
      <w:start w:val="1"/>
      <w:numFmt w:val="bullet"/>
      <w:lvlText w:val="o"/>
      <w:lvlJc w:val="left"/>
      <w:pPr>
        <w:tabs>
          <w:tab w:val="num" w:pos="3600"/>
        </w:tabs>
        <w:ind w:left="3600" w:hanging="360"/>
      </w:pPr>
      <w:rPr>
        <w:rFonts w:ascii="Courier New" w:hAnsi="Courier New" w:cs="Courier New" w:hint="default"/>
      </w:rPr>
    </w:lvl>
    <w:lvl w:ilvl="5" w:tplc="CCA6AC9C" w:tentative="1">
      <w:start w:val="1"/>
      <w:numFmt w:val="bullet"/>
      <w:lvlText w:val=""/>
      <w:lvlJc w:val="left"/>
      <w:pPr>
        <w:tabs>
          <w:tab w:val="num" w:pos="4320"/>
        </w:tabs>
        <w:ind w:left="4320" w:hanging="360"/>
      </w:pPr>
      <w:rPr>
        <w:rFonts w:ascii="Wingdings" w:hAnsi="Wingdings" w:hint="default"/>
      </w:rPr>
    </w:lvl>
    <w:lvl w:ilvl="6" w:tplc="5A7A4BBE" w:tentative="1">
      <w:start w:val="1"/>
      <w:numFmt w:val="bullet"/>
      <w:lvlText w:val=""/>
      <w:lvlJc w:val="left"/>
      <w:pPr>
        <w:tabs>
          <w:tab w:val="num" w:pos="5040"/>
        </w:tabs>
        <w:ind w:left="5040" w:hanging="360"/>
      </w:pPr>
      <w:rPr>
        <w:rFonts w:ascii="Symbol" w:hAnsi="Symbol" w:hint="default"/>
      </w:rPr>
    </w:lvl>
    <w:lvl w:ilvl="7" w:tplc="062880AC" w:tentative="1">
      <w:start w:val="1"/>
      <w:numFmt w:val="bullet"/>
      <w:lvlText w:val="o"/>
      <w:lvlJc w:val="left"/>
      <w:pPr>
        <w:tabs>
          <w:tab w:val="num" w:pos="5760"/>
        </w:tabs>
        <w:ind w:left="5760" w:hanging="360"/>
      </w:pPr>
      <w:rPr>
        <w:rFonts w:ascii="Courier New" w:hAnsi="Courier New" w:cs="Courier New" w:hint="default"/>
      </w:rPr>
    </w:lvl>
    <w:lvl w:ilvl="8" w:tplc="CB40ED7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5745ED"/>
    <w:multiLevelType w:val="hybridMultilevel"/>
    <w:tmpl w:val="81A622DE"/>
    <w:lvl w:ilvl="0" w:tplc="D182261C">
      <w:numFmt w:val="bullet"/>
      <w:lvlText w:val="•"/>
      <w:lvlJc w:val="left"/>
      <w:pPr>
        <w:ind w:left="1065" w:hanging="705"/>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2C6C97"/>
    <w:multiLevelType w:val="hybridMultilevel"/>
    <w:tmpl w:val="4E9E60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77270138">
    <w:abstractNumId w:val="10"/>
  </w:num>
  <w:num w:numId="2" w16cid:durableId="987825722">
    <w:abstractNumId w:val="7"/>
  </w:num>
  <w:num w:numId="3" w16cid:durableId="87048305">
    <w:abstractNumId w:val="6"/>
  </w:num>
  <w:num w:numId="4" w16cid:durableId="1484618047">
    <w:abstractNumId w:val="5"/>
  </w:num>
  <w:num w:numId="5" w16cid:durableId="460464469">
    <w:abstractNumId w:val="4"/>
  </w:num>
  <w:num w:numId="6" w16cid:durableId="973366647">
    <w:abstractNumId w:val="8"/>
  </w:num>
  <w:num w:numId="7" w16cid:durableId="466894608">
    <w:abstractNumId w:val="3"/>
  </w:num>
  <w:num w:numId="8" w16cid:durableId="1883057563">
    <w:abstractNumId w:val="2"/>
  </w:num>
  <w:num w:numId="9" w16cid:durableId="600529054">
    <w:abstractNumId w:val="1"/>
  </w:num>
  <w:num w:numId="10" w16cid:durableId="776949290">
    <w:abstractNumId w:val="0"/>
  </w:num>
  <w:num w:numId="11" w16cid:durableId="1324316840">
    <w:abstractNumId w:val="9"/>
  </w:num>
  <w:num w:numId="12" w16cid:durableId="1611470733">
    <w:abstractNumId w:val="11"/>
  </w:num>
  <w:num w:numId="13" w16cid:durableId="2037808362">
    <w:abstractNumId w:val="14"/>
  </w:num>
  <w:num w:numId="14" w16cid:durableId="402945948">
    <w:abstractNumId w:val="12"/>
  </w:num>
  <w:num w:numId="15" w16cid:durableId="1636717355">
    <w:abstractNumId w:val="15"/>
  </w:num>
  <w:num w:numId="16" w16cid:durableId="1442459092">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2926"/>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42C5"/>
    <w:rsid w:val="000D6399"/>
    <w:rsid w:val="000E5886"/>
    <w:rsid w:val="000E5C4B"/>
    <w:rsid w:val="000E6621"/>
    <w:rsid w:val="000E7895"/>
    <w:rsid w:val="000F161D"/>
    <w:rsid w:val="000F1B4E"/>
    <w:rsid w:val="000F1FFF"/>
    <w:rsid w:val="000F521E"/>
    <w:rsid w:val="00100203"/>
    <w:rsid w:val="00104B4D"/>
    <w:rsid w:val="00105677"/>
    <w:rsid w:val="001177B4"/>
    <w:rsid w:val="00122CF9"/>
    <w:rsid w:val="00123704"/>
    <w:rsid w:val="001237E1"/>
    <w:rsid w:val="001270C7"/>
    <w:rsid w:val="00132540"/>
    <w:rsid w:val="001377D4"/>
    <w:rsid w:val="00142E41"/>
    <w:rsid w:val="0014786A"/>
    <w:rsid w:val="001516A4"/>
    <w:rsid w:val="00151E5F"/>
    <w:rsid w:val="001534FB"/>
    <w:rsid w:val="00153BD0"/>
    <w:rsid w:val="00155BA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0A9F"/>
    <w:rsid w:val="00194A00"/>
    <w:rsid w:val="00196B8B"/>
    <w:rsid w:val="001A0BFA"/>
    <w:rsid w:val="001A1608"/>
    <w:rsid w:val="001A2BEA"/>
    <w:rsid w:val="001A325F"/>
    <w:rsid w:val="001A6D93"/>
    <w:rsid w:val="001B2BBA"/>
    <w:rsid w:val="001B35FA"/>
    <w:rsid w:val="001B39CB"/>
    <w:rsid w:val="001C006F"/>
    <w:rsid w:val="001C0F78"/>
    <w:rsid w:val="001C2C36"/>
    <w:rsid w:val="001C32EC"/>
    <w:rsid w:val="001C38BD"/>
    <w:rsid w:val="001C4D5A"/>
    <w:rsid w:val="001E0256"/>
    <w:rsid w:val="001E34C6"/>
    <w:rsid w:val="001E5581"/>
    <w:rsid w:val="001F35CC"/>
    <w:rsid w:val="001F3C70"/>
    <w:rsid w:val="00200D88"/>
    <w:rsid w:val="00201C09"/>
    <w:rsid w:val="00201F68"/>
    <w:rsid w:val="00210BA3"/>
    <w:rsid w:val="00211B05"/>
    <w:rsid w:val="00212F2A"/>
    <w:rsid w:val="00213901"/>
    <w:rsid w:val="00214F2B"/>
    <w:rsid w:val="00215356"/>
    <w:rsid w:val="00215964"/>
    <w:rsid w:val="00215D8B"/>
    <w:rsid w:val="00217880"/>
    <w:rsid w:val="00222D66"/>
    <w:rsid w:val="0022441A"/>
    <w:rsid w:val="00224A8A"/>
    <w:rsid w:val="002309A8"/>
    <w:rsid w:val="00231FC0"/>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5B27"/>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2F6D"/>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3207"/>
    <w:rsid w:val="003C4A1C"/>
    <w:rsid w:val="003C5BCB"/>
    <w:rsid w:val="003C6C1A"/>
    <w:rsid w:val="003D39EC"/>
    <w:rsid w:val="003D40EA"/>
    <w:rsid w:val="003E3DD5"/>
    <w:rsid w:val="003F07C6"/>
    <w:rsid w:val="003F1F6B"/>
    <w:rsid w:val="003F3757"/>
    <w:rsid w:val="003F44B7"/>
    <w:rsid w:val="004008E9"/>
    <w:rsid w:val="00407991"/>
    <w:rsid w:val="0041019E"/>
    <w:rsid w:val="00413D48"/>
    <w:rsid w:val="004207D7"/>
    <w:rsid w:val="00424A60"/>
    <w:rsid w:val="00434042"/>
    <w:rsid w:val="00434500"/>
    <w:rsid w:val="00441AC2"/>
    <w:rsid w:val="0044249B"/>
    <w:rsid w:val="004425A7"/>
    <w:rsid w:val="0044605E"/>
    <w:rsid w:val="0045023C"/>
    <w:rsid w:val="00451A5B"/>
    <w:rsid w:val="00452BCD"/>
    <w:rsid w:val="00452CEA"/>
    <w:rsid w:val="00461DBD"/>
    <w:rsid w:val="00463A63"/>
    <w:rsid w:val="00465B52"/>
    <w:rsid w:val="0046708E"/>
    <w:rsid w:val="00467D61"/>
    <w:rsid w:val="0047126E"/>
    <w:rsid w:val="004722BE"/>
    <w:rsid w:val="00472A65"/>
    <w:rsid w:val="00474463"/>
    <w:rsid w:val="00474B75"/>
    <w:rsid w:val="00483ECA"/>
    <w:rsid w:val="00483F0B"/>
    <w:rsid w:val="00484639"/>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2FD5"/>
    <w:rsid w:val="00527BD4"/>
    <w:rsid w:val="00533061"/>
    <w:rsid w:val="00533FA1"/>
    <w:rsid w:val="00534C77"/>
    <w:rsid w:val="005403C8"/>
    <w:rsid w:val="00541718"/>
    <w:rsid w:val="00541AD9"/>
    <w:rsid w:val="005429DC"/>
    <w:rsid w:val="005509AE"/>
    <w:rsid w:val="005565F9"/>
    <w:rsid w:val="005639D2"/>
    <w:rsid w:val="00565739"/>
    <w:rsid w:val="00573041"/>
    <w:rsid w:val="00575B80"/>
    <w:rsid w:val="00577559"/>
    <w:rsid w:val="005819CE"/>
    <w:rsid w:val="0058298D"/>
    <w:rsid w:val="00590595"/>
    <w:rsid w:val="00593C2B"/>
    <w:rsid w:val="00595231"/>
    <w:rsid w:val="00595CBB"/>
    <w:rsid w:val="00596166"/>
    <w:rsid w:val="00596F8E"/>
    <w:rsid w:val="00597048"/>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29F5"/>
    <w:rsid w:val="006534D0"/>
    <w:rsid w:val="00653606"/>
    <w:rsid w:val="006610E9"/>
    <w:rsid w:val="00661591"/>
    <w:rsid w:val="00662A78"/>
    <w:rsid w:val="00663187"/>
    <w:rsid w:val="006661E4"/>
    <w:rsid w:val="0066632F"/>
    <w:rsid w:val="00674A89"/>
    <w:rsid w:val="00674F3D"/>
    <w:rsid w:val="00682E02"/>
    <w:rsid w:val="00683153"/>
    <w:rsid w:val="00685545"/>
    <w:rsid w:val="006864B3"/>
    <w:rsid w:val="00686AED"/>
    <w:rsid w:val="00687511"/>
    <w:rsid w:val="00692BA9"/>
    <w:rsid w:val="00692C30"/>
    <w:rsid w:val="00692D64"/>
    <w:rsid w:val="006A10F8"/>
    <w:rsid w:val="006A2100"/>
    <w:rsid w:val="006A63DB"/>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1A42"/>
    <w:rsid w:val="00704845"/>
    <w:rsid w:val="00706AB3"/>
    <w:rsid w:val="00714DC5"/>
    <w:rsid w:val="00715237"/>
    <w:rsid w:val="007174F4"/>
    <w:rsid w:val="00721D2E"/>
    <w:rsid w:val="007242CC"/>
    <w:rsid w:val="00724A8B"/>
    <w:rsid w:val="007254A5"/>
    <w:rsid w:val="00725748"/>
    <w:rsid w:val="00727AAC"/>
    <w:rsid w:val="007314BC"/>
    <w:rsid w:val="00735D88"/>
    <w:rsid w:val="0073720D"/>
    <w:rsid w:val="00737507"/>
    <w:rsid w:val="00740712"/>
    <w:rsid w:val="00741309"/>
    <w:rsid w:val="00742AB9"/>
    <w:rsid w:val="00751A6A"/>
    <w:rsid w:val="007521BF"/>
    <w:rsid w:val="00754AD6"/>
    <w:rsid w:val="00754FBF"/>
    <w:rsid w:val="007615AC"/>
    <w:rsid w:val="00764585"/>
    <w:rsid w:val="00767FEF"/>
    <w:rsid w:val="007709EF"/>
    <w:rsid w:val="00783559"/>
    <w:rsid w:val="007846ED"/>
    <w:rsid w:val="007851C4"/>
    <w:rsid w:val="00785C3B"/>
    <w:rsid w:val="00791EBF"/>
    <w:rsid w:val="00793C56"/>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290B"/>
    <w:rsid w:val="008267CC"/>
    <w:rsid w:val="0083178B"/>
    <w:rsid w:val="00833695"/>
    <w:rsid w:val="008336B7"/>
    <w:rsid w:val="00833A8E"/>
    <w:rsid w:val="008353FA"/>
    <w:rsid w:val="0084255A"/>
    <w:rsid w:val="00842CD8"/>
    <w:rsid w:val="008431FA"/>
    <w:rsid w:val="00846208"/>
    <w:rsid w:val="008547BA"/>
    <w:rsid w:val="008553C7"/>
    <w:rsid w:val="00857FEB"/>
    <w:rsid w:val="008601AF"/>
    <w:rsid w:val="00867F4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21DA"/>
    <w:rsid w:val="00946703"/>
    <w:rsid w:val="009528B2"/>
    <w:rsid w:val="009555B3"/>
    <w:rsid w:val="009607C4"/>
    <w:rsid w:val="00962F2A"/>
    <w:rsid w:val="00963440"/>
    <w:rsid w:val="00967E4C"/>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18C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16239"/>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1CE"/>
    <w:rsid w:val="00A6170E"/>
    <w:rsid w:val="00A63AC6"/>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0240"/>
    <w:rsid w:val="00AD34B3"/>
    <w:rsid w:val="00AD5B44"/>
    <w:rsid w:val="00AD7608"/>
    <w:rsid w:val="00AD76FF"/>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42E66"/>
    <w:rsid w:val="00B50571"/>
    <w:rsid w:val="00B531DD"/>
    <w:rsid w:val="00B55014"/>
    <w:rsid w:val="00B62232"/>
    <w:rsid w:val="00B626DD"/>
    <w:rsid w:val="00B70BF3"/>
    <w:rsid w:val="00B70D24"/>
    <w:rsid w:val="00B70E51"/>
    <w:rsid w:val="00B71DC2"/>
    <w:rsid w:val="00B80DB6"/>
    <w:rsid w:val="00B81AD2"/>
    <w:rsid w:val="00B81AEC"/>
    <w:rsid w:val="00B8433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C12E50"/>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965EF"/>
    <w:rsid w:val="00C97C80"/>
    <w:rsid w:val="00CA1D00"/>
    <w:rsid w:val="00CA35E4"/>
    <w:rsid w:val="00CA47D3"/>
    <w:rsid w:val="00CA6533"/>
    <w:rsid w:val="00CA6A25"/>
    <w:rsid w:val="00CA6A3F"/>
    <w:rsid w:val="00CA7C99"/>
    <w:rsid w:val="00CC15DE"/>
    <w:rsid w:val="00CC1C9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85"/>
    <w:rsid w:val="00D34892"/>
    <w:rsid w:val="00D36088"/>
    <w:rsid w:val="00D36447"/>
    <w:rsid w:val="00D41CE8"/>
    <w:rsid w:val="00D44B73"/>
    <w:rsid w:val="00D516BE"/>
    <w:rsid w:val="00D5423B"/>
    <w:rsid w:val="00D5449E"/>
    <w:rsid w:val="00D54F4E"/>
    <w:rsid w:val="00D572BD"/>
    <w:rsid w:val="00D604B3"/>
    <w:rsid w:val="00D60BA4"/>
    <w:rsid w:val="00D62419"/>
    <w:rsid w:val="00D62AD8"/>
    <w:rsid w:val="00D65336"/>
    <w:rsid w:val="00D66074"/>
    <w:rsid w:val="00D66215"/>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4638"/>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284"/>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1C"/>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31255"/>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4"/>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AFCBD"/>
  <w15:docId w15:val="{90E57409-6295-47F1-A2A5-EE824351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erwijzingopmerking">
    <w:name w:val="annotation reference"/>
    <w:basedOn w:val="Standaardalinea-lettertype"/>
    <w:rsid w:val="000E5C4B"/>
    <w:rPr>
      <w:sz w:val="16"/>
      <w:szCs w:val="16"/>
    </w:rPr>
  </w:style>
  <w:style w:type="paragraph" w:styleId="Tekstopmerking">
    <w:name w:val="annotation text"/>
    <w:basedOn w:val="Standaard"/>
    <w:link w:val="TekstopmerkingChar"/>
    <w:rsid w:val="000E5C4B"/>
    <w:pPr>
      <w:spacing w:line="240" w:lineRule="auto"/>
    </w:pPr>
    <w:rPr>
      <w:sz w:val="20"/>
      <w:szCs w:val="20"/>
    </w:rPr>
  </w:style>
  <w:style w:type="character" w:customStyle="1" w:styleId="TekstopmerkingChar">
    <w:name w:val="Tekst opmerking Char"/>
    <w:basedOn w:val="Standaardalinea-lettertype"/>
    <w:link w:val="Tekstopmerking"/>
    <w:rsid w:val="000E5C4B"/>
    <w:rPr>
      <w:rFonts w:ascii="Verdana" w:hAnsi="Verdana"/>
      <w:lang w:val="nl-NL" w:eastAsia="nl-NL"/>
    </w:rPr>
  </w:style>
  <w:style w:type="paragraph" w:styleId="Onderwerpvanopmerking">
    <w:name w:val="annotation subject"/>
    <w:basedOn w:val="Tekstopmerking"/>
    <w:next w:val="Tekstopmerking"/>
    <w:link w:val="OnderwerpvanopmerkingChar"/>
    <w:rsid w:val="000E5C4B"/>
    <w:rPr>
      <w:b/>
      <w:bCs/>
    </w:rPr>
  </w:style>
  <w:style w:type="character" w:customStyle="1" w:styleId="OnderwerpvanopmerkingChar">
    <w:name w:val="Onderwerp van opmerking Char"/>
    <w:basedOn w:val="TekstopmerkingChar"/>
    <w:link w:val="Onderwerpvanopmerking"/>
    <w:rsid w:val="000E5C4B"/>
    <w:rPr>
      <w:rFonts w:ascii="Verdana" w:hAnsi="Verdana"/>
      <w:b/>
      <w:bCs/>
      <w:lang w:val="nl-NL" w:eastAsia="nl-NL"/>
    </w:rPr>
  </w:style>
  <w:style w:type="character" w:styleId="Onopgelostemelding">
    <w:name w:val="Unresolved Mention"/>
    <w:basedOn w:val="Standaardalinea-lettertype"/>
    <w:uiPriority w:val="99"/>
    <w:semiHidden/>
    <w:unhideWhenUsed/>
    <w:rsid w:val="000E5C4B"/>
    <w:rPr>
      <w:color w:val="605E5C"/>
      <w:shd w:val="clear" w:color="auto" w:fill="E1DFDD"/>
    </w:rPr>
  </w:style>
  <w:style w:type="character" w:styleId="Voetnootmarkering">
    <w:name w:val="footnote reference"/>
    <w:basedOn w:val="Standaardalinea-lettertype"/>
    <w:rsid w:val="00AD76FF"/>
    <w:rPr>
      <w:vertAlign w:val="superscript"/>
    </w:rPr>
  </w:style>
  <w:style w:type="paragraph" w:styleId="Revisie">
    <w:name w:val="Revision"/>
    <w:hidden/>
    <w:uiPriority w:val="99"/>
    <w:semiHidden/>
    <w:rsid w:val="00CC1C9E"/>
    <w:rPr>
      <w:rFonts w:ascii="Verdana" w:hAnsi="Verdana"/>
      <w:sz w:val="18"/>
      <w:szCs w:val="24"/>
      <w:lang w:val="nl-NL" w:eastAsia="nl-NL"/>
    </w:rPr>
  </w:style>
  <w:style w:type="paragraph" w:styleId="Lijstalinea">
    <w:name w:val="List Paragraph"/>
    <w:basedOn w:val="Standaard"/>
    <w:uiPriority w:val="34"/>
    <w:qFormat/>
    <w:rsid w:val="00D348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265677">
      <w:bodyDiv w:val="1"/>
      <w:marLeft w:val="0"/>
      <w:marRight w:val="0"/>
      <w:marTop w:val="0"/>
      <w:marBottom w:val="0"/>
      <w:divBdr>
        <w:top w:val="none" w:sz="0" w:space="0" w:color="auto"/>
        <w:left w:val="none" w:sz="0" w:space="0" w:color="auto"/>
        <w:bottom w:val="none" w:sz="0" w:space="0" w:color="auto"/>
        <w:right w:val="none" w:sz="0" w:space="0" w:color="auto"/>
      </w:divBdr>
    </w:div>
    <w:div w:id="140852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761</ap:Words>
  <ap:Characters>4699</ap:Characters>
  <ap:DocSecurity>0</ap:DocSecurity>
  <ap:Lines>39</ap:Lines>
  <ap:Paragraphs>10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5450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2025-02-20T13:52:00.0000000Z</lastPrinted>
  <dcterms:created xsi:type="dcterms:W3CDTF">2025-02-20T13:51:00.0000000Z</dcterms:created>
  <dcterms:modified xsi:type="dcterms:W3CDTF">2025-02-20T13:59:00.0000000Z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O201WES</vt:lpwstr>
  </property>
  <property fmtid="{D5CDD505-2E9C-101B-9397-08002B2CF9AE}" pid="3" name="Author">
    <vt:lpwstr>O201WES</vt:lpwstr>
  </property>
  <property fmtid="{D5CDD505-2E9C-101B-9397-08002B2CF9AE}" pid="4" name="cs_objectid">
    <vt:lpwstr>49400520</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Sponsorconvenant 2024-2028</vt:lpwstr>
  </property>
  <property fmtid="{D5CDD505-2E9C-101B-9397-08002B2CF9AE}" pid="9" name="ocw_directie">
    <vt:lpwstr>OVO/1</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O201WES</vt:lpwstr>
  </property>
</Properties>
</file>