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2025Z03251</w:t>
        <w:br/>
      </w:r>
      <w:proofErr w:type="spellEnd"/>
    </w:p>
    <w:p>
      <w:pPr>
        <w:pStyle w:val="Normal"/>
        <w:rPr>
          <w:b w:val="1"/>
          <w:bCs w:val="1"/>
        </w:rPr>
      </w:pPr>
      <w:r w:rsidR="250AE766">
        <w:rPr>
          <w:b w:val="0"/>
          <w:bCs w:val="0"/>
        </w:rPr>
        <w:t>(ingezonden 20 februari 2025)</w:t>
        <w:br/>
      </w:r>
    </w:p>
    <w:p>
      <w:r>
        <w:t xml:space="preserve">Vragen van het lid Patijn (GroenLinks-PvdA) aan de minister van Sociale Zaken en Werkgelegenheid over de premiestelling en fondsen van werknemersverzekeringen</w:t>
      </w:r>
      <w:r>
        <w:br/>
      </w:r>
    </w:p>
    <w:p>
      <w:pPr>
        <w:pStyle w:val="ListParagraph"/>
        <w:numPr>
          <w:ilvl w:val="0"/>
          <w:numId w:val="100469280"/>
        </w:numPr>
        <w:ind w:left="360"/>
      </w:pPr>
      <w:r>
        <w:t>Kunt u de systematiek rondom de premiestelling van de verschillende werknemersverzekeringen en bijbehorende fondsen uitleggen?</w:t>
      </w:r>
      <w:r>
        <w:br/>
      </w:r>
    </w:p>
    <w:p>
      <w:pPr>
        <w:pStyle w:val="ListParagraph"/>
        <w:numPr>
          <w:ilvl w:val="0"/>
          <w:numId w:val="100469280"/>
        </w:numPr>
        <w:ind w:left="360"/>
      </w:pPr>
      <w:r>
        <w:t>Op welke manier worden de premies voor werkloosheid en arbeidsongeschiktheid vastgesteld?</w:t>
      </w:r>
      <w:r>
        <w:br/>
      </w:r>
    </w:p>
    <w:p>
      <w:pPr>
        <w:pStyle w:val="ListParagraph"/>
        <w:numPr>
          <w:ilvl w:val="0"/>
          <w:numId w:val="100469280"/>
        </w:numPr>
        <w:ind w:left="360"/>
      </w:pPr>
      <w:r>
        <w:t>Klopt het dat er een verschil is in de manier waarop de premie voor het Algemeen werkloosheidsfonds en het Arbeidsongeschiktheidsfonds enerzijds en anderzijds het Werkhervattingsfonds worden vastgesteld?</w:t>
      </w:r>
      <w:r>
        <w:br/>
      </w:r>
    </w:p>
    <w:p>
      <w:pPr>
        <w:pStyle w:val="ListParagraph"/>
        <w:numPr>
          <w:ilvl w:val="0"/>
          <w:numId w:val="100469280"/>
        </w:numPr>
        <w:ind w:left="360"/>
      </w:pPr>
      <w:r>
        <w:t>Deelt u de opvatting dat de loonruimte daalt als de premies stijgen? En dat de loonruimte stijgt als de premies dalen?</w:t>
      </w:r>
      <w:r>
        <w:br/>
      </w:r>
    </w:p>
    <w:p>
      <w:pPr>
        <w:pStyle w:val="ListParagraph"/>
        <w:numPr>
          <w:ilvl w:val="0"/>
          <w:numId w:val="100469280"/>
        </w:numPr>
        <w:ind w:left="360"/>
      </w:pPr>
      <w:r>
        <w:t>Hoe is de premiestelling en het vullen van de fondsen voor werknemersverzekeringen historisch gegroeid? Welke keuzes zijn daarin gemaakt en waarom?</w:t>
      </w:r>
      <w:r>
        <w:br/>
      </w:r>
    </w:p>
    <w:p>
      <w:pPr>
        <w:pStyle w:val="ListParagraph"/>
        <w:numPr>
          <w:ilvl w:val="0"/>
          <w:numId w:val="100469280"/>
        </w:numPr>
        <w:ind w:left="360"/>
      </w:pPr>
      <w:r>
        <w:t>Kunt u aangeven hoe de relatie tussen premie en de lasten over de tijd is veranderd? Kunt u dit ook kwantitatief uiteenzetten?</w:t>
      </w:r>
      <w:r>
        <w:br/>
      </w:r>
    </w:p>
    <w:p>
      <w:pPr>
        <w:pStyle w:val="ListParagraph"/>
        <w:numPr>
          <w:ilvl w:val="0"/>
          <w:numId w:val="100469280"/>
        </w:numPr>
        <w:ind w:left="360"/>
      </w:pPr>
      <w:r>
        <w:t>Klopt het dat er gedurende de tijd steeds meer doelen voor de premies zijn bijgekomen, die los staan van het lastendekkend ophalen van de benodigde middelen voor het gebruik van de werknemersverzekeringen?</w:t>
      </w:r>
      <w:r>
        <w:br/>
      </w:r>
    </w:p>
    <w:p>
      <w:pPr>
        <w:pStyle w:val="ListParagraph"/>
        <w:numPr>
          <w:ilvl w:val="0"/>
          <w:numId w:val="100469280"/>
        </w:numPr>
        <w:ind w:left="360"/>
      </w:pPr>
      <w:r>
        <w:t>Welke doelen zijn dit? Kunt u deze beschrijven?</w:t>
      </w:r>
      <w:r>
        <w:br/>
      </w:r>
    </w:p>
    <w:p>
      <w:pPr>
        <w:pStyle w:val="ListParagraph"/>
        <w:numPr>
          <w:ilvl w:val="0"/>
          <w:numId w:val="100469280"/>
        </w:numPr>
        <w:ind w:left="360"/>
      </w:pPr>
      <w:r>
        <w:t>Kunt u kwantificeren uit welke onderdelen de premies voor werkloosheid en arbeidsongeschiktheid bestaan?</w:t>
      </w:r>
      <w:r>
        <w:br/>
      </w:r>
    </w:p>
    <w:p>
      <w:pPr>
        <w:pStyle w:val="ListParagraph"/>
        <w:numPr>
          <w:ilvl w:val="0"/>
          <w:numId w:val="100469280"/>
        </w:numPr>
        <w:ind w:left="360"/>
      </w:pPr>
      <w:r>
        <w:t>Welk deel van de premie gaat naar het dekken van feitelijke lasten voor de instroom in de regeling en welk deel naar het beprijzen van instroomverschillen (bijvoorbeeld bij de hoge en lage Werkloosheidswet (WW-)premie)?</w:t>
      </w:r>
      <w:r>
        <w:br/>
      </w:r>
    </w:p>
    <w:p>
      <w:pPr>
        <w:pStyle w:val="ListParagraph"/>
        <w:numPr>
          <w:ilvl w:val="0"/>
          <w:numId w:val="100469280"/>
        </w:numPr>
        <w:ind w:left="360"/>
      </w:pPr>
      <w:r>
        <w:t>Welk deel van de premie bestaat uit het stimuleren van andere beleidsdoelen, zoals het aanbieden van vaste contracten?</w:t>
      </w:r>
      <w:r>
        <w:br/>
      </w:r>
    </w:p>
    <w:p>
      <w:pPr>
        <w:pStyle w:val="ListParagraph"/>
        <w:numPr>
          <w:ilvl w:val="0"/>
          <w:numId w:val="100469280"/>
        </w:numPr>
        <w:ind w:left="360"/>
      </w:pPr>
      <w:r>
        <w:t>Klopt het dat de inkomsten en uitgaven van de fondsen collectieve inkomsten en uitgaven zijn en daarmee Economische en Monetaire Unie (EMU-)relevant?</w:t>
      </w:r>
      <w:r>
        <w:br/>
      </w:r>
    </w:p>
    <w:p>
      <w:pPr>
        <w:pStyle w:val="ListParagraph"/>
        <w:numPr>
          <w:ilvl w:val="0"/>
          <w:numId w:val="100469280"/>
        </w:numPr>
        <w:ind w:left="360"/>
      </w:pPr>
      <w:r>
        <w:t>Bestaat er een norm voor hoe hoog de buffers in fondsen moeten zijn voor zwaardere tijden? Welk deel van de premie wordt hiervoor gebruikt?</w:t>
      </w:r>
      <w:r>
        <w:br/>
      </w:r>
    </w:p>
    <w:p>
      <w:pPr>
        <w:pStyle w:val="ListParagraph"/>
        <w:numPr>
          <w:ilvl w:val="0"/>
          <w:numId w:val="100469280"/>
        </w:numPr>
        <w:ind w:left="360"/>
      </w:pPr>
      <w:r>
        <w:t>Hoe kijkt u naar deze relatie tussen de premie en de lasten? Hoe beoordeelt u de nieuwe doelen die er bij zijn gekomen?</w:t>
      </w:r>
      <w:r>
        <w:br/>
      </w:r>
    </w:p>
    <w:p>
      <w:pPr>
        <w:pStyle w:val="ListParagraph"/>
        <w:numPr>
          <w:ilvl w:val="0"/>
          <w:numId w:val="100469280"/>
        </w:numPr>
        <w:ind w:left="360"/>
      </w:pPr>
      <w:r>
        <w:t>Ziet u een verband tussen de relatie tussen premie en verzekerd risico enerzijds en anderzijds zeggenschap over, solidariteit binnen of draagvlak voor werknemersverzekeringen?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