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7060" w:rsidRDefault="001F4ED1" w14:paraId="039E10E4" w14:textId="77777777">
      <w:pPr>
        <w:pStyle w:val="StandaardAanhef"/>
      </w:pPr>
      <w:r>
        <w:t>Geachte voorzitter,</w:t>
      </w:r>
    </w:p>
    <w:p w:rsidR="00087480" w:rsidRDefault="00087480" w14:paraId="61FAACF4" w14:textId="77777777">
      <w:pPr>
        <w:pStyle w:val="StandaardSlotzin"/>
      </w:pPr>
    </w:p>
    <w:p w:rsidRPr="00EA0AFB" w:rsidR="009E0143" w:rsidP="00EA0AFB" w:rsidRDefault="009E0143" w14:paraId="68C9FA55" w14:textId="77777777">
      <w:pPr>
        <w:pStyle w:val="Lijstalinea"/>
        <w:numPr>
          <w:ilvl w:val="0"/>
          <w:numId w:val="14"/>
        </w:numPr>
        <w:rPr>
          <w:b/>
          <w:bCs/>
        </w:rPr>
      </w:pPr>
      <w:r w:rsidRPr="00EA0AFB">
        <w:rPr>
          <w:b/>
          <w:bCs/>
        </w:rPr>
        <w:t>Aanleiding</w:t>
      </w:r>
    </w:p>
    <w:p w:rsidR="00647B40" w:rsidP="00EA0AFB" w:rsidRDefault="00647B40" w14:paraId="27958C16" w14:textId="77777777"/>
    <w:p w:rsidR="007D3D8F" w:rsidP="007D3D8F" w:rsidRDefault="00B42A7F" w14:paraId="2F2BEF7A" w14:textId="77777777">
      <w:pPr>
        <w:rPr>
          <w:rFonts w:ascii="Calibri" w:hAnsi="Calibri"/>
          <w:color w:val="auto"/>
          <w:sz w:val="22"/>
          <w:szCs w:val="22"/>
        </w:rPr>
      </w:pPr>
      <w:r>
        <w:rPr>
          <w:rFonts w:cs="CKALO M+ Univers"/>
          <w:color w:val="211D1F"/>
        </w:rPr>
        <w:t xml:space="preserve">In reactie op een rapport </w:t>
      </w:r>
      <w:r w:rsidRPr="00096BA3">
        <w:rPr>
          <w:rFonts w:cs="CKALO M+ Univers"/>
          <w:color w:val="211D1F"/>
        </w:rPr>
        <w:t>van d</w:t>
      </w:r>
      <w:r w:rsidRPr="00096BA3">
        <w:t xml:space="preserve">e Algemene Rekenkamer </w:t>
      </w:r>
      <w:r w:rsidR="004A4B02">
        <w:t xml:space="preserve">(AR) </w:t>
      </w:r>
      <w:r w:rsidRPr="00096BA3">
        <w:t>over de toepassing van forfaits in het belastingstelsel</w:t>
      </w:r>
      <w:r w:rsidRPr="00096BA3">
        <w:rPr>
          <w:rStyle w:val="Voetnootmarkering"/>
        </w:rPr>
        <w:footnoteReference w:id="1"/>
      </w:r>
      <w:r w:rsidRPr="00EA0AFB">
        <w:t xml:space="preserve"> </w:t>
      </w:r>
      <w:r>
        <w:t xml:space="preserve">is in </w:t>
      </w:r>
      <w:r w:rsidRPr="00096BA3">
        <w:t xml:space="preserve">de fiscale moties- en toezeggingenbrief </w:t>
      </w:r>
      <w:r>
        <w:t xml:space="preserve">van </w:t>
      </w:r>
      <w:r w:rsidRPr="00096BA3">
        <w:t>23 april 2021</w:t>
      </w:r>
      <w:r>
        <w:t xml:space="preserve"> een o</w:t>
      </w:r>
      <w:r w:rsidR="00647B40">
        <w:t>nderzoek</w:t>
      </w:r>
      <w:r>
        <w:t xml:space="preserve"> </w:t>
      </w:r>
      <w:r w:rsidR="00567E42">
        <w:rPr>
          <w:rFonts w:cs="CKALO M+ Univers"/>
          <w:color w:val="211D1F"/>
        </w:rPr>
        <w:t xml:space="preserve">toegezegd </w:t>
      </w:r>
      <w:r w:rsidR="00EA0AFB">
        <w:rPr>
          <w:rFonts w:cs="CKALO M+ Univers"/>
          <w:color w:val="211D1F"/>
        </w:rPr>
        <w:t>naar actualisatie van rekenforfaits in de belastingen die zijn gebaseerd op de levensverwachting en rente</w:t>
      </w:r>
      <w:r w:rsidRPr="00096BA3" w:rsidR="00EA0AFB">
        <w:t>.</w:t>
      </w:r>
      <w:r w:rsidRPr="00EA0AFB" w:rsidR="00EA0AFB">
        <w:t xml:space="preserve"> </w:t>
      </w:r>
      <w:r w:rsidR="007D3D8F">
        <w:t xml:space="preserve">De voorbereiding van dit onderzoek vergt </w:t>
      </w:r>
      <w:r w:rsidR="004A4B02">
        <w:t xml:space="preserve">een mix </w:t>
      </w:r>
      <w:r w:rsidR="007D3D8F">
        <w:t xml:space="preserve">van fiscaal-juridische, notariële en actuariële kennis </w:t>
      </w:r>
      <w:r w:rsidR="004A4B02">
        <w:t xml:space="preserve">en heeft daardoor </w:t>
      </w:r>
      <w:r w:rsidR="007D3D8F">
        <w:t xml:space="preserve">de nodige tijd gekost. </w:t>
      </w:r>
      <w:r w:rsidR="00CE2245">
        <w:t xml:space="preserve">Ik ben dan ook verheugd </w:t>
      </w:r>
      <w:r w:rsidR="007D3D8F">
        <w:t xml:space="preserve">uw Kamer het onderzoeksrapport </w:t>
      </w:r>
      <w:r w:rsidR="007D3D8F">
        <w:rPr>
          <w:rFonts w:cs="CKALO M+ Univers"/>
          <w:color w:val="211D1F"/>
        </w:rPr>
        <w:t xml:space="preserve">naar actualisatie van rekenforfaits in de belastingen die zijn gebaseerd op de levensverwachting en rente </w:t>
      </w:r>
      <w:r w:rsidR="00CE2245">
        <w:rPr>
          <w:rFonts w:cs="CKALO M+ Univers"/>
          <w:color w:val="211D1F"/>
        </w:rPr>
        <w:t xml:space="preserve">te kunnen </w:t>
      </w:r>
      <w:r w:rsidR="007D3D8F">
        <w:rPr>
          <w:rFonts w:cs="CKALO M+ Univers"/>
          <w:color w:val="211D1F"/>
        </w:rPr>
        <w:t>aan</w:t>
      </w:r>
      <w:r w:rsidR="00CE2245">
        <w:rPr>
          <w:rFonts w:cs="CKALO M+ Univers"/>
          <w:color w:val="211D1F"/>
        </w:rPr>
        <w:t>bieden</w:t>
      </w:r>
      <w:r w:rsidR="007D3D8F">
        <w:rPr>
          <w:rFonts w:cs="CKALO M+ Univers"/>
          <w:color w:val="211D1F"/>
        </w:rPr>
        <w:t>.</w:t>
      </w:r>
      <w:r w:rsidRPr="00EA0AFB" w:rsidR="007D3D8F">
        <w:rPr>
          <w:rFonts w:cs="CKALO M+ Univers"/>
          <w:color w:val="211D1F"/>
        </w:rPr>
        <w:t xml:space="preserve"> </w:t>
      </w:r>
      <w:r w:rsidR="00EA0AFB">
        <w:t xml:space="preserve">Eerst geef ik in </w:t>
      </w:r>
      <w:r w:rsidR="00307E69">
        <w:t xml:space="preserve">paragraaf twee van </w:t>
      </w:r>
      <w:r w:rsidR="00EA0AFB">
        <w:t xml:space="preserve">deze brief een samenvatting van het eindrapport en bijbehorende conclusies. Daarna ga ik </w:t>
      </w:r>
      <w:r w:rsidR="00307E69">
        <w:t xml:space="preserve">in paragraaf drie </w:t>
      </w:r>
      <w:r w:rsidR="00EA0AFB">
        <w:t>in op de vervolgstappen die ik voornemens ben te zetten.</w:t>
      </w:r>
    </w:p>
    <w:p w:rsidR="00EA0AFB" w:rsidP="00EA0AFB" w:rsidRDefault="00EA0AFB" w14:paraId="438ED9BC" w14:textId="77777777"/>
    <w:p w:rsidRPr="00A551DA" w:rsidR="00EA0AFB" w:rsidP="00A551DA" w:rsidRDefault="00EA0AFB" w14:paraId="5A43E6E6" w14:textId="77777777">
      <w:pPr>
        <w:pStyle w:val="Lijstalinea"/>
        <w:numPr>
          <w:ilvl w:val="0"/>
          <w:numId w:val="14"/>
        </w:numPr>
        <w:rPr>
          <w:b/>
          <w:bCs/>
        </w:rPr>
      </w:pPr>
      <w:r w:rsidRPr="00A551DA">
        <w:rPr>
          <w:b/>
          <w:bCs/>
        </w:rPr>
        <w:t xml:space="preserve">Samenvatting onderzoek actualisatie rekenforfaits gebaseerd op de </w:t>
      </w:r>
      <w:proofErr w:type="gramStart"/>
      <w:r w:rsidRPr="00A551DA">
        <w:rPr>
          <w:b/>
          <w:bCs/>
        </w:rPr>
        <w:t>levensverwachting</w:t>
      </w:r>
      <w:proofErr w:type="gramEnd"/>
      <w:r w:rsidRPr="00A551DA">
        <w:rPr>
          <w:b/>
          <w:bCs/>
        </w:rPr>
        <w:t xml:space="preserve"> en rente</w:t>
      </w:r>
    </w:p>
    <w:p w:rsidR="00647B40" w:rsidP="009E0143" w:rsidRDefault="00647B40" w14:paraId="79FDEB14" w14:textId="77777777">
      <w:pPr>
        <w:rPr>
          <w:rFonts w:cs="CKALO M+ Univers"/>
          <w:color w:val="211D1F"/>
        </w:rPr>
      </w:pPr>
    </w:p>
    <w:p w:rsidR="00EA0AFB" w:rsidP="009E0143" w:rsidRDefault="00EA0AFB" w14:paraId="1D306331" w14:textId="77777777">
      <w:r>
        <w:rPr>
          <w:rFonts w:cs="CKALO M+ Univers"/>
          <w:color w:val="211D1F"/>
        </w:rPr>
        <w:t>I</w:t>
      </w:r>
      <w:r w:rsidRPr="00096BA3">
        <w:rPr>
          <w:rFonts w:cs="CKALO M+ Univers"/>
          <w:color w:val="211D1F"/>
        </w:rPr>
        <w:t xml:space="preserve">n opdracht van het Ministerie van Financiën </w:t>
      </w:r>
      <w:r>
        <w:rPr>
          <w:rFonts w:cs="CKALO M+ Univers"/>
          <w:color w:val="211D1F"/>
        </w:rPr>
        <w:t xml:space="preserve">heeft </w:t>
      </w:r>
      <w:r w:rsidRPr="00096BA3">
        <w:rPr>
          <w:rFonts w:cs="CKALO M+ Univers"/>
          <w:color w:val="211D1F"/>
        </w:rPr>
        <w:t xml:space="preserve">Deloitte </w:t>
      </w:r>
      <w:r w:rsidR="003A66E8">
        <w:rPr>
          <w:rFonts w:cs="CKALO M+ Univers"/>
          <w:color w:val="211D1F"/>
        </w:rPr>
        <w:t>in 2024</w:t>
      </w:r>
      <w:r w:rsidR="00682ED7">
        <w:rPr>
          <w:rFonts w:cs="CKALO M+ Univers"/>
          <w:color w:val="211D1F"/>
        </w:rPr>
        <w:t xml:space="preserve"> </w:t>
      </w:r>
      <w:r>
        <w:rPr>
          <w:rFonts w:cs="CKALO M+ Univers"/>
          <w:color w:val="211D1F"/>
        </w:rPr>
        <w:t xml:space="preserve">onderzoek gedaan naar actualisatie van rekenforfaits in de belastingen die zijn gebaseerd op de levensverwachting en rente. </w:t>
      </w:r>
      <w:r w:rsidR="003A66E8">
        <w:rPr>
          <w:rFonts w:cs="CKALO M+ Univers"/>
          <w:color w:val="211D1F"/>
        </w:rPr>
        <w:t>Het rapport is eind november 2024 opgeleverd.</w:t>
      </w:r>
    </w:p>
    <w:p w:rsidR="00EA0AFB" w:rsidP="009E0143" w:rsidRDefault="00EA0AFB" w14:paraId="645A0B44" w14:textId="77777777"/>
    <w:p w:rsidR="00087480" w:rsidP="00087480" w:rsidRDefault="00087480" w14:paraId="6D6F1FF1" w14:textId="77777777">
      <w:pPr>
        <w:pStyle w:val="Huisstijl-Gegevens"/>
        <w:spacing w:line="276" w:lineRule="auto"/>
        <w:rPr>
          <w:u w:val="single"/>
        </w:rPr>
      </w:pPr>
      <w:r>
        <w:rPr>
          <w:u w:val="single"/>
        </w:rPr>
        <w:t>Achtergrond van de opdracht</w:t>
      </w:r>
    </w:p>
    <w:p w:rsidR="00087480" w:rsidP="00820E30" w:rsidRDefault="003A66E8" w14:paraId="5B296480" w14:textId="77777777">
      <w:pPr>
        <w:spacing w:line="276" w:lineRule="auto"/>
      </w:pPr>
      <w:r>
        <w:t>Forfaits die gebaseerd zijn op de levensverwachting en rente hebben als doelstelling om op doelmatige wijze de waarde in het economische verkeer van met name genotsrechten en periodieke uitkeringen te bepalen.</w:t>
      </w:r>
      <w:r w:rsidRPr="00B32408" w:rsidR="00AB273C">
        <w:t xml:space="preserve"> </w:t>
      </w:r>
      <w:r w:rsidR="006764A4">
        <w:rPr>
          <w:color w:val="211D1F"/>
        </w:rPr>
        <w:t xml:space="preserve">Naar aanleiding van het onderzoek van de </w:t>
      </w:r>
      <w:r w:rsidR="004A4B02">
        <w:rPr>
          <w:color w:val="211D1F"/>
        </w:rPr>
        <w:t>AR</w:t>
      </w:r>
      <w:r w:rsidR="006764A4">
        <w:rPr>
          <w:color w:val="211D1F"/>
        </w:rPr>
        <w:t xml:space="preserve"> naar </w:t>
      </w:r>
      <w:r w:rsidR="00307E69">
        <w:rPr>
          <w:color w:val="211D1F"/>
        </w:rPr>
        <w:t>i</w:t>
      </w:r>
      <w:r w:rsidR="006764A4">
        <w:rPr>
          <w:color w:val="211D1F"/>
        </w:rPr>
        <w:t>n totaal 48 forfaits in het belastingstelsel</w:t>
      </w:r>
      <w:r w:rsidR="004A4B02">
        <w:rPr>
          <w:color w:val="211D1F"/>
        </w:rPr>
        <w:t>,</w:t>
      </w:r>
      <w:r w:rsidR="006764A4">
        <w:rPr>
          <w:color w:val="211D1F"/>
        </w:rPr>
        <w:t xml:space="preserve"> heeft mijn ambtsvoorganger</w:t>
      </w:r>
      <w:r>
        <w:rPr>
          <w:color w:val="211D1F"/>
        </w:rPr>
        <w:t xml:space="preserve"> van Rij</w:t>
      </w:r>
      <w:r w:rsidR="006764A4">
        <w:rPr>
          <w:color w:val="211D1F"/>
        </w:rPr>
        <w:t xml:space="preserve"> </w:t>
      </w:r>
      <w:r w:rsidR="00307E69">
        <w:rPr>
          <w:color w:val="211D1F"/>
        </w:rPr>
        <w:t xml:space="preserve">onder andere </w:t>
      </w:r>
      <w:r w:rsidR="006764A4">
        <w:rPr>
          <w:color w:val="211D1F"/>
        </w:rPr>
        <w:t xml:space="preserve">toegezegd </w:t>
      </w:r>
      <w:r w:rsidR="00307E69">
        <w:rPr>
          <w:color w:val="211D1F"/>
        </w:rPr>
        <w:t xml:space="preserve">dat </w:t>
      </w:r>
      <w:r w:rsidR="00DE6F9C">
        <w:rPr>
          <w:color w:val="211D1F"/>
        </w:rPr>
        <w:t xml:space="preserve">voor de forfaits die gebaseerd zijn op de levensverwachting en </w:t>
      </w:r>
      <w:r w:rsidR="0095058F">
        <w:rPr>
          <w:color w:val="211D1F"/>
        </w:rPr>
        <w:t xml:space="preserve">rente </w:t>
      </w:r>
      <w:r w:rsidR="00856E74">
        <w:t xml:space="preserve">(hierna de forfaits) </w:t>
      </w:r>
      <w:r w:rsidR="00DE6F9C">
        <w:rPr>
          <w:color w:val="211D1F"/>
        </w:rPr>
        <w:t xml:space="preserve">een onderzoek </w:t>
      </w:r>
      <w:r w:rsidR="00307E69">
        <w:rPr>
          <w:color w:val="211D1F"/>
        </w:rPr>
        <w:t xml:space="preserve">zal </w:t>
      </w:r>
      <w:r w:rsidR="00DE6F9C">
        <w:rPr>
          <w:color w:val="211D1F"/>
        </w:rPr>
        <w:t>worden gestart</w:t>
      </w:r>
      <w:r w:rsidR="004A4B02">
        <w:rPr>
          <w:color w:val="211D1F"/>
        </w:rPr>
        <w:t xml:space="preserve">. Doel van dit onderzoek is </w:t>
      </w:r>
      <w:r w:rsidR="00DE6F9C">
        <w:rPr>
          <w:color w:val="211D1F"/>
        </w:rPr>
        <w:t xml:space="preserve">de gevolgen van </w:t>
      </w:r>
      <w:r w:rsidR="00DE6F9C">
        <w:rPr>
          <w:color w:val="211D1F"/>
        </w:rPr>
        <w:lastRenderedPageBreak/>
        <w:t>actualisatie in kaart brengen.</w:t>
      </w:r>
      <w:r w:rsidR="00DE6F9C">
        <w:rPr>
          <w:rStyle w:val="Voetnootmarkering"/>
          <w:color w:val="211D1F"/>
        </w:rPr>
        <w:footnoteReference w:id="2"/>
      </w:r>
      <w:r w:rsidR="00307E69">
        <w:rPr>
          <w:color w:val="211D1F"/>
        </w:rPr>
        <w:t xml:space="preserve"> </w:t>
      </w:r>
      <w:r w:rsidR="00087480">
        <w:t>De waarde in het economische verkeer</w:t>
      </w:r>
      <w:r w:rsidRPr="00B32408" w:rsidR="00087480">
        <w:t xml:space="preserve"> van een genotsrecht</w:t>
      </w:r>
      <w:r w:rsidR="00087480">
        <w:t>, een verkrijging van een recht</w:t>
      </w:r>
      <w:r w:rsidRPr="00B32408" w:rsidR="00087480">
        <w:t xml:space="preserve"> of een periodieke uitkering waarvoor geen (zakelijke) vergoeding wordt betaald</w:t>
      </w:r>
      <w:r w:rsidRPr="0031101F" w:rsidR="00087480">
        <w:t xml:space="preserve"> </w:t>
      </w:r>
      <w:r w:rsidR="00087480">
        <w:t xml:space="preserve">is niet eenvoudig te bepalen. </w:t>
      </w:r>
      <w:r w:rsidRPr="00B32408" w:rsidR="00087480">
        <w:t>D</w:t>
      </w:r>
      <w:r w:rsidR="00307E69">
        <w:t>aarom is d</w:t>
      </w:r>
      <w:r w:rsidRPr="00B32408" w:rsidR="00087480">
        <w:t xml:space="preserve">e hoogte van deze forfaits gebaseerd op een </w:t>
      </w:r>
      <w:r w:rsidR="00087480">
        <w:t>rekenrente</w:t>
      </w:r>
      <w:r w:rsidRPr="00B32408" w:rsidR="00087480">
        <w:t xml:space="preserve">, meestal gecombineerd met vermenigvuldigingsfactoren. De vermenigvuldigingsfactoren zijn gebaseerd op de </w:t>
      </w:r>
      <w:r w:rsidR="00087480">
        <w:t xml:space="preserve">statistische </w:t>
      </w:r>
      <w:r w:rsidRPr="00B32408" w:rsidR="00087480">
        <w:t xml:space="preserve">levensverwachting in combinatie met </w:t>
      </w:r>
      <w:r w:rsidR="007059B8">
        <w:t>de</w:t>
      </w:r>
      <w:r w:rsidRPr="00B32408" w:rsidR="007059B8">
        <w:t xml:space="preserve"> </w:t>
      </w:r>
      <w:r w:rsidRPr="00B32408" w:rsidR="00087480">
        <w:t xml:space="preserve">hiervoor genoemde </w:t>
      </w:r>
      <w:r w:rsidR="007059B8">
        <w:t>rekenrente</w:t>
      </w:r>
      <w:r w:rsidRPr="00B32408" w:rsidR="00087480">
        <w:t>.</w:t>
      </w:r>
      <w:r w:rsidR="00307E69">
        <w:t xml:space="preserve"> </w:t>
      </w:r>
      <w:r w:rsidR="00820E30">
        <w:t>De</w:t>
      </w:r>
      <w:r w:rsidR="00B16C30">
        <w:t>rgelijke</w:t>
      </w:r>
      <w:r w:rsidR="00820E30">
        <w:t xml:space="preserve"> forfaits zijn terug te vinden in de schenk- en erfbelasting, in</w:t>
      </w:r>
      <w:r w:rsidR="00856E74">
        <w:t xml:space="preserve"> box 3 van</w:t>
      </w:r>
      <w:r w:rsidR="00820E30">
        <w:t xml:space="preserve"> de inkomstenbelasting, de btw en de overdrachtsbelasting</w:t>
      </w:r>
      <w:r w:rsidR="003E08D4">
        <w:t xml:space="preserve"> (zie tabel 1 van bijlage 1</w:t>
      </w:r>
      <w:r w:rsidR="00704545">
        <w:t xml:space="preserve"> van deze brief</w:t>
      </w:r>
      <w:r w:rsidR="003E08D4">
        <w:t>)</w:t>
      </w:r>
      <w:r w:rsidR="00820E30">
        <w:t xml:space="preserve">. </w:t>
      </w:r>
      <w:r w:rsidR="00E878D9">
        <w:t xml:space="preserve">Vooral binnen de schenk- en erfbelasting zijn de forfaits van belang. </w:t>
      </w:r>
      <w:r w:rsidR="00E0686E">
        <w:t xml:space="preserve">Zo wordt </w:t>
      </w:r>
      <w:r w:rsidR="00CE2245">
        <w:t xml:space="preserve">bijvoorbeeld </w:t>
      </w:r>
      <w:r w:rsidR="00E0686E">
        <w:t>b</w:t>
      </w:r>
      <w:r w:rsidR="00E878D9">
        <w:t xml:space="preserve">ij nalatenschappen de waarde van het fictieve vruchtgebruik van </w:t>
      </w:r>
      <w:r w:rsidR="00E0686E">
        <w:t>de overbedelingsschuld van de langstlevende partner aan de kinderen berekend aan de hand van de forfaits</w:t>
      </w:r>
      <w:r w:rsidR="00B0631E">
        <w:t xml:space="preserve"> (zie </w:t>
      </w:r>
      <w:r w:rsidR="00091621">
        <w:t xml:space="preserve">voorbeelden in </w:t>
      </w:r>
      <w:r w:rsidR="00B0631E">
        <w:t>bijlage 2</w:t>
      </w:r>
      <w:r w:rsidR="00704545">
        <w:t xml:space="preserve"> van deze brief</w:t>
      </w:r>
      <w:r w:rsidR="00B0631E">
        <w:t>)</w:t>
      </w:r>
      <w:r w:rsidR="00E878D9">
        <w:t xml:space="preserve">. </w:t>
      </w:r>
      <w:r w:rsidRPr="00B32408" w:rsidR="00087480">
        <w:t>De hoogte van deze forfaits is niet meer aangepast sinds 1980 (erf- en schenkbelasting, overdrachtsbelasting en omzetbelasting) of 2001 (inkomstenbelasting), terwijl de levensverwachting</w:t>
      </w:r>
      <w:r w:rsidR="00087480">
        <w:t xml:space="preserve"> </w:t>
      </w:r>
      <w:r w:rsidRPr="00FE5BF4" w:rsidR="00087480">
        <w:t>(nu gebaseerd op de levensverwachting van mannen in 1979</w:t>
      </w:r>
      <w:r w:rsidR="00087480">
        <w:t xml:space="preserve"> of </w:t>
      </w:r>
      <w:r w:rsidRPr="00A6167B" w:rsidR="00087480">
        <w:t>1990-1995</w:t>
      </w:r>
      <w:r w:rsidR="00087480">
        <w:t xml:space="preserve">) </w:t>
      </w:r>
      <w:r w:rsidRPr="00B32408" w:rsidR="00087480">
        <w:t xml:space="preserve">sindsdien is toegenomen en de </w:t>
      </w:r>
      <w:r w:rsidR="00087480">
        <w:t>rente lager ligt dan in 1980</w:t>
      </w:r>
      <w:r w:rsidRPr="00B32408" w:rsidR="00087480">
        <w:t xml:space="preserve">. </w:t>
      </w:r>
      <w:r w:rsidR="00087480">
        <w:t xml:space="preserve">Daarom </w:t>
      </w:r>
      <w:r w:rsidR="00856E74">
        <w:t xml:space="preserve">was het </w:t>
      </w:r>
      <w:r w:rsidR="00087480">
        <w:t xml:space="preserve">wenselijk </w:t>
      </w:r>
      <w:r w:rsidRPr="00B32408" w:rsidR="00087480">
        <w:t>om</w:t>
      </w:r>
      <w:r w:rsidR="00856E74">
        <w:t xml:space="preserve"> onderzoek te doen naar het actualiseren van</w:t>
      </w:r>
      <w:r w:rsidRPr="00B32408" w:rsidR="00087480">
        <w:t xml:space="preserve"> de forfaits </w:t>
      </w:r>
      <w:r w:rsidR="005E112F">
        <w:t xml:space="preserve">en </w:t>
      </w:r>
      <w:r w:rsidR="00856E74">
        <w:t xml:space="preserve">naar het in de toekomst actueel houden van </w:t>
      </w:r>
      <w:r w:rsidR="005E112F">
        <w:t xml:space="preserve">de </w:t>
      </w:r>
      <w:r w:rsidR="00087480">
        <w:t xml:space="preserve">forfaits. </w:t>
      </w:r>
    </w:p>
    <w:p w:rsidR="00820E30" w:rsidP="00087480" w:rsidRDefault="00820E30" w14:paraId="5E015764" w14:textId="77777777"/>
    <w:p w:rsidR="00087480" w:rsidP="00087480" w:rsidRDefault="005F2E33" w14:paraId="74828FCF" w14:textId="77777777">
      <w:pPr>
        <w:pStyle w:val="Huisstijl-Gegevens"/>
        <w:spacing w:line="276" w:lineRule="auto"/>
        <w:rPr>
          <w:u w:val="single"/>
        </w:rPr>
      </w:pPr>
      <w:r>
        <w:rPr>
          <w:u w:val="single"/>
        </w:rPr>
        <w:t>Aanbevelingen onderzoeksrapport Deloitte</w:t>
      </w:r>
    </w:p>
    <w:p w:rsidR="00647B40" w:rsidP="00087480" w:rsidRDefault="005E112F" w14:paraId="4FD3FB66" w14:textId="77777777">
      <w:pPr>
        <w:pStyle w:val="Huisstijl-Gegevens"/>
        <w:spacing w:line="276" w:lineRule="auto"/>
      </w:pPr>
      <w:r>
        <w:t xml:space="preserve">Het onderzoek </w:t>
      </w:r>
      <w:r w:rsidR="00396DE9">
        <w:t>doet aanbevelingen voor het actualiseren van de forfaits en brengt daarbij de gevolgen van actualisatie in kaart. Hieronder volgt een samenvatting van de onderzoeksbevindingen en aanbevelingen:</w:t>
      </w:r>
    </w:p>
    <w:p w:rsidRPr="00647B40" w:rsidR="00396DE9" w:rsidP="00087480" w:rsidRDefault="00396DE9" w14:paraId="126053FF" w14:textId="77777777">
      <w:pPr>
        <w:pStyle w:val="Huisstijl-Gegevens"/>
        <w:spacing w:line="276" w:lineRule="auto"/>
      </w:pPr>
    </w:p>
    <w:p w:rsidR="003E08D4" w:rsidP="005F2E33" w:rsidRDefault="005F2E33" w14:paraId="14830C3F" w14:textId="77777777">
      <w:pPr>
        <w:pStyle w:val="Lijstalinea"/>
        <w:numPr>
          <w:ilvl w:val="0"/>
          <w:numId w:val="7"/>
        </w:numPr>
      </w:pPr>
      <w:r>
        <w:t xml:space="preserve">De onderzoekers raden aan om de forfaits in de schenk- en erfbelasting te actualiseren. </w:t>
      </w:r>
      <w:r w:rsidR="00627061">
        <w:t>Zij</w:t>
      </w:r>
      <w:r w:rsidR="003E08D4">
        <w:t xml:space="preserve"> achten </w:t>
      </w:r>
      <w:r w:rsidR="00627061">
        <w:t>actualisatie essentieel om de heffing van de schenk- en erfbelasting beter te laten aansluiten bij de waarde in het economische verkeer van de verkrijging.</w:t>
      </w:r>
    </w:p>
    <w:p w:rsidR="005F2E33" w:rsidP="005F2E33" w:rsidRDefault="00F735DC" w14:paraId="02797F9E" w14:textId="77777777">
      <w:pPr>
        <w:pStyle w:val="Lijstalinea"/>
        <w:numPr>
          <w:ilvl w:val="0"/>
          <w:numId w:val="7"/>
        </w:numPr>
      </w:pPr>
      <w:r>
        <w:t xml:space="preserve">Voor de forfaits in box 3 van de inkomstenbelasting, </w:t>
      </w:r>
      <w:r w:rsidR="00295A1B">
        <w:t xml:space="preserve">in </w:t>
      </w:r>
      <w:r>
        <w:t>de ov</w:t>
      </w:r>
      <w:r w:rsidR="00704545">
        <w:t>erdrachtsbelasting</w:t>
      </w:r>
      <w:r>
        <w:t xml:space="preserve"> en </w:t>
      </w:r>
      <w:r w:rsidR="00295A1B">
        <w:t xml:space="preserve">in </w:t>
      </w:r>
      <w:r>
        <w:t xml:space="preserve">de btw raden de onderzoekers aan om niet te actualiseren. </w:t>
      </w:r>
      <w:r w:rsidR="003E08D4">
        <w:t>Immers, a</w:t>
      </w:r>
      <w:r w:rsidR="005F2E33">
        <w:t>ls</w:t>
      </w:r>
      <w:r w:rsidRPr="00096BA3" w:rsidR="005F2E33">
        <w:t xml:space="preserve"> de Wet werkelijk rendement </w:t>
      </w:r>
      <w:r w:rsidR="005F2E33">
        <w:t xml:space="preserve">box 3 wordt ingevoerd, komen </w:t>
      </w:r>
      <w:r w:rsidRPr="00096BA3" w:rsidR="005F2E33">
        <w:t xml:space="preserve">de (meeste) forfaits </w:t>
      </w:r>
      <w:r w:rsidR="005F2E33">
        <w:t xml:space="preserve">in box 3 van de inkomstenbelasting te </w:t>
      </w:r>
      <w:r w:rsidRPr="00096BA3" w:rsidR="005F2E33">
        <w:t>vervallen</w:t>
      </w:r>
      <w:r w:rsidR="005F2E33">
        <w:t xml:space="preserve">. Voor de overdrachtsbelasting en omzetbelasting geldt dat een uniforme </w:t>
      </w:r>
      <w:r w:rsidRPr="00096BA3" w:rsidR="005F2E33">
        <w:t>aanpassing van de rekenforfaits niet</w:t>
      </w:r>
      <w:r w:rsidR="005F2E33">
        <w:t xml:space="preserve"> in elke situatie leidt</w:t>
      </w:r>
      <w:r w:rsidRPr="00096BA3" w:rsidR="005F2E33">
        <w:t xml:space="preserve"> tot een betere aansluiting bij de waarde in het economische verkeer dan de huidige rekenforfaits</w:t>
      </w:r>
      <w:r w:rsidR="005F2E33">
        <w:t>. Uit</w:t>
      </w:r>
      <w:r w:rsidRPr="00515DB4" w:rsidR="005F2E33">
        <w:t xml:space="preserve"> interviews </w:t>
      </w:r>
      <w:r w:rsidR="005F2E33">
        <w:t xml:space="preserve">blijkt </w:t>
      </w:r>
      <w:r w:rsidRPr="00515DB4" w:rsidR="005F2E33">
        <w:t>dat de erfpachtpercentages sterk variëren per plaats en per type object, waardoor het doorvoeren van een uniforme aanpassing</w:t>
      </w:r>
      <w:r w:rsidR="005F2E33">
        <w:t xml:space="preserve"> van de forfaits</w:t>
      </w:r>
      <w:r w:rsidRPr="00515DB4" w:rsidR="005F2E33">
        <w:t xml:space="preserve"> niet in elke situatie tot een betere benadering van de waarde in het economische verkeer leidt. </w:t>
      </w:r>
    </w:p>
    <w:p w:rsidR="005F2E33" w:rsidP="005F2E33" w:rsidRDefault="005F2E33" w14:paraId="0A2182C1" w14:textId="77777777">
      <w:pPr>
        <w:pStyle w:val="Lijstalinea"/>
        <w:numPr>
          <w:ilvl w:val="0"/>
          <w:numId w:val="15"/>
        </w:numPr>
      </w:pPr>
      <w:r>
        <w:t xml:space="preserve">De </w:t>
      </w:r>
      <w:r w:rsidRPr="00356F00">
        <w:t>forfait</w:t>
      </w:r>
      <w:r>
        <w:t xml:space="preserve">s </w:t>
      </w:r>
      <w:r w:rsidR="00627061">
        <w:t xml:space="preserve">in de schenk- en erfbelasting </w:t>
      </w:r>
      <w:r>
        <w:t>zijn gebaseerd op twee</w:t>
      </w:r>
      <w:r w:rsidRPr="00356F00">
        <w:t xml:space="preserve"> parameters</w:t>
      </w:r>
      <w:r>
        <w:t xml:space="preserve">, te weten </w:t>
      </w:r>
      <w:r w:rsidRPr="00356F00">
        <w:t xml:space="preserve">de </w:t>
      </w:r>
      <w:r w:rsidRPr="006B7BFC">
        <w:t xml:space="preserve">rente en de levensverwachting. </w:t>
      </w:r>
      <w:r>
        <w:t xml:space="preserve">Om de waarde in het economische verkeer </w:t>
      </w:r>
      <w:r w:rsidR="009B5492">
        <w:t xml:space="preserve">van bijvoorbeeld het </w:t>
      </w:r>
      <w:r w:rsidR="00E015F8">
        <w:t xml:space="preserve">fictieve </w:t>
      </w:r>
      <w:r w:rsidR="009B5492">
        <w:t>vruchtgebruik</w:t>
      </w:r>
      <w:r w:rsidR="00E015F8">
        <w:t xml:space="preserve"> van de overbedelingsschuld van de langstlevende partner aan de kinderen </w:t>
      </w:r>
      <w:r>
        <w:t>voor de schenk- en erfbelasting beter te benaderen stellen de onderzoekers een aantal verbeteringen voor:</w:t>
      </w:r>
    </w:p>
    <w:p w:rsidR="005F2E33" w:rsidP="005F2E33" w:rsidRDefault="005F2E33" w14:paraId="42A1DBFD" w14:textId="77777777">
      <w:pPr>
        <w:pStyle w:val="Lijstalinea"/>
        <w:numPr>
          <w:ilvl w:val="1"/>
          <w:numId w:val="17"/>
        </w:numPr>
      </w:pPr>
      <w:proofErr w:type="gramStart"/>
      <w:r>
        <w:t>voor</w:t>
      </w:r>
      <w:proofErr w:type="gramEnd"/>
      <w:r>
        <w:t xml:space="preserve"> de levensverwachting niet langer van de periodetafels van het CBS uit te gaan, maar van de prognosetafels die het A</w:t>
      </w:r>
      <w:r w:rsidR="00B16C30">
        <w:t xml:space="preserve">ctuarieel </w:t>
      </w:r>
      <w:r>
        <w:t>G</w:t>
      </w:r>
      <w:r w:rsidR="00B16C30">
        <w:t>enootschap</w:t>
      </w:r>
      <w:r>
        <w:t xml:space="preserve"> opstelt. In tegenstelling tot de </w:t>
      </w:r>
      <w:r>
        <w:lastRenderedPageBreak/>
        <w:t xml:space="preserve">periodetafels wordt in de prognosetafels namelijk rekening gehouden met toekomstige ontwikkelingen in de sterfte. </w:t>
      </w:r>
    </w:p>
    <w:p w:rsidR="005F2E33" w:rsidP="005F2E33" w:rsidRDefault="005F2E33" w14:paraId="56815A62" w14:textId="77777777">
      <w:pPr>
        <w:pStyle w:val="Lijstalinea"/>
        <w:numPr>
          <w:ilvl w:val="1"/>
          <w:numId w:val="17"/>
        </w:numPr>
      </w:pPr>
      <w:proofErr w:type="gramStart"/>
      <w:r>
        <w:t>bij</w:t>
      </w:r>
      <w:proofErr w:type="gramEnd"/>
      <w:r>
        <w:t xml:space="preserve"> het verdisconteren van opbrengsten niet langer voor elke verkrijging een en dezelfde rentevoet toe te passen, maar om de rente te koppelen aan de looptijd van het genotsrecht of periodieke uitkering (rentetermijnstructuur). Voorgesteld wordt om </w:t>
      </w:r>
      <w:r w:rsidRPr="0050192D">
        <w:t>de</w:t>
      </w:r>
      <w:r>
        <w:t xml:space="preserve"> </w:t>
      </w:r>
      <w:r w:rsidRPr="00C24C43">
        <w:rPr>
          <w:i/>
          <w:iCs/>
        </w:rPr>
        <w:t xml:space="preserve">Ultimate Forward </w:t>
      </w:r>
      <w:proofErr w:type="spellStart"/>
      <w:r w:rsidRPr="00C24C43">
        <w:rPr>
          <w:i/>
          <w:iCs/>
        </w:rPr>
        <w:t>Rate</w:t>
      </w:r>
      <w:proofErr w:type="spellEnd"/>
      <w:r w:rsidRPr="00C24C43">
        <w:rPr>
          <w:i/>
          <w:iCs/>
        </w:rPr>
        <w:t xml:space="preserve"> </w:t>
      </w:r>
      <w:r>
        <w:t xml:space="preserve">(UFR) te hanteren als rentetermijnstructuur. De UFR wordt door DNB maandelijks opgesteld </w:t>
      </w:r>
      <w:r w:rsidR="00A969EE">
        <w:t>op basis van de methode zoals voorgesteld door de Commissie Parameters 2022</w:t>
      </w:r>
      <w:r w:rsidR="00A969EE">
        <w:rPr>
          <w:rStyle w:val="Voetnootmarkering"/>
        </w:rPr>
        <w:footnoteReference w:id="3"/>
      </w:r>
      <w:r w:rsidR="00A969EE">
        <w:t xml:space="preserve"> </w:t>
      </w:r>
      <w:r>
        <w:t>en geeft ook voor zeer lange looptijden de hoogte van de risicovrije marktrente weer (genotsrechten en periodieke uitkeringen kunnen een zeer lange looptijd hebben).</w:t>
      </w:r>
      <w:r w:rsidR="00E319C8">
        <w:t xml:space="preserve"> </w:t>
      </w:r>
    </w:p>
    <w:p w:rsidR="005F2E33" w:rsidP="005F2E33" w:rsidRDefault="005F2E33" w14:paraId="3B753838" w14:textId="77777777">
      <w:pPr>
        <w:pStyle w:val="Lijstalinea"/>
        <w:numPr>
          <w:ilvl w:val="1"/>
          <w:numId w:val="17"/>
        </w:numPr>
      </w:pPr>
      <w:proofErr w:type="gramStart"/>
      <w:r>
        <w:t>om</w:t>
      </w:r>
      <w:proofErr w:type="gramEnd"/>
      <w:r>
        <w:t xml:space="preserve"> bij het bepalen van het jaarlijkse genot van een vruchtgebruik onderscheid te maken tussen vruchtgebruik met en zonder vervreemdings- en verteringsbevoegdheid. Vruchtgebruik waarbij de vruchtgebruiker mag interen op het blote eigendom, of het blote eigendom mag vervreemden heeft volgens de onderzoekers in economische zin meer waarde </w:t>
      </w:r>
      <w:r w:rsidR="00997C64">
        <w:t xml:space="preserve">voor de vruchtgebruiker </w:t>
      </w:r>
      <w:r>
        <w:t xml:space="preserve">dan vruchtgebruik waarbij de vruchtgebruiker alleen het rendement op het blote eigendom geniet. De onderzoekers stellen voor om bij </w:t>
      </w:r>
      <w:proofErr w:type="spellStart"/>
      <w:r>
        <w:t>interings</w:t>
      </w:r>
      <w:proofErr w:type="spellEnd"/>
      <w:r>
        <w:t xml:space="preserve">- of vervreemdingsrecht uit te gaan van een hoger forfaitair jaarlijks genot </w:t>
      </w:r>
      <w:r w:rsidR="00EA71B7">
        <w:t xml:space="preserve">voor de vruchtgebruiker </w:t>
      </w:r>
      <w:r>
        <w:t>dat gebaseerd is op een gewogen gemiddeld rendement.</w:t>
      </w:r>
      <w:r>
        <w:rPr>
          <w:rStyle w:val="Voetnootmarkering"/>
        </w:rPr>
        <w:footnoteReference w:id="4"/>
      </w:r>
      <w:r>
        <w:t xml:space="preserve"> </w:t>
      </w:r>
    </w:p>
    <w:p w:rsidR="005F2E33" w:rsidP="005F2E33" w:rsidRDefault="005F2E33" w14:paraId="1AFA9549" w14:textId="77777777">
      <w:pPr>
        <w:pStyle w:val="Lijstalinea"/>
        <w:numPr>
          <w:ilvl w:val="1"/>
          <w:numId w:val="17"/>
        </w:numPr>
      </w:pPr>
      <w:proofErr w:type="gramStart"/>
      <w:r>
        <w:t>om</w:t>
      </w:r>
      <w:proofErr w:type="gramEnd"/>
      <w:r>
        <w:t xml:space="preserve"> de forfaits eens per 10 jaar te actualiseren met recentere gegevens over de rente en levensverwachting. Voor de rente wordt voorgesteld om deze te baseren op een 10-jaarsgemiddelde om eventuele marktschokken uit te middelen. </w:t>
      </w:r>
    </w:p>
    <w:p w:rsidR="00396DE9" w:rsidP="00396DE9" w:rsidRDefault="00396DE9" w14:paraId="1A3DDC4D" w14:textId="77777777">
      <w:pPr>
        <w:pStyle w:val="Lijstalinea"/>
        <w:ind w:left="1440"/>
      </w:pPr>
    </w:p>
    <w:p w:rsidRPr="00396DE9" w:rsidR="00396DE9" w:rsidP="00396DE9" w:rsidRDefault="00396DE9" w14:paraId="52393416" w14:textId="77777777">
      <w:pPr>
        <w:pStyle w:val="Lijstalinea"/>
        <w:numPr>
          <w:ilvl w:val="0"/>
          <w:numId w:val="17"/>
        </w:numPr>
        <w:rPr>
          <w:u w:val="single"/>
        </w:rPr>
      </w:pPr>
      <w:r>
        <w:t>Het actualiseren van de forfaits conform het voorstel van de onderzoekers leidt tot significante mutaties in de te betalen schenk- en erfbelasting</w:t>
      </w:r>
      <w:r w:rsidR="0018548C">
        <w:t xml:space="preserve"> op microniveau</w:t>
      </w:r>
      <w:r w:rsidR="009504E7">
        <w:t>, zowel in positieve als negatieve richting</w:t>
      </w:r>
      <w:r>
        <w:t>.</w:t>
      </w:r>
      <w:r w:rsidR="00352F74">
        <w:t xml:space="preserve"> </w:t>
      </w:r>
      <w:r w:rsidR="009504E7">
        <w:t>De</w:t>
      </w:r>
      <w:r>
        <w:t xml:space="preserve"> effecten </w:t>
      </w:r>
      <w:r w:rsidR="00283F1E">
        <w:t>op</w:t>
      </w:r>
      <w:r w:rsidR="00CE2245">
        <w:t xml:space="preserve"> de erfbelasting </w:t>
      </w:r>
      <w:r>
        <w:t xml:space="preserve">verschillen </w:t>
      </w:r>
      <w:r w:rsidR="007C251D">
        <w:t>naar de wijze waarop de nalatenschap wordt afgewikkeld, naar de hoogte van het nagelaten vermogen en de leeftijd van de langstlevende partner bij het overlijden van de kortst</w:t>
      </w:r>
      <w:r w:rsidR="00E319C8">
        <w:t xml:space="preserve"> </w:t>
      </w:r>
      <w:r w:rsidR="007C251D">
        <w:t>levende partner</w:t>
      </w:r>
      <w:r w:rsidR="00F45C92">
        <w:t xml:space="preserve">. Ter illustratie zijn in bijlage 2 </w:t>
      </w:r>
      <w:r w:rsidR="00283F1E">
        <w:t xml:space="preserve">de </w:t>
      </w:r>
      <w:r w:rsidR="00F45C92">
        <w:t>effecten</w:t>
      </w:r>
      <w:r w:rsidR="00283F1E">
        <w:t xml:space="preserve"> (conform voorkeursvariant onderzoekers)</w:t>
      </w:r>
      <w:r w:rsidR="00F45C92">
        <w:t xml:space="preserve"> </w:t>
      </w:r>
      <w:r w:rsidR="00283F1E">
        <w:t xml:space="preserve">voor </w:t>
      </w:r>
      <w:r w:rsidR="00F45C92">
        <w:t xml:space="preserve">een aantal voorbeeldnalatenschappen </w:t>
      </w:r>
      <w:r w:rsidR="00283F1E">
        <w:t xml:space="preserve">opgenomen.  </w:t>
      </w:r>
    </w:p>
    <w:p w:rsidRPr="00DD748C" w:rsidR="00396DE9" w:rsidP="00396DE9" w:rsidRDefault="00396DE9" w14:paraId="77902015" w14:textId="77777777">
      <w:pPr>
        <w:pStyle w:val="Lijstalinea"/>
        <w:numPr>
          <w:ilvl w:val="0"/>
          <w:numId w:val="17"/>
        </w:numPr>
        <w:rPr>
          <w:u w:val="single"/>
        </w:rPr>
      </w:pPr>
      <w:r>
        <w:t xml:space="preserve">De onderzoekers hebben op basis van geaggregeerde aangiftegegevens die door het Ministerie van Financiën ter beschikking zijn gesteld een raming gemaakt van de budgettaire gevolgen van </w:t>
      </w:r>
      <w:r w:rsidR="00EA71B7">
        <w:t>hun actualisatievoorstel</w:t>
      </w:r>
      <w:r>
        <w:t xml:space="preserve">. </w:t>
      </w:r>
      <w:r w:rsidR="00F45C92">
        <w:t xml:space="preserve">De onderzoekers hebben 6 actualisatievarianten opgesteld. </w:t>
      </w:r>
      <w:r>
        <w:t xml:space="preserve">Naar inschatting van de onderzoekers leidt </w:t>
      </w:r>
      <w:r w:rsidR="0018548C">
        <w:t xml:space="preserve">hun </w:t>
      </w:r>
      <w:r w:rsidR="00EA71B7">
        <w:t xml:space="preserve">voorkeursvariant </w:t>
      </w:r>
      <w:r>
        <w:t xml:space="preserve">per saldo tot een structurele opbrengst van circa € 190 mln. </w:t>
      </w:r>
    </w:p>
    <w:p w:rsidRPr="00716D6F" w:rsidR="00396DE9" w:rsidP="00396DE9" w:rsidRDefault="00091621" w14:paraId="6F2BBBA3" w14:textId="77777777">
      <w:pPr>
        <w:pStyle w:val="Lijstalinea"/>
        <w:numPr>
          <w:ilvl w:val="0"/>
          <w:numId w:val="17"/>
        </w:numPr>
        <w:rPr>
          <w:u w:val="single"/>
        </w:rPr>
      </w:pPr>
      <w:r>
        <w:t>Bij dit budgettair effect dienen twee kanttekeningen te worden geplaatst. Allereerst hebben d</w:t>
      </w:r>
      <w:r w:rsidRPr="00716D6F" w:rsidR="00396DE9">
        <w:t>e onderzoekers bij het opstellen van het budgettaire effect geen gedragseffecten verwerkt</w:t>
      </w:r>
      <w:r w:rsidR="00396DE9">
        <w:t>.</w:t>
      </w:r>
      <w:r w:rsidRPr="00716D6F" w:rsidR="00396DE9">
        <w:t xml:space="preserve"> De opbrengst van € 190 </w:t>
      </w:r>
      <w:proofErr w:type="spellStart"/>
      <w:r w:rsidRPr="00716D6F" w:rsidR="00396DE9">
        <w:t>mln</w:t>
      </w:r>
      <w:proofErr w:type="spellEnd"/>
      <w:r w:rsidRPr="00716D6F" w:rsidR="00396DE9">
        <w:t xml:space="preserve"> </w:t>
      </w:r>
      <w:r w:rsidR="009504E7">
        <w:t xml:space="preserve">voor </w:t>
      </w:r>
      <w:r w:rsidR="009504E7">
        <w:lastRenderedPageBreak/>
        <w:t xml:space="preserve">hun voorkeursvariant </w:t>
      </w:r>
      <w:r w:rsidRPr="00716D6F" w:rsidR="00396DE9">
        <w:t>is dan ook een bovengrens.</w:t>
      </w:r>
      <w:r w:rsidR="00166610">
        <w:t xml:space="preserve"> </w:t>
      </w:r>
      <w:r>
        <w:t>Ten tweede wordt d</w:t>
      </w:r>
      <w:r w:rsidRPr="00716D6F">
        <w:t xml:space="preserve">e structurele opbrengst niet direct bereikt, maar </w:t>
      </w:r>
      <w:r w:rsidR="00CE2245">
        <w:t xml:space="preserve">is sprake </w:t>
      </w:r>
      <w:proofErr w:type="gramStart"/>
      <w:r w:rsidR="00CE2245">
        <w:t xml:space="preserve">van </w:t>
      </w:r>
      <w:r w:rsidRPr="00716D6F">
        <w:t xml:space="preserve"> een</w:t>
      </w:r>
      <w:proofErr w:type="gramEnd"/>
      <w:r w:rsidRPr="00716D6F">
        <w:t xml:space="preserve"> lang </w:t>
      </w:r>
      <w:proofErr w:type="spellStart"/>
      <w:r w:rsidRPr="00716D6F">
        <w:t>ingroeipad</w:t>
      </w:r>
      <w:proofErr w:type="spellEnd"/>
      <w:r w:rsidRPr="00716D6F">
        <w:t xml:space="preserve">. </w:t>
      </w:r>
      <w:r>
        <w:t>In de eerste jaren na actualisatie treedt juist een budgettaire derving op.</w:t>
      </w:r>
    </w:p>
    <w:p w:rsidR="00396DE9" w:rsidP="005117F3" w:rsidRDefault="00396DE9" w14:paraId="7BCA5FB6" w14:textId="77777777">
      <w:pPr>
        <w:rPr>
          <w:b/>
          <w:bCs/>
        </w:rPr>
      </w:pPr>
    </w:p>
    <w:p w:rsidRPr="005117F3" w:rsidR="005117F3" w:rsidP="005117F3" w:rsidRDefault="005117F3" w14:paraId="1DC6C0EE" w14:textId="77777777">
      <w:pPr>
        <w:rPr>
          <w:b/>
          <w:bCs/>
        </w:rPr>
      </w:pPr>
      <w:r>
        <w:rPr>
          <w:b/>
          <w:bCs/>
        </w:rPr>
        <w:t>3.</w:t>
      </w:r>
      <w:r w:rsidRPr="005117F3">
        <w:rPr>
          <w:b/>
          <w:bCs/>
        </w:rPr>
        <w:t>Beoordeling van het onderzoek en vervolgstappen</w:t>
      </w:r>
    </w:p>
    <w:p w:rsidR="005117F3" w:rsidP="005117F3" w:rsidRDefault="005117F3" w14:paraId="6CE42F05" w14:textId="77777777">
      <w:r>
        <w:t xml:space="preserve">Ik ben verheugd dat met het </w:t>
      </w:r>
      <w:r w:rsidR="005136C4">
        <w:t xml:space="preserve">onderzoeksrapport aanbevelingen beschikbaar zijn gekomen om de forfaits die gebaseerd zijn op de rente en levensverwachting beter te laten aansluiten bij de waarde in het economische verkeer van de verkrijging. </w:t>
      </w:r>
      <w:r w:rsidRPr="005117F3">
        <w:rPr>
          <w:rFonts w:cs="CKALO M+ Univers"/>
          <w:color w:val="211D1F"/>
        </w:rPr>
        <w:t xml:space="preserve">Ik deel </w:t>
      </w:r>
      <w:r>
        <w:rPr>
          <w:rFonts w:cs="CKALO M+ Univers"/>
          <w:color w:val="211D1F"/>
        </w:rPr>
        <w:t>de</w:t>
      </w:r>
      <w:r w:rsidRPr="005117F3">
        <w:rPr>
          <w:rFonts w:cs="CKALO M+ Univers"/>
          <w:color w:val="211D1F"/>
        </w:rPr>
        <w:t xml:space="preserve"> conclusie </w:t>
      </w:r>
      <w:r>
        <w:rPr>
          <w:rFonts w:cs="CKALO M+ Univers"/>
          <w:color w:val="211D1F"/>
        </w:rPr>
        <w:t xml:space="preserve">van de onderzoekers </w:t>
      </w:r>
      <w:r w:rsidRPr="005117F3">
        <w:rPr>
          <w:rFonts w:cs="CKALO M+ Univers"/>
          <w:color w:val="211D1F"/>
        </w:rPr>
        <w:t xml:space="preserve">dat het aan te raden is om </w:t>
      </w:r>
      <w:r>
        <w:t>de forfaits in de schenk- en erfbelasting te actualiseren</w:t>
      </w:r>
      <w:r w:rsidR="005136C4">
        <w:t xml:space="preserve">. Deze forfaits zijn sinds 1980 niet meer aangepast en </w:t>
      </w:r>
      <w:r w:rsidR="006E34C8">
        <w:t xml:space="preserve">staan </w:t>
      </w:r>
      <w:r w:rsidR="005136C4">
        <w:t xml:space="preserve">daardoor inmiddels ver af van de waarde </w:t>
      </w:r>
      <w:r w:rsidR="00CE2245">
        <w:t xml:space="preserve">in het </w:t>
      </w:r>
      <w:r w:rsidR="005136C4">
        <w:t>economisch</w:t>
      </w:r>
      <w:r w:rsidR="00CE2245">
        <w:t>e</w:t>
      </w:r>
      <w:r w:rsidR="005136C4">
        <w:t xml:space="preserve"> verkeer van de verkrijging omdat de rente sinds 1980 is gedaald en de levensverwachtingen zijn toegenomen</w:t>
      </w:r>
      <w:r w:rsidR="006E34C8">
        <w:t>.</w:t>
      </w:r>
      <w:r w:rsidR="00304404">
        <w:t xml:space="preserve"> </w:t>
      </w:r>
    </w:p>
    <w:p w:rsidR="00304404" w:rsidP="00304404" w:rsidRDefault="00304404" w14:paraId="08ECB460" w14:textId="77777777"/>
    <w:p w:rsidR="00304404" w:rsidP="00304404" w:rsidRDefault="005136C4" w14:paraId="7BD08D87" w14:textId="77777777">
      <w:r>
        <w:t xml:space="preserve">Het eindrapport geeft een goede basis voor actualisering van de forfaits in de schenk- en erfbelasting. </w:t>
      </w:r>
      <w:r w:rsidR="008F63F9">
        <w:t>Voor d</w:t>
      </w:r>
      <w:r w:rsidR="00304404">
        <w:t xml:space="preserve">e wijze waarop actualisering van de forfaits in de schenk- en erfbelasting zal plaatsvinden, </w:t>
      </w:r>
      <w:r w:rsidR="008F63F9">
        <w:t xml:space="preserve">neem ik als uitgangspunt </w:t>
      </w:r>
      <w:r w:rsidR="00304404">
        <w:t>de voorkeur van de onderzoekers voor het g</w:t>
      </w:r>
      <w:r w:rsidRPr="00356F00" w:rsidR="00304404">
        <w:t xml:space="preserve">ebruik van de </w:t>
      </w:r>
      <w:r w:rsidR="00647B40">
        <w:t xml:space="preserve">prognosetafels van het </w:t>
      </w:r>
      <w:r w:rsidR="00396DE9">
        <w:t>Koninklijk Actuarieel Genootschap</w:t>
      </w:r>
      <w:r w:rsidR="006E34C8">
        <w:t xml:space="preserve"> (AG)</w:t>
      </w:r>
      <w:r w:rsidR="00396DE9">
        <w:t xml:space="preserve"> </w:t>
      </w:r>
      <w:r w:rsidR="007C251D">
        <w:t xml:space="preserve">en een </w:t>
      </w:r>
      <w:r w:rsidR="00304404">
        <w:t>sekseneutrale levensverwachting</w:t>
      </w:r>
      <w:r w:rsidR="007C251D">
        <w:t>.</w:t>
      </w:r>
      <w:r w:rsidR="00304404">
        <w:t xml:space="preserve"> </w:t>
      </w:r>
      <w:r w:rsidR="006E34C8">
        <w:t xml:space="preserve">De huidige forfaits zijn gebaseerd op de periodetafels van het CBS en houden in tegenstelling tot de prognosetafels van het AG geen rekening met de ontwikkeling in de levensverwachting. </w:t>
      </w:r>
      <w:r w:rsidR="00D94866">
        <w:t xml:space="preserve">De aanbeveling van de onderzoekers om een verschil te maken tussen </w:t>
      </w:r>
      <w:r w:rsidRPr="00356F00" w:rsidR="00D94866">
        <w:t xml:space="preserve">vruchtgebruik met </w:t>
      </w:r>
      <w:r w:rsidR="00D94866">
        <w:t xml:space="preserve">of zonder </w:t>
      </w:r>
      <w:r w:rsidRPr="00356F00" w:rsidR="00D94866">
        <w:t>vervreemdings- en verteringsbevoegdheid</w:t>
      </w:r>
      <w:r w:rsidR="00D94866">
        <w:t xml:space="preserve"> vergt een aanvullende analyse. </w:t>
      </w:r>
      <w:r w:rsidR="00304404">
        <w:t xml:space="preserve">Ik begrijp de argumentatie van de onderzoekers </w:t>
      </w:r>
      <w:r w:rsidR="00D94866">
        <w:t xml:space="preserve">voor het </w:t>
      </w:r>
      <w:r w:rsidR="009504E7">
        <w:t>aanbrengen van</w:t>
      </w:r>
      <w:r w:rsidR="00091621">
        <w:t xml:space="preserve"> een</w:t>
      </w:r>
      <w:r w:rsidR="009504E7">
        <w:t xml:space="preserve"> </w:t>
      </w:r>
      <w:r w:rsidR="00D94866">
        <w:t>verschil</w:t>
      </w:r>
      <w:r w:rsidR="007C251D">
        <w:t>,</w:t>
      </w:r>
      <w:r w:rsidR="00304404">
        <w:t xml:space="preserve"> maar </w:t>
      </w:r>
      <w:r w:rsidR="009504E7">
        <w:t xml:space="preserve">het is de </w:t>
      </w:r>
      <w:r w:rsidR="00377151">
        <w:t xml:space="preserve">vraag </w:t>
      </w:r>
      <w:r w:rsidR="004F117D">
        <w:t xml:space="preserve">of </w:t>
      </w:r>
      <w:r w:rsidR="006A0E04">
        <w:t xml:space="preserve">een dergelijk onderscheid in de </w:t>
      </w:r>
      <w:r w:rsidR="00CE2245">
        <w:t>(</w:t>
      </w:r>
      <w:proofErr w:type="spellStart"/>
      <w:r w:rsidR="00CE2245">
        <w:t>uitvoerings</w:t>
      </w:r>
      <w:proofErr w:type="spellEnd"/>
      <w:r w:rsidR="00CE2245">
        <w:t>)</w:t>
      </w:r>
      <w:r w:rsidR="006A0E04">
        <w:t>praktijk valt te maken</w:t>
      </w:r>
      <w:r w:rsidR="00377151">
        <w:t xml:space="preserve">. </w:t>
      </w:r>
      <w:r w:rsidR="00767D5A">
        <w:t xml:space="preserve">Ter beantwoording van deze vraag wordt de komende maanden een </w:t>
      </w:r>
      <w:r w:rsidR="00D94866">
        <w:t xml:space="preserve">aanvullende analyse uitgevoerd. </w:t>
      </w:r>
    </w:p>
    <w:p w:rsidR="00D94866" w:rsidP="00304404" w:rsidRDefault="00D94866" w14:paraId="0AD27F43" w14:textId="77777777"/>
    <w:p w:rsidR="00D94866" w:rsidP="00D94866" w:rsidRDefault="006345E8" w14:paraId="4868F3B3" w14:textId="77777777">
      <w:r>
        <w:t xml:space="preserve">Het kabinet schaart zich verder achter de aanbeveling van de onderzoekers om eventuele aanpassingen in box 3 achterwege te laten vanwege het Wetsvoorstel werkelijk rendement box 3. Met dit wetsvoorstel zal worden afgestapt van de forfaitaire heffing in box 3 en wordt in plaats daarvan het werkelijke rendement belast. </w:t>
      </w:r>
    </w:p>
    <w:p w:rsidR="00D94866" w:rsidP="00D94866" w:rsidRDefault="00D94866" w14:paraId="7D59E301" w14:textId="77777777"/>
    <w:p w:rsidR="00B5021B" w:rsidP="00B5021B" w:rsidRDefault="00D94866" w14:paraId="7C669A6A" w14:textId="77777777">
      <w:pPr>
        <w:rPr>
          <w:rFonts w:ascii="Calibri" w:hAnsi="Calibri"/>
          <w:i/>
          <w:iCs/>
          <w:color w:val="auto"/>
          <w:sz w:val="22"/>
          <w:szCs w:val="22"/>
          <w:lang w:eastAsia="ja-JP"/>
        </w:rPr>
      </w:pPr>
      <w:r>
        <w:t>Ook sluit het kabinet zich a</w:t>
      </w:r>
      <w:r w:rsidR="00704545">
        <w:t xml:space="preserve">an bij </w:t>
      </w:r>
      <w:r>
        <w:t xml:space="preserve">de aanbeveling om de forfaits in de </w:t>
      </w:r>
      <w:r w:rsidR="00B5021B">
        <w:t xml:space="preserve">overdrachtsbelasting en omzetbelasting </w:t>
      </w:r>
      <w:r w:rsidRPr="00B5021B" w:rsidR="00B5021B">
        <w:t>niet</w:t>
      </w:r>
      <w:r w:rsidRPr="00B5021B">
        <w:t xml:space="preserve"> te actualisere</w:t>
      </w:r>
      <w:r w:rsidRPr="00B5021B" w:rsidR="00B5021B">
        <w:t>n</w:t>
      </w:r>
      <w:r w:rsidRPr="00B5021B" w:rsidR="00E550E5">
        <w:t>.</w:t>
      </w:r>
      <w:r w:rsidRPr="00B5021B" w:rsidR="00B5021B">
        <w:t xml:space="preserve"> </w:t>
      </w:r>
      <w:r w:rsidRPr="00704545" w:rsidR="00B5021B">
        <w:rPr>
          <w:lang w:eastAsia="ja-JP"/>
        </w:rPr>
        <w:t>Voor de overdrachtsbelasting en omzetbelasting geldt dat een uniforme aanpassing van de rekenforfaits niet in elke situatie leidt tot een betere aansluiting bij de waarde in het economische verkeer dan de huidige rekenforfaits. Uit interviews blijkt dat de erfpachtpercentages sterk variëren per plaats en per type object, waardoor het doorvoeren van een uniforme aanpassing van de forfaits niet in elke situatie tot een betere benadering van de waarde in het economische verkeer leidt. Uit het onderzoek is ook naar voren gekomen dat de huidige forfaits op dit moment in de praktijk niet tot problemen of klachten leiden.</w:t>
      </w:r>
    </w:p>
    <w:p w:rsidR="00D94866" w:rsidP="00B5021B" w:rsidRDefault="00D94866" w14:paraId="073EDADC" w14:textId="77777777">
      <w:pPr>
        <w:rPr>
          <w:i/>
          <w:iCs/>
        </w:rPr>
      </w:pPr>
    </w:p>
    <w:p w:rsidR="0068427D" w:rsidP="0068427D" w:rsidRDefault="00304404" w14:paraId="115ED143" w14:textId="77777777">
      <w:pPr>
        <w:pStyle w:val="StandaardSlotzin"/>
      </w:pPr>
      <w:r>
        <w:t xml:space="preserve">De komende </w:t>
      </w:r>
      <w:r w:rsidR="0068427D">
        <w:t>maanden</w:t>
      </w:r>
      <w:r>
        <w:t xml:space="preserve"> worden de </w:t>
      </w:r>
      <w:r w:rsidR="006E34C8">
        <w:t xml:space="preserve">voorgestelde aanpassingen van de forfaits in de schenk- en erfbelasting </w:t>
      </w:r>
      <w:r>
        <w:t xml:space="preserve">in het eindrapport geanalyseerd en afgewogen tegen uitvoerbaarheid voor </w:t>
      </w:r>
      <w:r w:rsidR="00396DE9">
        <w:t>én</w:t>
      </w:r>
      <w:r>
        <w:t xml:space="preserve"> dienstverleners zoals notarissen en belastingadviseurs </w:t>
      </w:r>
      <w:r w:rsidR="0068427D">
        <w:t>én</w:t>
      </w:r>
      <w:r w:rsidR="00146B78">
        <w:t xml:space="preserve"> </w:t>
      </w:r>
      <w:r>
        <w:t>de Belastingdienst, het handelingsperspectief van de burger</w:t>
      </w:r>
      <w:r w:rsidRPr="00304404">
        <w:t xml:space="preserve"> </w:t>
      </w:r>
      <w:r>
        <w:t xml:space="preserve">en de </w:t>
      </w:r>
      <w:r w:rsidR="0068427D">
        <w:t xml:space="preserve">effecten op burgers en </w:t>
      </w:r>
      <w:r>
        <w:t>budgettaire aspecten.</w:t>
      </w:r>
      <w:r w:rsidR="00352F74">
        <w:t xml:space="preserve"> </w:t>
      </w:r>
      <w:r w:rsidR="00EF0BC8">
        <w:t xml:space="preserve">De onderzoekers doen enkele aanbevelingen </w:t>
      </w:r>
      <w:r w:rsidR="00EF0BC8">
        <w:lastRenderedPageBreak/>
        <w:t xml:space="preserve">voor overgangsrecht, deze worden bezien. </w:t>
      </w:r>
      <w:r w:rsidR="00283F1E">
        <w:t>Op basis van deze afwegingen komt het Kabinet met een voorstel voor actualisatie, d</w:t>
      </w:r>
      <w:r w:rsidR="00704545">
        <w:t>at</w:t>
      </w:r>
      <w:r w:rsidR="00283F1E">
        <w:t xml:space="preserve"> kan </w:t>
      </w:r>
      <w:r w:rsidR="00704545">
        <w:t>af</w:t>
      </w:r>
      <w:r w:rsidR="00283F1E">
        <w:t xml:space="preserve">wijken van de voorkeursvariant van de onderzoekers. Ten behoeve van het voorstel </w:t>
      </w:r>
      <w:r w:rsidR="00E550E5">
        <w:t xml:space="preserve">zullen ook de </w:t>
      </w:r>
      <w:r w:rsidR="00352F74">
        <w:t xml:space="preserve">herverdelingseffecten op microniveau </w:t>
      </w:r>
      <w:r w:rsidR="00E550E5">
        <w:t>in kaart worden gebracht op basis van granulaire aangiftegegevens. De onderzoekers hadden geen toegang tot deze microgegevens.</w:t>
      </w:r>
      <w:r>
        <w:t xml:space="preserve"> </w:t>
      </w:r>
    </w:p>
    <w:p w:rsidRPr="0068427D" w:rsidR="0068427D" w:rsidP="00A551DA" w:rsidRDefault="0068427D" w14:paraId="7D8EB8AD" w14:textId="77777777"/>
    <w:p w:rsidR="00087480" w:rsidP="00304404" w:rsidRDefault="00304404" w14:paraId="674FADAC" w14:textId="77777777">
      <w:r>
        <w:t xml:space="preserve">Ik ben voornemens uw Kamer in een brief in het </w:t>
      </w:r>
      <w:r w:rsidR="00E66BEC">
        <w:t>derde</w:t>
      </w:r>
      <w:r>
        <w:t xml:space="preserve"> kwartaal 2025 nader te informeren over de vervolgstappen tot actualisering met inbegrip van een tijdpad voor aanpassing van de relevante regelgeving.</w:t>
      </w:r>
    </w:p>
    <w:p w:rsidR="00B07060" w:rsidRDefault="001F4ED1" w14:paraId="76C67DD1" w14:textId="77777777">
      <w:pPr>
        <w:pStyle w:val="StandaardSlotzin"/>
      </w:pPr>
      <w:r>
        <w:t>Hoogachtend,</w:t>
      </w:r>
    </w:p>
    <w:p w:rsidR="00B07060" w:rsidRDefault="00B07060" w14:paraId="37D5AF11"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B07060" w14:paraId="794D0E61" w14:textId="77777777">
        <w:tc>
          <w:tcPr>
            <w:tcW w:w="3592" w:type="dxa"/>
          </w:tcPr>
          <w:p w:rsidR="00B07060" w:rsidRDefault="001F4ED1" w14:paraId="1BA9E7A2" w14:textId="77777777">
            <w:proofErr w:type="gramStart"/>
            <w:r>
              <w:t>de</w:t>
            </w:r>
            <w:proofErr w:type="gramEnd"/>
            <w:r>
              <w:t xml:space="preserve"> staatssecretaris van Financiën </w:t>
            </w:r>
            <w:r w:rsidR="00CE2245">
              <w:t>–</w:t>
            </w:r>
            <w:r>
              <w:t xml:space="preserve"> Fiscaliteit</w:t>
            </w:r>
            <w:r w:rsidR="00CE2245">
              <w:t>,</w:t>
            </w:r>
            <w:r>
              <w:t xml:space="preserve"> Belastingdienst</w:t>
            </w:r>
            <w:r w:rsidR="00CE2245">
              <w:t xml:space="preserve"> en Douane</w:t>
            </w:r>
            <w:r>
              <w:t>,</w:t>
            </w:r>
            <w:r>
              <w:br/>
            </w:r>
            <w:r>
              <w:br/>
            </w:r>
            <w:r>
              <w:br/>
            </w:r>
            <w:r>
              <w:br/>
            </w:r>
            <w:r w:rsidR="00FD5924">
              <w:t>T. van Oostenbruggen</w:t>
            </w:r>
            <w:r>
              <w:br/>
            </w:r>
            <w:r>
              <w:br/>
            </w:r>
          </w:p>
        </w:tc>
        <w:tc>
          <w:tcPr>
            <w:tcW w:w="3892" w:type="dxa"/>
          </w:tcPr>
          <w:p w:rsidR="00B07060" w:rsidRDefault="00B07060" w14:paraId="6027FE20" w14:textId="77777777"/>
        </w:tc>
      </w:tr>
      <w:tr w:rsidR="00B07060" w14:paraId="74A1CB69" w14:textId="77777777">
        <w:tc>
          <w:tcPr>
            <w:tcW w:w="3592" w:type="dxa"/>
          </w:tcPr>
          <w:p w:rsidR="00B07060" w:rsidRDefault="00B07060" w14:paraId="1C2D89A4" w14:textId="77777777"/>
        </w:tc>
        <w:tc>
          <w:tcPr>
            <w:tcW w:w="3892" w:type="dxa"/>
          </w:tcPr>
          <w:p w:rsidR="00B07060" w:rsidRDefault="00B07060" w14:paraId="1A06095C" w14:textId="77777777"/>
        </w:tc>
      </w:tr>
    </w:tbl>
    <w:p w:rsidR="003E08D4" w:rsidRDefault="003E08D4" w14:paraId="7E0575CC" w14:textId="77777777">
      <w:pPr>
        <w:pStyle w:val="Verdana7"/>
      </w:pPr>
    </w:p>
    <w:p w:rsidR="003E08D4" w:rsidRDefault="003E08D4" w14:paraId="328520A6" w14:textId="77777777">
      <w:pPr>
        <w:spacing w:line="240" w:lineRule="auto"/>
        <w:rPr>
          <w:sz w:val="14"/>
          <w:szCs w:val="14"/>
        </w:rPr>
      </w:pPr>
      <w:r>
        <w:br w:type="page"/>
      </w:r>
    </w:p>
    <w:p w:rsidRPr="00DB6112" w:rsidR="003E08D4" w:rsidP="003E08D4" w:rsidRDefault="003E08D4" w14:paraId="38425ECA" w14:textId="77777777">
      <w:pPr>
        <w:rPr>
          <w:b/>
          <w:bCs/>
          <w:u w:val="single"/>
        </w:rPr>
      </w:pPr>
      <w:r w:rsidRPr="00DB6112">
        <w:rPr>
          <w:b/>
          <w:bCs/>
          <w:u w:val="single"/>
        </w:rPr>
        <w:lastRenderedPageBreak/>
        <w:t>BIJLAGE 1</w:t>
      </w:r>
    </w:p>
    <w:p w:rsidRPr="00D20C92" w:rsidR="003E08D4" w:rsidP="003E08D4" w:rsidRDefault="003E08D4" w14:paraId="653B4718" w14:textId="77777777">
      <w:pPr>
        <w:rPr>
          <w:u w:val="single"/>
        </w:rPr>
      </w:pPr>
    </w:p>
    <w:p w:rsidRPr="008208ED" w:rsidR="003E08D4" w:rsidP="003E08D4" w:rsidRDefault="003E08D4" w14:paraId="2E234A26" w14:textId="77777777">
      <w:pPr>
        <w:rPr>
          <w:i/>
          <w:iCs/>
        </w:rPr>
      </w:pPr>
      <w:r>
        <w:rPr>
          <w:i/>
          <w:iCs/>
        </w:rPr>
        <w:t>Tabel 1 Overzicht forfaits gebaseerd op de rente en levensverwachting</w:t>
      </w:r>
    </w:p>
    <w:tbl>
      <w:tblPr>
        <w:tblStyle w:val="Rastertabel4-Accent5"/>
        <w:tblpPr w:leftFromText="141" w:rightFromText="141" w:vertAnchor="text" w:horzAnchor="margin" w:tblpXSpec="center" w:tblpY="202"/>
        <w:tblW w:w="7738" w:type="dxa"/>
        <w:tblLook w:val="04A0" w:firstRow="1" w:lastRow="0" w:firstColumn="1" w:lastColumn="0" w:noHBand="0" w:noVBand="1"/>
      </w:tblPr>
      <w:tblGrid>
        <w:gridCol w:w="1778"/>
        <w:gridCol w:w="2822"/>
        <w:gridCol w:w="3138"/>
      </w:tblGrid>
      <w:tr w:rsidR="003E08D4" w:rsidTr="0052227F" w14:paraId="33CB6F70" w14:textId="77777777">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778" w:type="dxa"/>
          </w:tcPr>
          <w:p w:rsidRPr="00FF300F" w:rsidR="003E08D4" w:rsidP="0052227F" w:rsidRDefault="003E08D4" w14:paraId="1AE052E6" w14:textId="77777777">
            <w:pPr>
              <w:jc w:val="center"/>
              <w:rPr>
                <w:sz w:val="16"/>
                <w:szCs w:val="16"/>
              </w:rPr>
            </w:pPr>
            <w:r w:rsidRPr="00FF300F">
              <w:rPr>
                <w:sz w:val="16"/>
                <w:szCs w:val="16"/>
              </w:rPr>
              <w:t>Wet</w:t>
            </w:r>
          </w:p>
        </w:tc>
        <w:tc>
          <w:tcPr>
            <w:tcW w:w="2822" w:type="dxa"/>
          </w:tcPr>
          <w:p w:rsidRPr="00FF300F" w:rsidR="003E08D4" w:rsidP="0052227F" w:rsidRDefault="003E08D4" w14:paraId="2AD8F2C9" w14:textId="77777777">
            <w:pPr>
              <w:jc w:val="center"/>
              <w:cnfStyle w:val="100000000000" w:firstRow="1" w:lastRow="0" w:firstColumn="0" w:lastColumn="0" w:oddVBand="0" w:evenVBand="0" w:oddHBand="0" w:evenHBand="0" w:firstRowFirstColumn="0" w:firstRowLastColumn="0" w:lastRowFirstColumn="0" w:lastRowLastColumn="0"/>
              <w:rPr>
                <w:sz w:val="16"/>
                <w:szCs w:val="16"/>
              </w:rPr>
            </w:pPr>
            <w:r w:rsidRPr="00FF300F">
              <w:rPr>
                <w:sz w:val="16"/>
                <w:szCs w:val="16"/>
              </w:rPr>
              <w:t>Forfait</w:t>
            </w:r>
          </w:p>
        </w:tc>
        <w:tc>
          <w:tcPr>
            <w:tcW w:w="3138" w:type="dxa"/>
          </w:tcPr>
          <w:p w:rsidRPr="00FF300F" w:rsidR="003E08D4" w:rsidP="0052227F" w:rsidRDefault="003E08D4" w14:paraId="5FE6C975" w14:textId="77777777">
            <w:pPr>
              <w:jc w:val="center"/>
              <w:cnfStyle w:val="100000000000" w:firstRow="1" w:lastRow="0" w:firstColumn="0" w:lastColumn="0" w:oddVBand="0" w:evenVBand="0" w:oddHBand="0" w:evenHBand="0" w:firstRowFirstColumn="0" w:firstRowLastColumn="0" w:lastRowFirstColumn="0" w:lastRowLastColumn="0"/>
              <w:rPr>
                <w:sz w:val="16"/>
                <w:szCs w:val="16"/>
              </w:rPr>
            </w:pPr>
            <w:r w:rsidRPr="00FF300F">
              <w:rPr>
                <w:sz w:val="16"/>
                <w:szCs w:val="16"/>
              </w:rPr>
              <w:t>Voorbeeldsituaties waarin forfait wordt toegepast</w:t>
            </w:r>
            <w:r w:rsidRPr="00FF300F">
              <w:rPr>
                <w:rStyle w:val="Voetnootmarkering"/>
                <w:sz w:val="16"/>
                <w:szCs w:val="16"/>
              </w:rPr>
              <w:footnoteReference w:id="5"/>
            </w:r>
          </w:p>
        </w:tc>
      </w:tr>
      <w:tr w:rsidR="003E08D4" w:rsidTr="0052227F" w14:paraId="51837B71" w14:textId="7777777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78" w:type="dxa"/>
            <w:vMerge w:val="restart"/>
          </w:tcPr>
          <w:p w:rsidRPr="00FF300F" w:rsidR="003E08D4" w:rsidP="0052227F" w:rsidRDefault="003E08D4" w14:paraId="1E7EDEAD" w14:textId="77777777">
            <w:pPr>
              <w:rPr>
                <w:b w:val="0"/>
                <w:bCs w:val="0"/>
                <w:sz w:val="16"/>
                <w:szCs w:val="16"/>
              </w:rPr>
            </w:pPr>
            <w:r w:rsidRPr="00FF300F">
              <w:rPr>
                <w:b w:val="0"/>
                <w:bCs w:val="0"/>
                <w:sz w:val="16"/>
                <w:szCs w:val="16"/>
              </w:rPr>
              <w:t>Successiewet 1956</w:t>
            </w:r>
          </w:p>
        </w:tc>
        <w:tc>
          <w:tcPr>
            <w:tcW w:w="2822" w:type="dxa"/>
          </w:tcPr>
          <w:p w:rsidRPr="00FF300F" w:rsidR="003E08D4" w:rsidP="0052227F" w:rsidRDefault="003E08D4" w14:paraId="0431552A"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FF300F">
              <w:rPr>
                <w:sz w:val="16"/>
                <w:szCs w:val="16"/>
              </w:rPr>
              <w:t>Waardering van vruchtgebruik of beperkte rechten en waardering van wat onder last van vruchtgebruik of beperkte rechten wordt verkregen (blote eigendom)</w:t>
            </w:r>
          </w:p>
          <w:p w:rsidRPr="00FF300F" w:rsidR="003E08D4" w:rsidP="0052227F" w:rsidRDefault="003E08D4" w14:paraId="739CD637" w14:textId="77777777">
            <w:pPr>
              <w:cnfStyle w:val="000000100000" w:firstRow="0" w:lastRow="0" w:firstColumn="0" w:lastColumn="0" w:oddVBand="0" w:evenVBand="0" w:oddHBand="1" w:evenHBand="0" w:firstRowFirstColumn="0" w:firstRowLastColumn="0" w:lastRowFirstColumn="0" w:lastRowLastColumn="0"/>
              <w:rPr>
                <w:sz w:val="16"/>
                <w:szCs w:val="16"/>
              </w:rPr>
            </w:pPr>
          </w:p>
        </w:tc>
        <w:tc>
          <w:tcPr>
            <w:tcW w:w="3138" w:type="dxa"/>
          </w:tcPr>
          <w:p w:rsidRPr="000A1B63" w:rsidR="003E08D4" w:rsidP="0052227F" w:rsidRDefault="003E08D4" w14:paraId="62D2F164"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A1B63">
              <w:rPr>
                <w:sz w:val="16"/>
                <w:szCs w:val="16"/>
              </w:rPr>
              <w:t>Als iemand overlijdt met achterlating van een echtgenoot en een of meer kinderen, is in beginsel de wettelijke verdeling van toepassing. Bij een wettelijke verdeling gaan alle bezittingen en schulden van de nalatenschap over op de langstlevende echtgenoot. De kinderen erven een vordering op de langstlevende. Afhankelijk van de hoogte van de rente die op de vorderingen wordt bijgeschreven, geniet de langstlevende een (fictief) vruchtgebruik van de vorderingen.</w:t>
            </w:r>
          </w:p>
        </w:tc>
      </w:tr>
      <w:tr w:rsidR="003E08D4" w:rsidTr="0052227F" w14:paraId="44790580" w14:textId="77777777">
        <w:trPr>
          <w:trHeight w:val="240"/>
        </w:trPr>
        <w:tc>
          <w:tcPr>
            <w:cnfStyle w:val="001000000000" w:firstRow="0" w:lastRow="0" w:firstColumn="1" w:lastColumn="0" w:oddVBand="0" w:evenVBand="0" w:oddHBand="0" w:evenHBand="0" w:firstRowFirstColumn="0" w:firstRowLastColumn="0" w:lastRowFirstColumn="0" w:lastRowLastColumn="0"/>
            <w:tcW w:w="1778" w:type="dxa"/>
            <w:vMerge/>
          </w:tcPr>
          <w:p w:rsidRPr="00FF300F" w:rsidR="003E08D4" w:rsidP="0052227F" w:rsidRDefault="003E08D4" w14:paraId="3C239064" w14:textId="77777777">
            <w:pPr>
              <w:rPr>
                <w:b w:val="0"/>
                <w:bCs w:val="0"/>
                <w:sz w:val="16"/>
                <w:szCs w:val="16"/>
              </w:rPr>
            </w:pPr>
          </w:p>
        </w:tc>
        <w:tc>
          <w:tcPr>
            <w:tcW w:w="2822" w:type="dxa"/>
          </w:tcPr>
          <w:p w:rsidRPr="00FF300F" w:rsidR="003E08D4" w:rsidP="0052227F" w:rsidRDefault="003E08D4" w14:paraId="3B672D36"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FF300F">
              <w:rPr>
                <w:sz w:val="16"/>
                <w:szCs w:val="16"/>
              </w:rPr>
              <w:t>Waardering van periodieke uitkering afhankelijk van één of meer levens</w:t>
            </w:r>
          </w:p>
          <w:p w:rsidRPr="00FF300F" w:rsidR="003E08D4" w:rsidP="0052227F" w:rsidRDefault="003E08D4" w14:paraId="003E4524" w14:textId="77777777">
            <w:pPr>
              <w:cnfStyle w:val="000000000000" w:firstRow="0" w:lastRow="0" w:firstColumn="0" w:lastColumn="0" w:oddVBand="0" w:evenVBand="0" w:oddHBand="0" w:evenHBand="0" w:firstRowFirstColumn="0" w:firstRowLastColumn="0" w:lastRowFirstColumn="0" w:lastRowLastColumn="0"/>
              <w:rPr>
                <w:sz w:val="16"/>
                <w:szCs w:val="16"/>
              </w:rPr>
            </w:pPr>
          </w:p>
        </w:tc>
        <w:tc>
          <w:tcPr>
            <w:tcW w:w="3138" w:type="dxa"/>
          </w:tcPr>
          <w:p w:rsidRPr="00FF300F" w:rsidR="003E08D4" w:rsidP="0052227F" w:rsidRDefault="003E08D4" w14:paraId="6FEF255B" w14:textId="7777777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De langstlevende partner verkrijgt een levenslange lijfrente.</w:t>
            </w:r>
          </w:p>
        </w:tc>
      </w:tr>
      <w:tr w:rsidR="003E08D4" w:rsidTr="0052227F" w14:paraId="36CEF550" w14:textId="7777777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78" w:type="dxa"/>
            <w:vMerge/>
          </w:tcPr>
          <w:p w:rsidRPr="00FF300F" w:rsidR="003E08D4" w:rsidP="0052227F" w:rsidRDefault="003E08D4" w14:paraId="71D4E7DF" w14:textId="77777777">
            <w:pPr>
              <w:rPr>
                <w:b w:val="0"/>
                <w:bCs w:val="0"/>
                <w:sz w:val="16"/>
                <w:szCs w:val="16"/>
              </w:rPr>
            </w:pPr>
          </w:p>
        </w:tc>
        <w:tc>
          <w:tcPr>
            <w:tcW w:w="2822" w:type="dxa"/>
          </w:tcPr>
          <w:p w:rsidRPr="00FF300F" w:rsidR="003E08D4" w:rsidP="0052227F" w:rsidRDefault="003E08D4" w14:paraId="0FD05731"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FF300F">
              <w:rPr>
                <w:sz w:val="16"/>
                <w:szCs w:val="16"/>
              </w:rPr>
              <w:t>Waardering periodieke uitkering voor een bepaalde periode, eventueel levensafhankelijk</w:t>
            </w:r>
          </w:p>
          <w:p w:rsidRPr="00FF300F" w:rsidR="003E08D4" w:rsidP="0052227F" w:rsidRDefault="003E08D4" w14:paraId="46ADABF9" w14:textId="77777777">
            <w:pPr>
              <w:cnfStyle w:val="000000100000" w:firstRow="0" w:lastRow="0" w:firstColumn="0" w:lastColumn="0" w:oddVBand="0" w:evenVBand="0" w:oddHBand="1" w:evenHBand="0" w:firstRowFirstColumn="0" w:firstRowLastColumn="0" w:lastRowFirstColumn="0" w:lastRowLastColumn="0"/>
              <w:rPr>
                <w:sz w:val="16"/>
                <w:szCs w:val="16"/>
              </w:rPr>
            </w:pPr>
          </w:p>
        </w:tc>
        <w:tc>
          <w:tcPr>
            <w:tcW w:w="3138" w:type="dxa"/>
          </w:tcPr>
          <w:p w:rsidRPr="00FF300F" w:rsidR="003E08D4" w:rsidP="0052227F" w:rsidRDefault="003E08D4" w14:paraId="0FAB39A4" w14:textId="77777777">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Het kleinkind verkrijgt bij overlijden van de grootouder een periodieke uitkering tot de meerderjarigheid. </w:t>
            </w:r>
          </w:p>
        </w:tc>
      </w:tr>
      <w:tr w:rsidR="003E08D4" w:rsidTr="0052227F" w14:paraId="2AEE00EB" w14:textId="77777777">
        <w:trPr>
          <w:trHeight w:val="240"/>
        </w:trPr>
        <w:tc>
          <w:tcPr>
            <w:cnfStyle w:val="001000000000" w:firstRow="0" w:lastRow="0" w:firstColumn="1" w:lastColumn="0" w:oddVBand="0" w:evenVBand="0" w:oddHBand="0" w:evenHBand="0" w:firstRowFirstColumn="0" w:firstRowLastColumn="0" w:lastRowFirstColumn="0" w:lastRowLastColumn="0"/>
            <w:tcW w:w="1778" w:type="dxa"/>
            <w:vMerge w:val="restart"/>
          </w:tcPr>
          <w:p w:rsidRPr="00FF300F" w:rsidR="003E08D4" w:rsidP="0052227F" w:rsidRDefault="003E08D4" w14:paraId="3CA5C266" w14:textId="77777777">
            <w:pPr>
              <w:rPr>
                <w:b w:val="0"/>
                <w:bCs w:val="0"/>
                <w:sz w:val="16"/>
                <w:szCs w:val="16"/>
              </w:rPr>
            </w:pPr>
            <w:r w:rsidRPr="00FF300F">
              <w:rPr>
                <w:b w:val="0"/>
                <w:bCs w:val="0"/>
                <w:sz w:val="16"/>
                <w:szCs w:val="16"/>
              </w:rPr>
              <w:t>Wet inkomstenbelasting 2001</w:t>
            </w:r>
          </w:p>
        </w:tc>
        <w:tc>
          <w:tcPr>
            <w:tcW w:w="2822" w:type="dxa"/>
          </w:tcPr>
          <w:p w:rsidRPr="00FF300F" w:rsidR="003E08D4" w:rsidP="0052227F" w:rsidRDefault="003E08D4" w14:paraId="3E1F8FB5"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FF300F">
              <w:rPr>
                <w:sz w:val="16"/>
                <w:szCs w:val="16"/>
              </w:rPr>
              <w:t>Waardering woning bij erfpacht</w:t>
            </w:r>
          </w:p>
        </w:tc>
        <w:tc>
          <w:tcPr>
            <w:tcW w:w="3138" w:type="dxa"/>
          </w:tcPr>
          <w:p w:rsidRPr="00FF300F" w:rsidR="003E08D4" w:rsidP="0052227F" w:rsidRDefault="003E08D4" w14:paraId="5BD8E5A0"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4A3860">
              <w:rPr>
                <w:sz w:val="16"/>
                <w:szCs w:val="16"/>
              </w:rPr>
              <w:t xml:space="preserve">De waarde van een woning belast met erfpacht wordt verminderd met 17 maal het jaarlijkse bedrag aan erfpacht als de woning niet verhuurd is en 20 maal het jaarlijkse bedrag aan erfpacht </w:t>
            </w:r>
            <w:r>
              <w:rPr>
                <w:sz w:val="16"/>
                <w:szCs w:val="16"/>
              </w:rPr>
              <w:t xml:space="preserve">als </w:t>
            </w:r>
            <w:r w:rsidRPr="004A3860">
              <w:rPr>
                <w:sz w:val="16"/>
                <w:szCs w:val="16"/>
              </w:rPr>
              <w:t>de woning</w:t>
            </w:r>
            <w:r>
              <w:rPr>
                <w:sz w:val="16"/>
                <w:szCs w:val="16"/>
              </w:rPr>
              <w:t xml:space="preserve"> verhuurd is</w:t>
            </w:r>
            <w:r w:rsidRPr="004A3860">
              <w:rPr>
                <w:sz w:val="16"/>
                <w:szCs w:val="16"/>
              </w:rPr>
              <w:t>.</w:t>
            </w:r>
          </w:p>
        </w:tc>
      </w:tr>
      <w:tr w:rsidR="003E08D4" w:rsidTr="0052227F" w14:paraId="4D184F6D" w14:textId="7777777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78" w:type="dxa"/>
            <w:vMerge/>
          </w:tcPr>
          <w:p w:rsidRPr="00FF300F" w:rsidR="003E08D4" w:rsidP="0052227F" w:rsidRDefault="003E08D4" w14:paraId="07A61064" w14:textId="77777777">
            <w:pPr>
              <w:rPr>
                <w:b w:val="0"/>
                <w:bCs w:val="0"/>
                <w:sz w:val="16"/>
                <w:szCs w:val="16"/>
              </w:rPr>
            </w:pPr>
          </w:p>
        </w:tc>
        <w:tc>
          <w:tcPr>
            <w:tcW w:w="2822" w:type="dxa"/>
          </w:tcPr>
          <w:p w:rsidRPr="00FF300F" w:rsidR="003E08D4" w:rsidP="0052227F" w:rsidRDefault="003E08D4" w14:paraId="08CF77B7"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FF300F">
              <w:rPr>
                <w:sz w:val="16"/>
                <w:szCs w:val="16"/>
              </w:rPr>
              <w:t>Waardering genotsrechten</w:t>
            </w:r>
          </w:p>
        </w:tc>
        <w:tc>
          <w:tcPr>
            <w:tcW w:w="3138" w:type="dxa"/>
          </w:tcPr>
          <w:p w:rsidRPr="00FF300F" w:rsidR="003E08D4" w:rsidP="0052227F" w:rsidRDefault="003E08D4" w14:paraId="1A30617A"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4A3860">
              <w:rPr>
                <w:sz w:val="16"/>
                <w:szCs w:val="16"/>
              </w:rPr>
              <w:t xml:space="preserve">In de Wet IB 2001 is </w:t>
            </w:r>
            <w:r>
              <w:rPr>
                <w:sz w:val="16"/>
                <w:szCs w:val="16"/>
              </w:rPr>
              <w:t xml:space="preserve">de definitie van </w:t>
            </w:r>
            <w:r w:rsidRPr="004A3860">
              <w:rPr>
                <w:sz w:val="16"/>
                <w:szCs w:val="16"/>
              </w:rPr>
              <w:t>een genotsrecht ‘elke gerechtigdheid tot voordelen uit goederen’. Het kan bijvoorbeeld gaan om een erfdienstbaarheid of vruchtgebruik. In het Uitvoeringsbesluit Inkomensbelasting 2001 is vervolgens geregeld dat de jaarlijkse voordelen op 4% worden gesteld van wat aan het genotsrecht is onderworpen.</w:t>
            </w:r>
          </w:p>
        </w:tc>
      </w:tr>
      <w:tr w:rsidR="003E08D4" w:rsidTr="0052227F" w14:paraId="4132D2AE" w14:textId="77777777">
        <w:trPr>
          <w:trHeight w:val="240"/>
        </w:trPr>
        <w:tc>
          <w:tcPr>
            <w:cnfStyle w:val="001000000000" w:firstRow="0" w:lastRow="0" w:firstColumn="1" w:lastColumn="0" w:oddVBand="0" w:evenVBand="0" w:oddHBand="0" w:evenHBand="0" w:firstRowFirstColumn="0" w:firstRowLastColumn="0" w:lastRowFirstColumn="0" w:lastRowLastColumn="0"/>
            <w:tcW w:w="1778" w:type="dxa"/>
            <w:vMerge/>
          </w:tcPr>
          <w:p w:rsidRPr="00FF300F" w:rsidR="003E08D4" w:rsidP="0052227F" w:rsidRDefault="003E08D4" w14:paraId="38ABD4BA" w14:textId="77777777">
            <w:pPr>
              <w:rPr>
                <w:b w:val="0"/>
                <w:bCs w:val="0"/>
                <w:sz w:val="16"/>
                <w:szCs w:val="16"/>
              </w:rPr>
            </w:pPr>
          </w:p>
        </w:tc>
        <w:tc>
          <w:tcPr>
            <w:tcW w:w="2822" w:type="dxa"/>
          </w:tcPr>
          <w:p w:rsidRPr="00FF300F" w:rsidR="003E08D4" w:rsidP="0052227F" w:rsidRDefault="003E08D4" w14:paraId="330CAC07"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FF300F">
              <w:rPr>
                <w:sz w:val="16"/>
                <w:szCs w:val="16"/>
              </w:rPr>
              <w:t>Waardering (tijdelijke) periodieke uitkeringen, niet van het leven afhankelijk</w:t>
            </w:r>
          </w:p>
        </w:tc>
        <w:tc>
          <w:tcPr>
            <w:tcW w:w="3138" w:type="dxa"/>
          </w:tcPr>
          <w:p w:rsidRPr="00FF300F" w:rsidR="003E08D4" w:rsidP="0052227F" w:rsidRDefault="003E08D4" w14:paraId="083054D3"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70256D">
              <w:rPr>
                <w:sz w:val="16"/>
                <w:szCs w:val="16"/>
              </w:rPr>
              <w:t xml:space="preserve">De waarde van een periodieke uitkering in geld die in box 3 valt en die na een bepaalde tijd vervalt en niet van het leven afhankelijk is, </w:t>
            </w:r>
            <w:r w:rsidRPr="0070256D">
              <w:rPr>
                <w:sz w:val="16"/>
                <w:szCs w:val="16"/>
              </w:rPr>
              <w:lastRenderedPageBreak/>
              <w:t xml:space="preserve">wordt bepaald door de jaarlijkse opbrengst te vermenigvuldigen met de looptijd van de uitkering (in jaren) en een vermenigvuldigingsfactor waarmee de contante waarde van </w:t>
            </w:r>
            <w:r w:rsidRPr="003469E0">
              <w:rPr>
                <w:sz w:val="16"/>
                <w:szCs w:val="16"/>
              </w:rPr>
              <w:t>toekomstige uitkeringen wordt bepaald</w:t>
            </w:r>
            <w:r>
              <w:rPr>
                <w:sz w:val="16"/>
                <w:szCs w:val="16"/>
              </w:rPr>
              <w:t>, waarbij het maximumbedrag 24 maal het jaarlijkse bedrag is</w:t>
            </w:r>
            <w:r w:rsidRPr="003469E0">
              <w:rPr>
                <w:sz w:val="16"/>
                <w:szCs w:val="16"/>
              </w:rPr>
              <w:t xml:space="preserve">. </w:t>
            </w:r>
            <w:r w:rsidRPr="004A3860">
              <w:rPr>
                <w:sz w:val="16"/>
                <w:szCs w:val="16"/>
              </w:rPr>
              <w:t xml:space="preserve">De waarde van een </w:t>
            </w:r>
            <w:r>
              <w:rPr>
                <w:sz w:val="16"/>
                <w:szCs w:val="16"/>
              </w:rPr>
              <w:t xml:space="preserve">dergelijke </w:t>
            </w:r>
            <w:r w:rsidRPr="004A3860">
              <w:rPr>
                <w:sz w:val="16"/>
                <w:szCs w:val="16"/>
              </w:rPr>
              <w:t>periodieke uitkering voor onbepaalde tijd wordt gesteld op 24</w:t>
            </w:r>
            <w:r>
              <w:rPr>
                <w:sz w:val="16"/>
                <w:szCs w:val="16"/>
              </w:rPr>
              <w:t xml:space="preserve"> maal het jaarlijkse bedrag.</w:t>
            </w:r>
          </w:p>
        </w:tc>
      </w:tr>
      <w:tr w:rsidR="003E08D4" w:rsidTr="0052227F" w14:paraId="0AB5B3AB" w14:textId="7777777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78" w:type="dxa"/>
            <w:vMerge/>
          </w:tcPr>
          <w:p w:rsidRPr="00FF300F" w:rsidR="003E08D4" w:rsidP="0052227F" w:rsidRDefault="003E08D4" w14:paraId="55C9479C" w14:textId="77777777">
            <w:pPr>
              <w:rPr>
                <w:b w:val="0"/>
                <w:bCs w:val="0"/>
                <w:sz w:val="16"/>
                <w:szCs w:val="16"/>
              </w:rPr>
            </w:pPr>
          </w:p>
        </w:tc>
        <w:tc>
          <w:tcPr>
            <w:tcW w:w="2822" w:type="dxa"/>
          </w:tcPr>
          <w:p w:rsidRPr="00FF300F" w:rsidR="003E08D4" w:rsidP="0052227F" w:rsidRDefault="003E08D4" w14:paraId="25CD02D1"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FF300F">
              <w:rPr>
                <w:sz w:val="16"/>
                <w:szCs w:val="16"/>
              </w:rPr>
              <w:t>Waardering (tijdelijke) periodieke uitkeringen, van het leven afhankelijk</w:t>
            </w:r>
          </w:p>
        </w:tc>
        <w:tc>
          <w:tcPr>
            <w:tcW w:w="3138" w:type="dxa"/>
          </w:tcPr>
          <w:p w:rsidRPr="00FF300F" w:rsidR="003E08D4" w:rsidP="0052227F" w:rsidRDefault="003E08D4" w14:paraId="44F1C8EB"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3469E0">
              <w:rPr>
                <w:sz w:val="16"/>
                <w:szCs w:val="16"/>
              </w:rPr>
              <w:t>De waarde van een periodieke uitkering die in box 3 valt en die wel afhankelijk is van het leven van degene die de uitkering ontvangt, wordt bepaald door de jaarlijkse opbrengst te vermenigvuldigen met een (leeftijdsafhankelijke) factor. De factor is afhankelijk van de leeftijd van degene die de uitkering ontvangt</w:t>
            </w:r>
            <w:r>
              <w:rPr>
                <w:sz w:val="16"/>
                <w:szCs w:val="16"/>
              </w:rPr>
              <w:t>.</w:t>
            </w:r>
            <w:r w:rsidRPr="003469E0">
              <w:rPr>
                <w:sz w:val="16"/>
                <w:szCs w:val="16"/>
              </w:rPr>
              <w:t xml:space="preserve"> </w:t>
            </w:r>
            <w:r>
              <w:rPr>
                <w:sz w:val="16"/>
                <w:szCs w:val="16"/>
              </w:rPr>
              <w:t>A</w:t>
            </w:r>
            <w:r w:rsidRPr="003469E0">
              <w:rPr>
                <w:sz w:val="16"/>
                <w:szCs w:val="16"/>
              </w:rPr>
              <w:t xml:space="preserve">fhankelijk van of de uitkering na een bepaalde tijd vervalt </w:t>
            </w:r>
            <w:r>
              <w:rPr>
                <w:sz w:val="16"/>
                <w:szCs w:val="16"/>
              </w:rPr>
              <w:t>is de factor tevens</w:t>
            </w:r>
            <w:r w:rsidRPr="003469E0">
              <w:rPr>
                <w:sz w:val="16"/>
                <w:szCs w:val="16"/>
              </w:rPr>
              <w:t xml:space="preserve"> afhankelijk van het aantal jaren dat de uitkering </w:t>
            </w:r>
            <w:r>
              <w:rPr>
                <w:sz w:val="16"/>
                <w:szCs w:val="16"/>
              </w:rPr>
              <w:t xml:space="preserve">nog zal </w:t>
            </w:r>
            <w:r w:rsidRPr="003469E0">
              <w:rPr>
                <w:sz w:val="16"/>
                <w:szCs w:val="16"/>
              </w:rPr>
              <w:t>lop</w:t>
            </w:r>
            <w:r>
              <w:rPr>
                <w:sz w:val="16"/>
                <w:szCs w:val="16"/>
              </w:rPr>
              <w:t>en</w:t>
            </w:r>
            <w:r w:rsidRPr="003469E0">
              <w:rPr>
                <w:sz w:val="16"/>
                <w:szCs w:val="16"/>
              </w:rPr>
              <w:t>. Daarnaast wordt onderscheid gemaakt naar geslacht.</w:t>
            </w:r>
          </w:p>
        </w:tc>
      </w:tr>
      <w:tr w:rsidR="003E08D4" w:rsidTr="0052227F" w14:paraId="6379DC59" w14:textId="77777777">
        <w:trPr>
          <w:trHeight w:val="240"/>
        </w:trPr>
        <w:tc>
          <w:tcPr>
            <w:cnfStyle w:val="001000000000" w:firstRow="0" w:lastRow="0" w:firstColumn="1" w:lastColumn="0" w:oddVBand="0" w:evenVBand="0" w:oddHBand="0" w:evenHBand="0" w:firstRowFirstColumn="0" w:firstRowLastColumn="0" w:lastRowFirstColumn="0" w:lastRowLastColumn="0"/>
            <w:tcW w:w="1778" w:type="dxa"/>
          </w:tcPr>
          <w:p w:rsidRPr="00FF300F" w:rsidR="003E08D4" w:rsidP="0052227F" w:rsidRDefault="003E08D4" w14:paraId="77BA67DB" w14:textId="77777777">
            <w:pPr>
              <w:rPr>
                <w:b w:val="0"/>
                <w:bCs w:val="0"/>
                <w:sz w:val="16"/>
                <w:szCs w:val="16"/>
              </w:rPr>
            </w:pPr>
            <w:r w:rsidRPr="00FF300F">
              <w:rPr>
                <w:b w:val="0"/>
                <w:bCs w:val="0"/>
                <w:sz w:val="16"/>
                <w:szCs w:val="16"/>
              </w:rPr>
              <w:t>Wet op de belastingen van rechtsverkeer</w:t>
            </w:r>
          </w:p>
        </w:tc>
        <w:tc>
          <w:tcPr>
            <w:tcW w:w="2822" w:type="dxa"/>
          </w:tcPr>
          <w:p w:rsidRPr="00FF300F" w:rsidR="003E08D4" w:rsidP="0052227F" w:rsidRDefault="003E08D4" w14:paraId="452F3A5D"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FF300F">
              <w:rPr>
                <w:sz w:val="16"/>
                <w:szCs w:val="16"/>
              </w:rPr>
              <w:t>Waardebepaling bij verkrijging van een recht op onroerende zaken</w:t>
            </w:r>
          </w:p>
        </w:tc>
        <w:tc>
          <w:tcPr>
            <w:tcW w:w="3138" w:type="dxa"/>
          </w:tcPr>
          <w:p w:rsidRPr="00FF300F" w:rsidR="003E08D4" w:rsidP="0052227F" w:rsidRDefault="003E08D4" w14:paraId="3FDEDABA" w14:textId="77777777">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EF0692">
              <w:rPr>
                <w:sz w:val="16"/>
                <w:szCs w:val="16"/>
              </w:rPr>
              <w:t>Bij verkrijging van een beperkt recht wordt de waarde van het recht op de onroerende zaak vermeerderd met die van de canon, retributie of de huur.</w:t>
            </w:r>
            <w:r>
              <w:rPr>
                <w:sz w:val="16"/>
                <w:szCs w:val="16"/>
              </w:rPr>
              <w:t xml:space="preserve"> De waarde van bijvoorbeeld een canon wordt berekend aan de hand van een forfait.</w:t>
            </w:r>
          </w:p>
        </w:tc>
      </w:tr>
      <w:tr w:rsidR="003E08D4" w:rsidTr="0052227F" w14:paraId="29EBA541" w14:textId="7777777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78" w:type="dxa"/>
          </w:tcPr>
          <w:p w:rsidRPr="00FF300F" w:rsidR="003E08D4" w:rsidP="0052227F" w:rsidRDefault="003E08D4" w14:paraId="550726CF" w14:textId="77777777">
            <w:pPr>
              <w:rPr>
                <w:b w:val="0"/>
                <w:bCs w:val="0"/>
                <w:sz w:val="16"/>
                <w:szCs w:val="16"/>
              </w:rPr>
            </w:pPr>
            <w:r w:rsidRPr="00FF300F">
              <w:rPr>
                <w:b w:val="0"/>
                <w:bCs w:val="0"/>
                <w:sz w:val="16"/>
                <w:szCs w:val="16"/>
              </w:rPr>
              <w:t>Wet op de omzetbelasting 1968</w:t>
            </w:r>
          </w:p>
        </w:tc>
        <w:tc>
          <w:tcPr>
            <w:tcW w:w="2822" w:type="dxa"/>
          </w:tcPr>
          <w:p w:rsidRPr="00FF300F" w:rsidR="003E08D4" w:rsidP="0052227F" w:rsidRDefault="003E08D4" w14:paraId="0E68C34C"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FF300F">
              <w:rPr>
                <w:sz w:val="16"/>
                <w:szCs w:val="16"/>
              </w:rPr>
              <w:t>Vergoeding rechten op onroerende zaken</w:t>
            </w:r>
          </w:p>
        </w:tc>
        <w:tc>
          <w:tcPr>
            <w:tcW w:w="3138" w:type="dxa"/>
          </w:tcPr>
          <w:p w:rsidRPr="00FF300F" w:rsidR="003E08D4" w:rsidP="0052227F" w:rsidRDefault="003E08D4" w14:paraId="6418E3E5" w14:textId="77777777">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EB77EC">
              <w:rPr>
                <w:sz w:val="16"/>
                <w:szCs w:val="16"/>
              </w:rPr>
              <w:t>De vestiging, wijziging, overdracht, afstand en opzegging wordt voor de btw als een levering van de onderliggende onroerende zaak aangemerkt wanneer de vergoeding gelijk is of meer bedraagt dan de waarde in het economische verkeer van het beperkte recht.</w:t>
            </w:r>
            <w:r>
              <w:rPr>
                <w:sz w:val="16"/>
                <w:szCs w:val="16"/>
              </w:rPr>
              <w:t xml:space="preserve"> De vergoeding waarover btw wordt berekend wordt aan de hand van het forfait bepaald.</w:t>
            </w:r>
          </w:p>
        </w:tc>
      </w:tr>
    </w:tbl>
    <w:p w:rsidR="003E08D4" w:rsidP="003E08D4" w:rsidRDefault="003E08D4" w14:paraId="502F7904" w14:textId="77777777">
      <w:pPr>
        <w:spacing w:line="240" w:lineRule="auto"/>
      </w:pPr>
    </w:p>
    <w:p w:rsidR="003E08D4" w:rsidP="003E08D4" w:rsidRDefault="003E08D4" w14:paraId="48427674" w14:textId="77777777">
      <w:pPr>
        <w:spacing w:line="240" w:lineRule="auto"/>
      </w:pPr>
      <w:r>
        <w:br w:type="page"/>
      </w:r>
    </w:p>
    <w:p w:rsidRPr="00375163" w:rsidR="00F45C92" w:rsidP="00F45C92" w:rsidRDefault="00F45C92" w14:paraId="38C71E7A" w14:textId="77777777">
      <w:pPr>
        <w:spacing w:line="276" w:lineRule="auto"/>
        <w:contextualSpacing/>
        <w:rPr>
          <w:rFonts w:cstheme="minorHAnsi"/>
          <w:b/>
          <w:bCs/>
        </w:rPr>
      </w:pPr>
      <w:r w:rsidRPr="00375163">
        <w:rPr>
          <w:rFonts w:cstheme="minorHAnsi"/>
          <w:b/>
          <w:bCs/>
        </w:rPr>
        <w:lastRenderedPageBreak/>
        <w:t xml:space="preserve">Bijlage 2 effecten op de te betalen erfbelasting voorkeursvariant onderzoeksrapport </w:t>
      </w:r>
    </w:p>
    <w:p w:rsidRPr="00375163" w:rsidR="00F45C92" w:rsidP="00F45C92" w:rsidRDefault="00F45C92" w14:paraId="49E8FC18" w14:textId="77777777">
      <w:pPr>
        <w:spacing w:line="276" w:lineRule="auto"/>
        <w:contextualSpacing/>
        <w:rPr>
          <w:rFonts w:cstheme="minorHAnsi"/>
        </w:rPr>
      </w:pPr>
    </w:p>
    <w:p w:rsidRPr="00375163" w:rsidR="00F45C92" w:rsidP="00375163" w:rsidRDefault="00F45C92" w14:paraId="0A1C1364" w14:textId="77777777">
      <w:pPr>
        <w:spacing w:line="240" w:lineRule="auto"/>
        <w:contextualSpacing/>
        <w:rPr>
          <w:rFonts w:cstheme="minorHAnsi"/>
        </w:rPr>
      </w:pPr>
      <w:r w:rsidRPr="00375163">
        <w:rPr>
          <w:rFonts w:cstheme="minorHAnsi"/>
        </w:rPr>
        <w:t xml:space="preserve">Deze bijlage toont ter illustratie voor voorbeeldnalatenschappen de mutatie in de te betalen erfbelasting </w:t>
      </w:r>
      <w:r w:rsidR="00375163">
        <w:rPr>
          <w:rFonts w:cstheme="minorHAnsi"/>
        </w:rPr>
        <w:t xml:space="preserve">na actualisatie conform </w:t>
      </w:r>
      <w:r w:rsidRPr="00375163">
        <w:rPr>
          <w:rFonts w:cstheme="minorHAnsi"/>
        </w:rPr>
        <w:t xml:space="preserve">de voorkeursvariant uit het onderzoeksrapport. Het uiteindelijke actualisatievoorstel </w:t>
      </w:r>
      <w:r w:rsidRPr="00375163" w:rsidR="00283F1E">
        <w:rPr>
          <w:rFonts w:cstheme="minorHAnsi"/>
        </w:rPr>
        <w:t xml:space="preserve">van het Kabinet </w:t>
      </w:r>
      <w:r w:rsidRPr="00375163">
        <w:rPr>
          <w:rFonts w:cstheme="minorHAnsi"/>
        </w:rPr>
        <w:t xml:space="preserve">kan anders uitvallen. In alle voorbeelden is sprake van twee partners die in gemeenschap van goederen getrouwd zijn (waarbij geen van beiden over privévermogen beschikt), twee kinderen hebben, er geen pensioenvermogen wordt nagelaten aan de langstlevende partner en waarbij de erfdelen gelijk zijn. De voorbeeldnalatenschappen zijn gebaseerd op twee vaak voorkomende situaties (zie hieronder); </w:t>
      </w:r>
    </w:p>
    <w:p w:rsidRPr="00B00EB7" w:rsidR="00F45C92" w:rsidP="00F45C92" w:rsidRDefault="00F45C92" w14:paraId="7220A1AA" w14:textId="77777777">
      <w:pPr>
        <w:spacing w:line="276" w:lineRule="auto"/>
        <w:contextualSpacing/>
        <w:rPr>
          <w:rFonts w:asciiTheme="minorHAnsi" w:hAnsiTheme="minorHAnsi" w:cstheme="minorHAnsi"/>
          <w:sz w:val="22"/>
          <w:szCs w:val="22"/>
        </w:rPr>
      </w:pPr>
    </w:p>
    <w:p w:rsidRPr="00EA09F0" w:rsidR="00F45C92" w:rsidP="00375163" w:rsidRDefault="00F45C92" w14:paraId="68E6FBC1" w14:textId="77777777">
      <w:pPr>
        <w:pStyle w:val="Lijstalinea"/>
        <w:numPr>
          <w:ilvl w:val="0"/>
          <w:numId w:val="20"/>
        </w:numPr>
        <w:autoSpaceDN/>
        <w:spacing w:after="160" w:line="276" w:lineRule="auto"/>
        <w:textAlignment w:val="auto"/>
        <w:rPr>
          <w:rFonts w:asciiTheme="minorHAnsi" w:hAnsiTheme="minorHAnsi" w:cstheme="minorHAnsi"/>
          <w:b/>
          <w:bCs/>
          <w:sz w:val="22"/>
          <w:szCs w:val="22"/>
        </w:rPr>
      </w:pPr>
      <w:r w:rsidRPr="00EA09F0">
        <w:rPr>
          <w:rFonts w:asciiTheme="minorHAnsi" w:hAnsiTheme="minorHAnsi" w:cstheme="minorHAnsi"/>
          <w:b/>
          <w:bCs/>
          <w:sz w:val="22"/>
          <w:szCs w:val="22"/>
        </w:rPr>
        <w:t>Renteloze vorderingen:</w:t>
      </w:r>
    </w:p>
    <w:p w:rsidRPr="00CB1850" w:rsidR="00F45C92" w:rsidP="00375163" w:rsidRDefault="00F45C92" w14:paraId="005504D7" w14:textId="77777777">
      <w:pPr>
        <w:spacing w:line="240" w:lineRule="auto"/>
        <w:contextualSpacing/>
        <w:rPr>
          <w:rFonts w:cstheme="minorHAnsi"/>
          <w:i/>
          <w:iCs/>
        </w:rPr>
      </w:pPr>
      <w:r w:rsidRPr="00CB1850">
        <w:rPr>
          <w:rFonts w:cstheme="minorHAnsi"/>
          <w:i/>
          <w:iCs/>
        </w:rPr>
        <w:t>John (67) overlijdt en er is geen testament. John is in algehele gemeenschap van goederen getrouwd met Angela (66) en ze hebben 2 kinderen. Samen hadden zij € 600.000 aan vermogen. Doordat John en Angela in gemeenschap van goederen zijn getrouwd (en geen van beide over privévermogen beschikt), is de nalatenschap de helft: € 300.000. De nalatenschap bestaat uit 3 gelijke erfdelen van € 100.000. Omdat er geen testament is, geldt de wettelijke verdeling. De hele nalatenschap van John gaat naar Angela waarbij beide kinderen elk een vordering van € 100.000 op Angela krijgen, die in beginsel pas opeisbaar is bij het overlijden van Angela. Over de vorderingen is geen rente verschuldigd.</w:t>
      </w:r>
    </w:p>
    <w:p w:rsidRPr="00CB1850" w:rsidR="00F45C92" w:rsidP="00375163" w:rsidRDefault="00F45C92" w14:paraId="58A76AE5" w14:textId="77777777">
      <w:pPr>
        <w:spacing w:line="240" w:lineRule="auto"/>
        <w:contextualSpacing/>
        <w:rPr>
          <w:rFonts w:cstheme="minorHAnsi"/>
          <w:i/>
          <w:iCs/>
        </w:rPr>
      </w:pPr>
    </w:p>
    <w:p w:rsidRPr="00CB1850" w:rsidR="00F45C92" w:rsidP="00375163" w:rsidRDefault="00F45C92" w14:paraId="29BCB547" w14:textId="77777777">
      <w:pPr>
        <w:spacing w:line="240" w:lineRule="auto"/>
        <w:contextualSpacing/>
        <w:rPr>
          <w:rFonts w:cstheme="minorHAnsi"/>
          <w:i/>
          <w:iCs/>
        </w:rPr>
      </w:pPr>
      <w:r w:rsidRPr="00CB1850">
        <w:rPr>
          <w:rFonts w:cstheme="minorHAnsi"/>
          <w:i/>
          <w:iCs/>
        </w:rPr>
        <w:t xml:space="preserve">De erfenis van Angela bedraagt € 100.000 plus het vruchtgebruik over de vorderingen van in totaal € 200.000. De waarde van het </w:t>
      </w:r>
      <w:proofErr w:type="gramStart"/>
      <w:r w:rsidRPr="00CB1850">
        <w:rPr>
          <w:rFonts w:cstheme="minorHAnsi"/>
          <w:i/>
          <w:iCs/>
        </w:rPr>
        <w:t>vruchtgebruik  is</w:t>
      </w:r>
      <w:proofErr w:type="gramEnd"/>
      <w:r w:rsidRPr="00CB1850">
        <w:rPr>
          <w:rFonts w:cstheme="minorHAnsi"/>
          <w:i/>
          <w:iCs/>
        </w:rPr>
        <w:t xml:space="preserve"> 2 x € 100.000 × 6%</w:t>
      </w:r>
      <w:r w:rsidRPr="004B4A03">
        <w:rPr>
          <w:rStyle w:val="Voetnootmarkering"/>
          <w:rFonts w:cstheme="minorHAnsi"/>
          <w:i/>
          <w:iCs/>
        </w:rPr>
        <w:footnoteReference w:id="6"/>
      </w:r>
      <w:r w:rsidRPr="00CB1850">
        <w:rPr>
          <w:rFonts w:cstheme="minorHAnsi"/>
          <w:i/>
          <w:iCs/>
        </w:rPr>
        <w:t xml:space="preserve"> × factor 8</w:t>
      </w:r>
      <w:r w:rsidRPr="004B4A03">
        <w:rPr>
          <w:rStyle w:val="Voetnootmarkering"/>
          <w:rFonts w:cstheme="minorHAnsi"/>
          <w:i/>
          <w:iCs/>
        </w:rPr>
        <w:footnoteReference w:id="7"/>
      </w:r>
      <w:r w:rsidRPr="00CB1850">
        <w:rPr>
          <w:rFonts w:cstheme="minorHAnsi"/>
          <w:i/>
          <w:iCs/>
        </w:rPr>
        <w:t xml:space="preserve"> = 2 x € 48.000. De erfbelasting voor Angela wordt berekend over € 100.000 + € 96.000 = € 196.000. Dit valt onder de partnervrijstelling. De erfbelasting voor elk van de kinderen </w:t>
      </w:r>
      <w:proofErr w:type="gramStart"/>
      <w:r w:rsidRPr="00CB1850">
        <w:rPr>
          <w:rFonts w:cstheme="minorHAnsi"/>
          <w:i/>
          <w:iCs/>
        </w:rPr>
        <w:t>wordt  berekend</w:t>
      </w:r>
      <w:proofErr w:type="gramEnd"/>
      <w:r w:rsidRPr="00CB1850">
        <w:rPr>
          <w:rFonts w:cstheme="minorHAnsi"/>
          <w:i/>
          <w:iCs/>
        </w:rPr>
        <w:t xml:space="preserve"> over € 100.000 - € 48.000 = € 52.000.</w:t>
      </w:r>
    </w:p>
    <w:p w:rsidRPr="00CB1850" w:rsidR="00F45C92" w:rsidP="00375163" w:rsidRDefault="00F45C92" w14:paraId="47831DBD" w14:textId="77777777">
      <w:pPr>
        <w:spacing w:line="240" w:lineRule="auto"/>
        <w:contextualSpacing/>
        <w:rPr>
          <w:rFonts w:cstheme="minorHAnsi"/>
          <w:i/>
          <w:iCs/>
        </w:rPr>
      </w:pPr>
    </w:p>
    <w:p w:rsidRPr="00CB1850" w:rsidR="00F45C92" w:rsidP="00375163" w:rsidRDefault="00F45C92" w14:paraId="0C18B74D" w14:textId="77777777">
      <w:pPr>
        <w:spacing w:line="240" w:lineRule="auto"/>
        <w:contextualSpacing/>
        <w:rPr>
          <w:rFonts w:cstheme="minorHAnsi"/>
          <w:i/>
          <w:iCs/>
        </w:rPr>
      </w:pPr>
      <w:r w:rsidRPr="00CB1850">
        <w:rPr>
          <w:rFonts w:cstheme="minorHAnsi"/>
          <w:i/>
          <w:iCs/>
        </w:rPr>
        <w:t>Stel dat bij het overlijden van Angela haar nalatenschap € 600.000 bedraagt. Op haar nalatenschap worden de vorderingen in mindering gebracht; € 600.000 – 2 x € 100.000 = € 400.000. Elk kind erft € 200.000.</w:t>
      </w:r>
    </w:p>
    <w:p w:rsidRPr="00B00EB7" w:rsidR="00F45C92" w:rsidP="00F45C92" w:rsidRDefault="00F45C92" w14:paraId="2B3CBE12" w14:textId="77777777">
      <w:pPr>
        <w:pStyle w:val="Lijstalinea"/>
        <w:spacing w:line="276" w:lineRule="auto"/>
        <w:rPr>
          <w:rFonts w:asciiTheme="minorHAnsi" w:hAnsiTheme="minorHAnsi" w:cstheme="minorHAnsi"/>
          <w:i/>
          <w:iCs/>
          <w:sz w:val="22"/>
          <w:szCs w:val="22"/>
        </w:rPr>
      </w:pPr>
    </w:p>
    <w:p w:rsidRPr="00B00EB7" w:rsidR="00F45C92" w:rsidP="00F45C92" w:rsidRDefault="00F45C92" w14:paraId="54547BC0" w14:textId="77777777">
      <w:pPr>
        <w:pStyle w:val="Lijstalinea"/>
        <w:numPr>
          <w:ilvl w:val="0"/>
          <w:numId w:val="20"/>
        </w:numPr>
        <w:autoSpaceDN/>
        <w:spacing w:after="160" w:line="276" w:lineRule="auto"/>
        <w:textAlignment w:val="auto"/>
        <w:rPr>
          <w:rFonts w:asciiTheme="minorHAnsi" w:hAnsiTheme="minorHAnsi" w:cstheme="minorHAnsi"/>
          <w:sz w:val="22"/>
          <w:szCs w:val="22"/>
        </w:rPr>
      </w:pPr>
      <w:r>
        <w:rPr>
          <w:rFonts w:asciiTheme="minorHAnsi" w:hAnsiTheme="minorHAnsi" w:cstheme="minorHAnsi"/>
          <w:b/>
          <w:bCs/>
          <w:sz w:val="22"/>
          <w:szCs w:val="22"/>
        </w:rPr>
        <w:t>Rentedragende vorderingen:</w:t>
      </w:r>
    </w:p>
    <w:p w:rsidRPr="00CB1850" w:rsidR="00F45C92" w:rsidP="00375163" w:rsidRDefault="00F45C92" w14:paraId="481C4BF7" w14:textId="77777777">
      <w:pPr>
        <w:spacing w:line="240" w:lineRule="auto"/>
        <w:rPr>
          <w:rFonts w:cstheme="minorHAnsi"/>
          <w:i/>
          <w:iCs/>
        </w:rPr>
      </w:pPr>
      <w:r w:rsidRPr="00CB1850">
        <w:rPr>
          <w:rFonts w:cstheme="minorHAnsi"/>
          <w:i/>
          <w:iCs/>
        </w:rPr>
        <w:t>Lara is getrouwd met Tom. De huwelijkse gemeenschap heeft bij het overlijden van Lara een waarde van € 1.200.000 en er zijn 2 kinderen. De rente in het testament is op 6%</w:t>
      </w:r>
      <w:r w:rsidRPr="004B4A03">
        <w:rPr>
          <w:rStyle w:val="Voetnootmarkering"/>
          <w:rFonts w:cstheme="minorHAnsi"/>
          <w:i/>
          <w:iCs/>
        </w:rPr>
        <w:footnoteReference w:id="8"/>
      </w:r>
      <w:r w:rsidRPr="00CB1850">
        <w:rPr>
          <w:rFonts w:cstheme="minorHAnsi"/>
          <w:i/>
          <w:iCs/>
        </w:rPr>
        <w:t xml:space="preserve"> samengestelde rente bepaald. De nalatenschap van Lara is € 600.000. Tom krijgt het vermogen en de beide kinderen krijgen een vordering op Tom van ieder € 200.000. </w:t>
      </w:r>
    </w:p>
    <w:p w:rsidRPr="00CB1850" w:rsidR="00F45C92" w:rsidP="00375163" w:rsidRDefault="00F45C92" w14:paraId="009B2D0F" w14:textId="77777777">
      <w:pPr>
        <w:spacing w:line="240" w:lineRule="auto"/>
        <w:ind w:left="360"/>
        <w:rPr>
          <w:rFonts w:cstheme="minorHAnsi"/>
          <w:i/>
          <w:iCs/>
        </w:rPr>
      </w:pPr>
    </w:p>
    <w:p w:rsidR="00F45C92" w:rsidP="00375163" w:rsidRDefault="00F45C92" w14:paraId="5C1C4242" w14:textId="77777777">
      <w:pPr>
        <w:spacing w:line="240" w:lineRule="auto"/>
        <w:rPr>
          <w:rFonts w:cstheme="minorHAnsi"/>
          <w:i/>
          <w:iCs/>
        </w:rPr>
      </w:pPr>
      <w:r w:rsidRPr="00CB1850">
        <w:rPr>
          <w:rFonts w:cstheme="minorHAnsi"/>
          <w:i/>
          <w:iCs/>
        </w:rPr>
        <w:t>Als Tom 10 jaar later overlijdt, is de schuld door de rente opgelopen met € 316.339.</w:t>
      </w:r>
      <w:r>
        <w:rPr>
          <w:rStyle w:val="Voetnootmarkering"/>
          <w:rFonts w:cstheme="minorHAnsi"/>
          <w:i/>
          <w:iCs/>
        </w:rPr>
        <w:footnoteReference w:id="9"/>
      </w:r>
      <w:r w:rsidRPr="00CB1850">
        <w:rPr>
          <w:rFonts w:cstheme="minorHAnsi"/>
          <w:i/>
          <w:iCs/>
        </w:rPr>
        <w:t xml:space="preserve"> Als het vermogen gelijk is gebleven, is Toms nalatenschap € 1.200.000 - € 400.000 - € 316.339 = € 483.661. Elk kind krijgt dus de helft van € 483.661 = € 241.831. De oprenting van de vordering zorgt ervoor dat de nalatenschap van Tom wordt verminderd. </w:t>
      </w:r>
    </w:p>
    <w:p w:rsidR="00F45C92" w:rsidP="00F45C92" w:rsidRDefault="00F45C92" w14:paraId="4326C574" w14:textId="77777777">
      <w:pPr>
        <w:spacing w:line="276" w:lineRule="auto"/>
        <w:ind w:left="360"/>
        <w:rPr>
          <w:rFonts w:cstheme="minorHAnsi"/>
          <w:i/>
          <w:iCs/>
        </w:rPr>
      </w:pPr>
    </w:p>
    <w:p w:rsidR="00F45C92" w:rsidRDefault="00F45C92" w14:paraId="4171D286" w14:textId="77777777">
      <w:pPr>
        <w:spacing w:line="240" w:lineRule="auto"/>
        <w:rPr>
          <w:rFonts w:cstheme="minorHAnsi"/>
          <w:i/>
          <w:iCs/>
        </w:rPr>
      </w:pPr>
      <w:r>
        <w:rPr>
          <w:rFonts w:cstheme="minorHAnsi"/>
          <w:i/>
          <w:iCs/>
        </w:rPr>
        <w:br w:type="page"/>
      </w:r>
    </w:p>
    <w:p w:rsidRPr="00375163" w:rsidR="00F45C92" w:rsidP="00F45C92" w:rsidRDefault="00F45C92" w14:paraId="46A64149" w14:textId="77777777">
      <w:pPr>
        <w:spacing w:line="276" w:lineRule="auto"/>
        <w:rPr>
          <w:rFonts w:asciiTheme="majorHAnsi" w:hAnsiTheme="majorHAnsi" w:cstheme="majorHAnsi"/>
          <w:b/>
          <w:bCs/>
          <w:sz w:val="16"/>
          <w:szCs w:val="16"/>
        </w:rPr>
      </w:pPr>
      <w:r w:rsidRPr="00375163">
        <w:rPr>
          <w:rFonts w:asciiTheme="majorHAnsi" w:hAnsiTheme="majorHAnsi" w:cstheme="majorHAnsi"/>
          <w:b/>
          <w:bCs/>
          <w:sz w:val="16"/>
          <w:szCs w:val="16"/>
        </w:rPr>
        <w:lastRenderedPageBreak/>
        <w:t>Situatie 1: doorrekeningen voorbeeldnalatenschappen wettelijke verdeling 2025</w:t>
      </w:r>
    </w:p>
    <w:p w:rsidRPr="00375163" w:rsidR="00F45C92" w:rsidP="00F45C92" w:rsidRDefault="00F45C92" w14:paraId="732368DB" w14:textId="77777777">
      <w:pPr>
        <w:spacing w:line="276" w:lineRule="auto"/>
        <w:contextualSpacing/>
        <w:rPr>
          <w:rFonts w:asciiTheme="majorHAnsi" w:hAnsiTheme="majorHAnsi" w:cstheme="majorHAnsi"/>
          <w:sz w:val="16"/>
          <w:szCs w:val="16"/>
        </w:rPr>
      </w:pPr>
      <w:r w:rsidRPr="00375163">
        <w:rPr>
          <w:rFonts w:asciiTheme="majorHAnsi" w:hAnsiTheme="majorHAnsi" w:cstheme="majorHAnsi"/>
          <w:sz w:val="16"/>
          <w:szCs w:val="16"/>
        </w:rPr>
        <w:t xml:space="preserve">Tabel 1.1 Mutatie te betalen erfbelasting voor langstlevende partner bij overlijden </w:t>
      </w:r>
      <w:proofErr w:type="spellStart"/>
      <w:r w:rsidRPr="00375163">
        <w:rPr>
          <w:rFonts w:asciiTheme="majorHAnsi" w:hAnsiTheme="majorHAnsi" w:cstheme="majorHAnsi"/>
          <w:sz w:val="16"/>
          <w:szCs w:val="16"/>
        </w:rPr>
        <w:t>kortstlevende</w:t>
      </w:r>
      <w:proofErr w:type="spellEnd"/>
      <w:r w:rsidRPr="00375163">
        <w:rPr>
          <w:rFonts w:asciiTheme="majorHAnsi" w:hAnsiTheme="majorHAnsi" w:cstheme="majorHAnsi"/>
          <w:sz w:val="16"/>
          <w:szCs w:val="16"/>
        </w:rPr>
        <w:t xml:space="preserve"> partner</w:t>
      </w:r>
      <w:r w:rsidRPr="00375163">
        <w:rPr>
          <w:rStyle w:val="Voetnootmarkering"/>
          <w:rFonts w:asciiTheme="majorHAnsi" w:hAnsiTheme="majorHAnsi" w:cstheme="majorHAnsi"/>
          <w:sz w:val="16"/>
          <w:szCs w:val="16"/>
        </w:rPr>
        <w:footnoteReference w:id="10"/>
      </w:r>
    </w:p>
    <w:tbl>
      <w:tblPr>
        <w:tblStyle w:val="Lijsttabel1licht-Accent3"/>
        <w:tblpPr w:leftFromText="141" w:rightFromText="141" w:vertAnchor="text" w:horzAnchor="margin" w:tblpY="116"/>
        <w:tblW w:w="9477" w:type="dxa"/>
        <w:tblLook w:val="04A0" w:firstRow="1" w:lastRow="0" w:firstColumn="1" w:lastColumn="0" w:noHBand="0" w:noVBand="1"/>
      </w:tblPr>
      <w:tblGrid>
        <w:gridCol w:w="1001"/>
        <w:gridCol w:w="782"/>
        <w:gridCol w:w="1053"/>
        <w:gridCol w:w="1039"/>
        <w:gridCol w:w="14"/>
        <w:gridCol w:w="1028"/>
        <w:gridCol w:w="26"/>
        <w:gridCol w:w="1020"/>
        <w:gridCol w:w="34"/>
        <w:gridCol w:w="1023"/>
        <w:gridCol w:w="31"/>
        <w:gridCol w:w="1170"/>
        <w:gridCol w:w="43"/>
        <w:gridCol w:w="1186"/>
        <w:gridCol w:w="27"/>
      </w:tblGrid>
      <w:tr w:rsidRPr="00375163" w:rsidR="00F45C92" w:rsidTr="006A2B2F" w14:paraId="3CEDFF2E" w14:textId="77777777">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783" w:type="dxa"/>
            <w:gridSpan w:val="2"/>
            <w:tcBorders>
              <w:top w:val="single" w:color="auto" w:sz="4" w:space="0"/>
              <w:bottom w:val="single" w:color="auto" w:sz="4" w:space="0"/>
            </w:tcBorders>
          </w:tcPr>
          <w:p w:rsidRPr="00375163" w:rsidR="00F45C92" w:rsidP="006A2B2F" w:rsidRDefault="00F45C92" w14:paraId="307A8382" w14:textId="77777777">
            <w:pPr>
              <w:spacing w:line="276" w:lineRule="auto"/>
              <w:contextualSpacing/>
              <w:rPr>
                <w:rFonts w:asciiTheme="majorHAnsi" w:hAnsiTheme="majorHAnsi" w:cstheme="majorHAnsi"/>
                <w:b w:val="0"/>
                <w:bCs w:val="0"/>
                <w:i/>
                <w:iCs/>
                <w:color w:val="000000" w:themeColor="text1"/>
                <w:sz w:val="16"/>
                <w:szCs w:val="16"/>
              </w:rPr>
            </w:pPr>
            <w:r w:rsidRPr="00375163">
              <w:rPr>
                <w:rFonts w:asciiTheme="majorHAnsi" w:hAnsiTheme="majorHAnsi" w:cstheme="majorHAnsi"/>
                <w:b w:val="0"/>
                <w:bCs w:val="0"/>
                <w:color w:val="000000" w:themeColor="text1"/>
                <w:sz w:val="16"/>
                <w:szCs w:val="16"/>
              </w:rPr>
              <w:t xml:space="preserve">Gemeenschappelijk vermogen ouders </w:t>
            </w:r>
          </w:p>
        </w:tc>
        <w:tc>
          <w:tcPr>
            <w:tcW w:w="1053" w:type="dxa"/>
            <w:tcBorders>
              <w:top w:val="single" w:color="auto" w:sz="4" w:space="0"/>
              <w:bottom w:val="single" w:color="auto" w:sz="4" w:space="0"/>
            </w:tcBorders>
          </w:tcPr>
          <w:p w:rsidRPr="00375163" w:rsidR="00F45C92" w:rsidP="006A2B2F" w:rsidRDefault="00F45C92" w14:paraId="6713E612"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themeColor="text1"/>
                <w:sz w:val="16"/>
                <w:szCs w:val="16"/>
              </w:rPr>
            </w:pPr>
            <w:r w:rsidRPr="00375163">
              <w:rPr>
                <w:rFonts w:asciiTheme="majorHAnsi" w:hAnsiTheme="majorHAnsi" w:cstheme="majorHAnsi"/>
                <w:color w:val="000000" w:themeColor="text1"/>
                <w:sz w:val="16"/>
                <w:szCs w:val="16"/>
              </w:rPr>
              <w:t>€ </w:t>
            </w:r>
            <w:r w:rsidRPr="00375163">
              <w:rPr>
                <w:rFonts w:asciiTheme="majorHAnsi" w:hAnsiTheme="majorHAnsi" w:cstheme="majorHAnsi"/>
                <w:b w:val="0"/>
                <w:bCs w:val="0"/>
                <w:color w:val="000000" w:themeColor="text1"/>
                <w:sz w:val="16"/>
                <w:szCs w:val="16"/>
              </w:rPr>
              <w:t>100.000</w:t>
            </w:r>
          </w:p>
        </w:tc>
        <w:tc>
          <w:tcPr>
            <w:tcW w:w="1053" w:type="dxa"/>
            <w:gridSpan w:val="2"/>
            <w:tcBorders>
              <w:top w:val="single" w:color="auto" w:sz="4" w:space="0"/>
              <w:bottom w:val="single" w:color="auto" w:sz="4" w:space="0"/>
            </w:tcBorders>
          </w:tcPr>
          <w:p w:rsidRPr="00375163" w:rsidR="00F45C92" w:rsidP="006A2B2F" w:rsidRDefault="00F45C92" w14:paraId="016E2433"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themeColor="text1"/>
                <w:sz w:val="16"/>
                <w:szCs w:val="16"/>
              </w:rPr>
            </w:pPr>
            <w:r w:rsidRPr="00375163">
              <w:rPr>
                <w:rFonts w:asciiTheme="majorHAnsi" w:hAnsiTheme="majorHAnsi" w:cstheme="majorHAnsi"/>
                <w:color w:val="000000" w:themeColor="text1"/>
                <w:sz w:val="16"/>
                <w:szCs w:val="16"/>
              </w:rPr>
              <w:t>€ </w:t>
            </w:r>
            <w:r w:rsidRPr="00375163">
              <w:rPr>
                <w:rFonts w:asciiTheme="majorHAnsi" w:hAnsiTheme="majorHAnsi" w:cstheme="majorHAnsi"/>
                <w:b w:val="0"/>
                <w:bCs w:val="0"/>
                <w:color w:val="000000" w:themeColor="text1"/>
                <w:sz w:val="16"/>
                <w:szCs w:val="16"/>
              </w:rPr>
              <w:t>200.000</w:t>
            </w:r>
          </w:p>
        </w:tc>
        <w:tc>
          <w:tcPr>
            <w:tcW w:w="1054" w:type="dxa"/>
            <w:gridSpan w:val="2"/>
            <w:tcBorders>
              <w:top w:val="single" w:color="auto" w:sz="4" w:space="0"/>
              <w:bottom w:val="single" w:color="auto" w:sz="4" w:space="0"/>
            </w:tcBorders>
          </w:tcPr>
          <w:p w:rsidRPr="00375163" w:rsidR="00F45C92" w:rsidP="006A2B2F" w:rsidRDefault="00F45C92" w14:paraId="796F5BF7"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themeColor="text1"/>
                <w:sz w:val="16"/>
                <w:szCs w:val="16"/>
              </w:rPr>
            </w:pPr>
            <w:r w:rsidRPr="00375163">
              <w:rPr>
                <w:rFonts w:asciiTheme="majorHAnsi" w:hAnsiTheme="majorHAnsi" w:cstheme="majorHAnsi"/>
                <w:color w:val="000000" w:themeColor="text1"/>
                <w:sz w:val="16"/>
                <w:szCs w:val="16"/>
              </w:rPr>
              <w:t>€ </w:t>
            </w:r>
            <w:r w:rsidRPr="00375163">
              <w:rPr>
                <w:rFonts w:asciiTheme="majorHAnsi" w:hAnsiTheme="majorHAnsi" w:cstheme="majorHAnsi"/>
                <w:b w:val="0"/>
                <w:bCs w:val="0"/>
                <w:color w:val="000000" w:themeColor="text1"/>
                <w:sz w:val="16"/>
                <w:szCs w:val="16"/>
              </w:rPr>
              <w:t>300.000</w:t>
            </w:r>
          </w:p>
        </w:tc>
        <w:tc>
          <w:tcPr>
            <w:tcW w:w="1054" w:type="dxa"/>
            <w:gridSpan w:val="2"/>
            <w:tcBorders>
              <w:top w:val="single" w:color="auto" w:sz="4" w:space="0"/>
              <w:bottom w:val="single" w:color="auto" w:sz="4" w:space="0"/>
            </w:tcBorders>
          </w:tcPr>
          <w:p w:rsidRPr="00375163" w:rsidR="00F45C92" w:rsidP="006A2B2F" w:rsidRDefault="00F45C92" w14:paraId="40280FB6"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themeColor="text1"/>
                <w:sz w:val="16"/>
                <w:szCs w:val="16"/>
              </w:rPr>
            </w:pPr>
            <w:r w:rsidRPr="00375163">
              <w:rPr>
                <w:rFonts w:asciiTheme="majorHAnsi" w:hAnsiTheme="majorHAnsi" w:cstheme="majorHAnsi"/>
                <w:color w:val="000000" w:themeColor="text1"/>
                <w:sz w:val="16"/>
                <w:szCs w:val="16"/>
              </w:rPr>
              <w:t>€ </w:t>
            </w:r>
            <w:r w:rsidRPr="00375163">
              <w:rPr>
                <w:rFonts w:asciiTheme="majorHAnsi" w:hAnsiTheme="majorHAnsi" w:cstheme="majorHAnsi"/>
                <w:b w:val="0"/>
                <w:bCs w:val="0"/>
                <w:color w:val="000000" w:themeColor="text1"/>
                <w:sz w:val="16"/>
                <w:szCs w:val="16"/>
              </w:rPr>
              <w:t>400.000</w:t>
            </w:r>
          </w:p>
        </w:tc>
        <w:tc>
          <w:tcPr>
            <w:tcW w:w="1054" w:type="dxa"/>
            <w:gridSpan w:val="2"/>
            <w:tcBorders>
              <w:top w:val="single" w:color="auto" w:sz="4" w:space="0"/>
              <w:bottom w:val="single" w:color="auto" w:sz="4" w:space="0"/>
            </w:tcBorders>
          </w:tcPr>
          <w:p w:rsidRPr="00375163" w:rsidR="00F45C92" w:rsidP="006A2B2F" w:rsidRDefault="00F45C92" w14:paraId="5BEF9D98"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themeColor="text1"/>
                <w:sz w:val="16"/>
                <w:szCs w:val="16"/>
              </w:rPr>
            </w:pPr>
            <w:r w:rsidRPr="00375163">
              <w:rPr>
                <w:rFonts w:asciiTheme="majorHAnsi" w:hAnsiTheme="majorHAnsi" w:cstheme="majorHAnsi"/>
                <w:color w:val="000000" w:themeColor="text1"/>
                <w:sz w:val="16"/>
                <w:szCs w:val="16"/>
              </w:rPr>
              <w:t>€ </w:t>
            </w:r>
            <w:r w:rsidRPr="00375163">
              <w:rPr>
                <w:rFonts w:asciiTheme="majorHAnsi" w:hAnsiTheme="majorHAnsi" w:cstheme="majorHAnsi"/>
                <w:b w:val="0"/>
                <w:bCs w:val="0"/>
                <w:color w:val="000000" w:themeColor="text1"/>
                <w:sz w:val="16"/>
                <w:szCs w:val="16"/>
              </w:rPr>
              <w:t>500.000</w:t>
            </w:r>
          </w:p>
        </w:tc>
        <w:tc>
          <w:tcPr>
            <w:tcW w:w="1213" w:type="dxa"/>
            <w:gridSpan w:val="2"/>
            <w:tcBorders>
              <w:top w:val="single" w:color="auto" w:sz="4" w:space="0"/>
              <w:bottom w:val="single" w:color="auto" w:sz="4" w:space="0"/>
            </w:tcBorders>
          </w:tcPr>
          <w:p w:rsidRPr="00375163" w:rsidR="00F45C92" w:rsidP="006A2B2F" w:rsidRDefault="00F45C92" w14:paraId="127DC051"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themeColor="text1"/>
                <w:sz w:val="16"/>
                <w:szCs w:val="16"/>
              </w:rPr>
            </w:pPr>
            <w:r w:rsidRPr="00375163">
              <w:rPr>
                <w:rFonts w:asciiTheme="majorHAnsi" w:hAnsiTheme="majorHAnsi" w:cstheme="majorHAnsi"/>
                <w:color w:val="000000" w:themeColor="text1"/>
                <w:sz w:val="16"/>
                <w:szCs w:val="16"/>
              </w:rPr>
              <w:t>€ </w:t>
            </w:r>
            <w:r w:rsidRPr="00375163">
              <w:rPr>
                <w:rFonts w:asciiTheme="majorHAnsi" w:hAnsiTheme="majorHAnsi" w:cstheme="majorHAnsi"/>
                <w:b w:val="0"/>
                <w:bCs w:val="0"/>
                <w:color w:val="000000" w:themeColor="text1"/>
                <w:sz w:val="16"/>
                <w:szCs w:val="16"/>
              </w:rPr>
              <w:t>1.000.000</w:t>
            </w:r>
          </w:p>
        </w:tc>
        <w:tc>
          <w:tcPr>
            <w:tcW w:w="1213" w:type="dxa"/>
            <w:gridSpan w:val="2"/>
            <w:tcBorders>
              <w:top w:val="single" w:color="auto" w:sz="4" w:space="0"/>
              <w:bottom w:val="single" w:color="auto" w:sz="4" w:space="0"/>
            </w:tcBorders>
          </w:tcPr>
          <w:p w:rsidRPr="00375163" w:rsidR="00F45C92" w:rsidP="006A2B2F" w:rsidRDefault="00F45C92" w14:paraId="7D478CB5"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themeColor="text1"/>
                <w:sz w:val="16"/>
                <w:szCs w:val="16"/>
              </w:rPr>
            </w:pPr>
            <w:r w:rsidRPr="00375163">
              <w:rPr>
                <w:rFonts w:asciiTheme="majorHAnsi" w:hAnsiTheme="majorHAnsi" w:cstheme="majorHAnsi"/>
                <w:color w:val="000000" w:themeColor="text1"/>
                <w:sz w:val="16"/>
                <w:szCs w:val="16"/>
              </w:rPr>
              <w:t>€ 4</w:t>
            </w:r>
            <w:r w:rsidRPr="00375163">
              <w:rPr>
                <w:rFonts w:asciiTheme="majorHAnsi" w:hAnsiTheme="majorHAnsi" w:cstheme="majorHAnsi"/>
                <w:b w:val="0"/>
                <w:bCs w:val="0"/>
                <w:color w:val="000000" w:themeColor="text1"/>
                <w:sz w:val="16"/>
                <w:szCs w:val="16"/>
              </w:rPr>
              <w:t>.500.000</w:t>
            </w:r>
          </w:p>
        </w:tc>
      </w:tr>
      <w:tr w:rsidRPr="00375163" w:rsidR="00F45C92" w:rsidTr="006A2B2F" w14:paraId="4AD7F758"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783" w:type="dxa"/>
            <w:gridSpan w:val="2"/>
            <w:tcBorders>
              <w:bottom w:val="single" w:color="auto" w:sz="4" w:space="0"/>
            </w:tcBorders>
          </w:tcPr>
          <w:p w:rsidRPr="00375163" w:rsidR="00F45C92" w:rsidP="006A2B2F" w:rsidRDefault="00F45C92" w14:paraId="11635245" w14:textId="77777777">
            <w:pPr>
              <w:spacing w:line="276" w:lineRule="auto"/>
              <w:contextualSpacing/>
              <w:rPr>
                <w:rFonts w:asciiTheme="majorHAnsi" w:hAnsiTheme="majorHAnsi" w:cstheme="majorHAnsi"/>
                <w:b w:val="0"/>
                <w:bCs w:val="0"/>
                <w:color w:val="000000" w:themeColor="text1"/>
                <w:sz w:val="16"/>
                <w:szCs w:val="16"/>
              </w:rPr>
            </w:pPr>
            <w:r w:rsidRPr="00375163">
              <w:rPr>
                <w:rFonts w:asciiTheme="majorHAnsi" w:hAnsiTheme="majorHAnsi" w:cstheme="majorHAnsi"/>
                <w:b w:val="0"/>
                <w:bCs w:val="0"/>
                <w:color w:val="000000" w:themeColor="text1"/>
                <w:sz w:val="16"/>
                <w:szCs w:val="16"/>
              </w:rPr>
              <w:t xml:space="preserve">Erfenis langstlevende partner </w:t>
            </w:r>
          </w:p>
        </w:tc>
        <w:tc>
          <w:tcPr>
            <w:tcW w:w="1053" w:type="dxa"/>
            <w:tcBorders>
              <w:bottom w:val="single" w:color="auto" w:sz="4" w:space="0"/>
            </w:tcBorders>
          </w:tcPr>
          <w:p w:rsidRPr="00375163" w:rsidR="00F45C92" w:rsidP="006A2B2F" w:rsidRDefault="00F45C92" w14:paraId="2A57CA47"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€ 16.667</w:t>
            </w:r>
          </w:p>
        </w:tc>
        <w:tc>
          <w:tcPr>
            <w:tcW w:w="1039" w:type="dxa"/>
            <w:tcBorders>
              <w:bottom w:val="single" w:color="auto" w:sz="4" w:space="0"/>
            </w:tcBorders>
          </w:tcPr>
          <w:p w:rsidRPr="00375163" w:rsidR="00F45C92" w:rsidP="006A2B2F" w:rsidRDefault="00F45C92" w14:paraId="04F7DBE4"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€ 33.333</w:t>
            </w:r>
          </w:p>
        </w:tc>
        <w:tc>
          <w:tcPr>
            <w:tcW w:w="1042" w:type="dxa"/>
            <w:gridSpan w:val="2"/>
            <w:tcBorders>
              <w:bottom w:val="single" w:color="auto" w:sz="4" w:space="0"/>
            </w:tcBorders>
          </w:tcPr>
          <w:p w:rsidRPr="00375163" w:rsidR="00F45C92" w:rsidP="006A2B2F" w:rsidRDefault="00F45C92" w14:paraId="33BB61FE"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€ 50.000</w:t>
            </w:r>
          </w:p>
        </w:tc>
        <w:tc>
          <w:tcPr>
            <w:tcW w:w="1046" w:type="dxa"/>
            <w:gridSpan w:val="2"/>
            <w:tcBorders>
              <w:bottom w:val="single" w:color="auto" w:sz="4" w:space="0"/>
            </w:tcBorders>
          </w:tcPr>
          <w:p w:rsidRPr="00375163" w:rsidR="00F45C92" w:rsidP="006A2B2F" w:rsidRDefault="00F45C92" w14:paraId="36AB0E89"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€ 66.667</w:t>
            </w:r>
          </w:p>
        </w:tc>
        <w:tc>
          <w:tcPr>
            <w:tcW w:w="1057" w:type="dxa"/>
            <w:gridSpan w:val="2"/>
            <w:tcBorders>
              <w:bottom w:val="single" w:color="auto" w:sz="4" w:space="0"/>
            </w:tcBorders>
          </w:tcPr>
          <w:p w:rsidRPr="00375163" w:rsidR="00F45C92" w:rsidP="006A2B2F" w:rsidRDefault="00F45C92" w14:paraId="5B597FA0"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€ 83.333</w:t>
            </w:r>
          </w:p>
        </w:tc>
        <w:tc>
          <w:tcPr>
            <w:tcW w:w="1201" w:type="dxa"/>
            <w:gridSpan w:val="2"/>
            <w:tcBorders>
              <w:bottom w:val="single" w:color="auto" w:sz="4" w:space="0"/>
            </w:tcBorders>
          </w:tcPr>
          <w:p w:rsidRPr="00375163" w:rsidR="00F45C92" w:rsidP="006A2B2F" w:rsidRDefault="00F45C92" w14:paraId="1381FF82"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€ 166.667</w:t>
            </w:r>
          </w:p>
        </w:tc>
        <w:tc>
          <w:tcPr>
            <w:tcW w:w="1229" w:type="dxa"/>
            <w:gridSpan w:val="2"/>
            <w:tcBorders>
              <w:bottom w:val="single" w:color="auto" w:sz="4" w:space="0"/>
            </w:tcBorders>
          </w:tcPr>
          <w:p w:rsidRPr="00375163" w:rsidR="00F45C92" w:rsidP="006A2B2F" w:rsidRDefault="00F45C92" w14:paraId="7D33E4A8"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€ 750.000</w:t>
            </w:r>
          </w:p>
        </w:tc>
      </w:tr>
      <w:tr w:rsidRPr="00375163" w:rsidR="00F45C92" w:rsidTr="006A2B2F" w14:paraId="2569A81D" w14:textId="77777777">
        <w:trPr>
          <w:gridAfter w:val="1"/>
          <w:wAfter w:w="27" w:type="dxa"/>
          <w:trHeight w:val="280"/>
        </w:trPr>
        <w:tc>
          <w:tcPr>
            <w:cnfStyle w:val="001000000000" w:firstRow="0" w:lastRow="0" w:firstColumn="1" w:lastColumn="0" w:oddVBand="0" w:evenVBand="0" w:oddHBand="0" w:evenHBand="0" w:firstRowFirstColumn="0" w:firstRowLastColumn="0" w:lastRowFirstColumn="0" w:lastRowLastColumn="0"/>
            <w:tcW w:w="1001" w:type="dxa"/>
            <w:vMerge w:val="restart"/>
            <w:tcBorders>
              <w:top w:val="single" w:color="auto" w:sz="4" w:space="0"/>
            </w:tcBorders>
            <w:textDirection w:val="btLr"/>
          </w:tcPr>
          <w:p w:rsidRPr="00375163" w:rsidR="00F45C92" w:rsidP="006A2B2F" w:rsidRDefault="00F45C92" w14:paraId="5A38BD9D" w14:textId="77777777">
            <w:pPr>
              <w:ind w:left="113" w:right="113"/>
              <w:jc w:val="center"/>
              <w:rPr>
                <w:rFonts w:asciiTheme="majorHAnsi" w:hAnsiTheme="majorHAnsi" w:cstheme="majorHAnsi"/>
                <w:b w:val="0"/>
                <w:bCs w:val="0"/>
                <w:color w:val="000000" w:themeColor="text1"/>
                <w:sz w:val="16"/>
                <w:szCs w:val="16"/>
              </w:rPr>
            </w:pPr>
            <w:r w:rsidRPr="00375163">
              <w:rPr>
                <w:rFonts w:asciiTheme="majorHAnsi" w:hAnsiTheme="majorHAnsi" w:cstheme="majorHAnsi"/>
                <w:b w:val="0"/>
                <w:bCs w:val="0"/>
                <w:color w:val="000000" w:themeColor="text1"/>
                <w:sz w:val="16"/>
                <w:szCs w:val="16"/>
              </w:rPr>
              <w:t xml:space="preserve">Leeftijd langstlevende partner bij overlijden </w:t>
            </w:r>
            <w:proofErr w:type="spellStart"/>
            <w:r w:rsidRPr="00375163">
              <w:rPr>
                <w:rFonts w:asciiTheme="majorHAnsi" w:hAnsiTheme="majorHAnsi" w:cstheme="majorHAnsi"/>
                <w:b w:val="0"/>
                <w:bCs w:val="0"/>
                <w:color w:val="000000" w:themeColor="text1"/>
                <w:sz w:val="16"/>
                <w:szCs w:val="16"/>
              </w:rPr>
              <w:t>kortstlevende</w:t>
            </w:r>
            <w:proofErr w:type="spellEnd"/>
            <w:r w:rsidRPr="00375163">
              <w:rPr>
                <w:rFonts w:asciiTheme="majorHAnsi" w:hAnsiTheme="majorHAnsi" w:cstheme="majorHAnsi"/>
                <w:b w:val="0"/>
                <w:bCs w:val="0"/>
                <w:color w:val="000000" w:themeColor="text1"/>
                <w:sz w:val="16"/>
                <w:szCs w:val="16"/>
              </w:rPr>
              <w:t xml:space="preserve"> partner</w:t>
            </w:r>
          </w:p>
        </w:tc>
        <w:tc>
          <w:tcPr>
            <w:tcW w:w="782" w:type="dxa"/>
            <w:tcBorders>
              <w:top w:val="single" w:color="auto" w:sz="4" w:space="0"/>
            </w:tcBorders>
          </w:tcPr>
          <w:p w:rsidRPr="00375163" w:rsidR="00F45C92" w:rsidP="006A2B2F" w:rsidRDefault="00F45C92" w14:paraId="4DCF1749"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50</w:t>
            </w:r>
          </w:p>
        </w:tc>
        <w:tc>
          <w:tcPr>
            <w:tcW w:w="1053" w:type="dxa"/>
            <w:tcBorders>
              <w:top w:val="single" w:color="auto" w:sz="4" w:space="0"/>
            </w:tcBorders>
            <w:vAlign w:val="bottom"/>
          </w:tcPr>
          <w:p w:rsidRPr="00375163" w:rsidR="00F45C92" w:rsidP="006A2B2F" w:rsidRDefault="00F45C92" w14:paraId="1CBD30E6"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039" w:type="dxa"/>
            <w:tcBorders>
              <w:top w:val="single" w:color="auto" w:sz="4" w:space="0"/>
            </w:tcBorders>
            <w:vAlign w:val="bottom"/>
          </w:tcPr>
          <w:p w:rsidRPr="00375163" w:rsidR="00F45C92" w:rsidP="006A2B2F" w:rsidRDefault="00F45C92" w14:paraId="2109B82E"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042" w:type="dxa"/>
            <w:gridSpan w:val="2"/>
            <w:tcBorders>
              <w:top w:val="single" w:color="auto" w:sz="4" w:space="0"/>
            </w:tcBorders>
            <w:vAlign w:val="bottom"/>
          </w:tcPr>
          <w:p w:rsidRPr="00375163" w:rsidR="00F45C92" w:rsidP="006A2B2F" w:rsidRDefault="00F45C92" w14:paraId="0CEB8146"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046" w:type="dxa"/>
            <w:gridSpan w:val="2"/>
            <w:tcBorders>
              <w:top w:val="single" w:color="auto" w:sz="4" w:space="0"/>
            </w:tcBorders>
            <w:vAlign w:val="bottom"/>
          </w:tcPr>
          <w:p w:rsidRPr="00375163" w:rsidR="00F45C92" w:rsidP="006A2B2F" w:rsidRDefault="00F45C92" w14:paraId="41CB15A0"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057" w:type="dxa"/>
            <w:gridSpan w:val="2"/>
            <w:tcBorders>
              <w:top w:val="single" w:color="auto" w:sz="4" w:space="0"/>
            </w:tcBorders>
            <w:vAlign w:val="bottom"/>
          </w:tcPr>
          <w:p w:rsidRPr="00375163" w:rsidR="00F45C92" w:rsidP="006A2B2F" w:rsidRDefault="00F45C92" w14:paraId="270961A2"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201" w:type="dxa"/>
            <w:gridSpan w:val="2"/>
            <w:tcBorders>
              <w:top w:val="single" w:color="auto" w:sz="4" w:space="0"/>
            </w:tcBorders>
            <w:vAlign w:val="bottom"/>
          </w:tcPr>
          <w:p w:rsidRPr="00375163" w:rsidR="00F45C92" w:rsidP="006A2B2F" w:rsidRDefault="00F45C92" w14:paraId="2DF35AC5"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229" w:type="dxa"/>
            <w:gridSpan w:val="2"/>
            <w:tcBorders>
              <w:top w:val="single" w:color="auto" w:sz="4" w:space="0"/>
            </w:tcBorders>
            <w:vAlign w:val="bottom"/>
          </w:tcPr>
          <w:p w:rsidRPr="00375163" w:rsidR="00F45C92" w:rsidP="006A2B2F" w:rsidRDefault="00F45C92" w14:paraId="6BEE0604"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€ 94.230</w:t>
            </w:r>
          </w:p>
        </w:tc>
      </w:tr>
      <w:tr w:rsidRPr="00375163" w:rsidR="00F45C92" w:rsidTr="006A2B2F" w14:paraId="1190E030"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375163" w:rsidR="00F45C92" w:rsidP="006A2B2F" w:rsidRDefault="00F45C92" w14:paraId="6163204C" w14:textId="77777777">
            <w:pPr>
              <w:jc w:val="center"/>
              <w:rPr>
                <w:rFonts w:asciiTheme="majorHAnsi" w:hAnsiTheme="majorHAnsi" w:cstheme="majorHAnsi"/>
                <w:color w:val="000000" w:themeColor="text1"/>
                <w:sz w:val="16"/>
                <w:szCs w:val="16"/>
              </w:rPr>
            </w:pPr>
          </w:p>
        </w:tc>
        <w:tc>
          <w:tcPr>
            <w:tcW w:w="782" w:type="dxa"/>
          </w:tcPr>
          <w:p w:rsidRPr="00375163" w:rsidR="00F45C92" w:rsidP="006A2B2F" w:rsidRDefault="00F45C92" w14:paraId="32DAF38E"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55</w:t>
            </w:r>
          </w:p>
        </w:tc>
        <w:tc>
          <w:tcPr>
            <w:tcW w:w="1053" w:type="dxa"/>
            <w:vAlign w:val="bottom"/>
          </w:tcPr>
          <w:p w:rsidRPr="00375163" w:rsidR="00F45C92" w:rsidP="006A2B2F" w:rsidRDefault="00F45C92" w14:paraId="14BE504D"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039" w:type="dxa"/>
            <w:vAlign w:val="bottom"/>
          </w:tcPr>
          <w:p w:rsidRPr="00375163" w:rsidR="00F45C92" w:rsidP="006A2B2F" w:rsidRDefault="00F45C92" w14:paraId="641B58E9"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042" w:type="dxa"/>
            <w:gridSpan w:val="2"/>
            <w:vAlign w:val="bottom"/>
          </w:tcPr>
          <w:p w:rsidRPr="00375163" w:rsidR="00F45C92" w:rsidP="006A2B2F" w:rsidRDefault="00F45C92" w14:paraId="082ED2AB"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046" w:type="dxa"/>
            <w:gridSpan w:val="2"/>
            <w:vAlign w:val="bottom"/>
          </w:tcPr>
          <w:p w:rsidRPr="00375163" w:rsidR="00F45C92" w:rsidP="006A2B2F" w:rsidRDefault="00F45C92" w14:paraId="07548C71"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057" w:type="dxa"/>
            <w:gridSpan w:val="2"/>
            <w:vAlign w:val="bottom"/>
          </w:tcPr>
          <w:p w:rsidRPr="00375163" w:rsidR="00F45C92" w:rsidP="006A2B2F" w:rsidRDefault="00F45C92" w14:paraId="519C85DE"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201" w:type="dxa"/>
            <w:gridSpan w:val="2"/>
            <w:vAlign w:val="bottom"/>
          </w:tcPr>
          <w:p w:rsidRPr="00375163" w:rsidR="00F45C92" w:rsidP="006A2B2F" w:rsidRDefault="00F45C92" w14:paraId="7CC8860A"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229" w:type="dxa"/>
            <w:gridSpan w:val="2"/>
            <w:vAlign w:val="bottom"/>
          </w:tcPr>
          <w:p w:rsidRPr="00375163" w:rsidR="00F45C92" w:rsidP="006A2B2F" w:rsidRDefault="00F45C92" w14:paraId="33CB1928"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€ 77.760</w:t>
            </w:r>
          </w:p>
        </w:tc>
      </w:tr>
      <w:tr w:rsidRPr="00375163" w:rsidR="00F45C92" w:rsidTr="006A2B2F" w14:paraId="5A312703"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375163" w:rsidR="00F45C92" w:rsidP="006A2B2F" w:rsidRDefault="00F45C92" w14:paraId="7DF53DF1" w14:textId="77777777">
            <w:pPr>
              <w:jc w:val="center"/>
              <w:rPr>
                <w:rFonts w:asciiTheme="majorHAnsi" w:hAnsiTheme="majorHAnsi" w:cstheme="majorHAnsi"/>
                <w:color w:val="000000" w:themeColor="text1"/>
                <w:sz w:val="16"/>
                <w:szCs w:val="16"/>
              </w:rPr>
            </w:pPr>
          </w:p>
        </w:tc>
        <w:tc>
          <w:tcPr>
            <w:tcW w:w="782" w:type="dxa"/>
          </w:tcPr>
          <w:p w:rsidRPr="00375163" w:rsidR="00F45C92" w:rsidP="006A2B2F" w:rsidRDefault="00F45C92" w14:paraId="445642B5"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60</w:t>
            </w:r>
          </w:p>
        </w:tc>
        <w:tc>
          <w:tcPr>
            <w:tcW w:w="1053" w:type="dxa"/>
            <w:vAlign w:val="bottom"/>
          </w:tcPr>
          <w:p w:rsidRPr="00375163" w:rsidR="00F45C92" w:rsidP="006A2B2F" w:rsidRDefault="00F45C92" w14:paraId="3C49F2D8"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039" w:type="dxa"/>
            <w:vAlign w:val="bottom"/>
          </w:tcPr>
          <w:p w:rsidRPr="00375163" w:rsidR="00F45C92" w:rsidP="006A2B2F" w:rsidRDefault="00F45C92" w14:paraId="7BF6212E"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042" w:type="dxa"/>
            <w:gridSpan w:val="2"/>
            <w:vAlign w:val="bottom"/>
          </w:tcPr>
          <w:p w:rsidRPr="00375163" w:rsidR="00F45C92" w:rsidP="006A2B2F" w:rsidRDefault="00F45C92" w14:paraId="2C63E450"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046" w:type="dxa"/>
            <w:gridSpan w:val="2"/>
            <w:vAlign w:val="bottom"/>
          </w:tcPr>
          <w:p w:rsidRPr="00375163" w:rsidR="00F45C92" w:rsidP="006A2B2F" w:rsidRDefault="00F45C92" w14:paraId="0F3A9B9F"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057" w:type="dxa"/>
            <w:gridSpan w:val="2"/>
            <w:vAlign w:val="bottom"/>
          </w:tcPr>
          <w:p w:rsidRPr="00375163" w:rsidR="00F45C92" w:rsidP="006A2B2F" w:rsidRDefault="00F45C92" w14:paraId="5670CBF9"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201" w:type="dxa"/>
            <w:gridSpan w:val="2"/>
            <w:vAlign w:val="bottom"/>
          </w:tcPr>
          <w:p w:rsidRPr="00375163" w:rsidR="00F45C92" w:rsidP="006A2B2F" w:rsidRDefault="00F45C92" w14:paraId="404DE58D"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229" w:type="dxa"/>
            <w:gridSpan w:val="2"/>
            <w:vAlign w:val="bottom"/>
          </w:tcPr>
          <w:p w:rsidRPr="00375163" w:rsidR="00F45C92" w:rsidP="006A2B2F" w:rsidRDefault="00F45C92" w14:paraId="076C20C0"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€ 49.800</w:t>
            </w:r>
          </w:p>
        </w:tc>
      </w:tr>
      <w:tr w:rsidRPr="00375163" w:rsidR="00F45C92" w:rsidTr="006A2B2F" w14:paraId="2052597F"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375163" w:rsidR="00F45C92" w:rsidP="006A2B2F" w:rsidRDefault="00F45C92" w14:paraId="2AB27FF3" w14:textId="77777777">
            <w:pPr>
              <w:jc w:val="center"/>
              <w:rPr>
                <w:rFonts w:asciiTheme="majorHAnsi" w:hAnsiTheme="majorHAnsi" w:cstheme="majorHAnsi"/>
                <w:color w:val="000000" w:themeColor="text1"/>
                <w:sz w:val="16"/>
                <w:szCs w:val="16"/>
              </w:rPr>
            </w:pPr>
          </w:p>
        </w:tc>
        <w:tc>
          <w:tcPr>
            <w:tcW w:w="782" w:type="dxa"/>
          </w:tcPr>
          <w:p w:rsidRPr="00375163" w:rsidR="00F45C92" w:rsidP="006A2B2F" w:rsidRDefault="00F45C92" w14:paraId="1CE3494C"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65</w:t>
            </w:r>
          </w:p>
        </w:tc>
        <w:tc>
          <w:tcPr>
            <w:tcW w:w="1053" w:type="dxa"/>
            <w:vAlign w:val="bottom"/>
          </w:tcPr>
          <w:p w:rsidRPr="00375163" w:rsidR="00F45C92" w:rsidP="006A2B2F" w:rsidRDefault="00F45C92" w14:paraId="567FAF0A"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39" w:type="dxa"/>
            <w:vAlign w:val="bottom"/>
          </w:tcPr>
          <w:p w:rsidRPr="00375163" w:rsidR="00F45C92" w:rsidP="006A2B2F" w:rsidRDefault="00F45C92" w14:paraId="7B6B08F1"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42" w:type="dxa"/>
            <w:gridSpan w:val="2"/>
            <w:vAlign w:val="bottom"/>
          </w:tcPr>
          <w:p w:rsidRPr="00375163" w:rsidR="00F45C92" w:rsidP="006A2B2F" w:rsidRDefault="00F45C92" w14:paraId="5442FE7C"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46" w:type="dxa"/>
            <w:gridSpan w:val="2"/>
            <w:vAlign w:val="bottom"/>
          </w:tcPr>
          <w:p w:rsidRPr="00375163" w:rsidR="00F45C92" w:rsidP="006A2B2F" w:rsidRDefault="00F45C92" w14:paraId="2929BB7B"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57" w:type="dxa"/>
            <w:gridSpan w:val="2"/>
            <w:vAlign w:val="bottom"/>
          </w:tcPr>
          <w:p w:rsidRPr="00375163" w:rsidR="00F45C92" w:rsidP="006A2B2F" w:rsidRDefault="00F45C92" w14:paraId="410A2EC2"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201" w:type="dxa"/>
            <w:gridSpan w:val="2"/>
            <w:vAlign w:val="bottom"/>
          </w:tcPr>
          <w:p w:rsidRPr="00375163" w:rsidR="00F45C92" w:rsidP="006A2B2F" w:rsidRDefault="00F45C92" w14:paraId="3EB0907C"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229" w:type="dxa"/>
            <w:gridSpan w:val="2"/>
            <w:vAlign w:val="bottom"/>
          </w:tcPr>
          <w:p w:rsidRPr="00375163" w:rsidR="00F45C92" w:rsidP="006A2B2F" w:rsidRDefault="00F45C92" w14:paraId="16A3ADE1"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€ 51.330</w:t>
            </w:r>
          </w:p>
        </w:tc>
      </w:tr>
      <w:tr w:rsidRPr="00375163" w:rsidR="00F45C92" w:rsidTr="006A2B2F" w14:paraId="03C03825"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375163" w:rsidR="00F45C92" w:rsidP="006A2B2F" w:rsidRDefault="00F45C92" w14:paraId="12401EED" w14:textId="77777777">
            <w:pPr>
              <w:jc w:val="center"/>
              <w:rPr>
                <w:rFonts w:asciiTheme="majorHAnsi" w:hAnsiTheme="majorHAnsi" w:cstheme="majorHAnsi"/>
                <w:color w:val="000000" w:themeColor="text1"/>
                <w:sz w:val="16"/>
                <w:szCs w:val="16"/>
              </w:rPr>
            </w:pPr>
          </w:p>
        </w:tc>
        <w:tc>
          <w:tcPr>
            <w:tcW w:w="782" w:type="dxa"/>
          </w:tcPr>
          <w:p w:rsidRPr="00375163" w:rsidR="00F45C92" w:rsidP="006A2B2F" w:rsidRDefault="00F45C92" w14:paraId="40EF3002"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70</w:t>
            </w:r>
          </w:p>
        </w:tc>
        <w:tc>
          <w:tcPr>
            <w:tcW w:w="1053" w:type="dxa"/>
            <w:vAlign w:val="bottom"/>
          </w:tcPr>
          <w:p w:rsidRPr="00375163" w:rsidR="00F45C92" w:rsidP="006A2B2F" w:rsidRDefault="00F45C92" w14:paraId="33118243"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39" w:type="dxa"/>
            <w:vAlign w:val="bottom"/>
          </w:tcPr>
          <w:p w:rsidRPr="00375163" w:rsidR="00F45C92" w:rsidP="006A2B2F" w:rsidRDefault="00F45C92" w14:paraId="41BF0D65"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42" w:type="dxa"/>
            <w:gridSpan w:val="2"/>
            <w:vAlign w:val="bottom"/>
          </w:tcPr>
          <w:p w:rsidRPr="00375163" w:rsidR="00F45C92" w:rsidP="006A2B2F" w:rsidRDefault="00F45C92" w14:paraId="5971B95A"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46" w:type="dxa"/>
            <w:gridSpan w:val="2"/>
            <w:vAlign w:val="bottom"/>
          </w:tcPr>
          <w:p w:rsidRPr="00375163" w:rsidR="00F45C92" w:rsidP="006A2B2F" w:rsidRDefault="00F45C92" w14:paraId="7AE08D7B"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57" w:type="dxa"/>
            <w:gridSpan w:val="2"/>
            <w:vAlign w:val="bottom"/>
          </w:tcPr>
          <w:p w:rsidRPr="00375163" w:rsidR="00F45C92" w:rsidP="006A2B2F" w:rsidRDefault="00F45C92" w14:paraId="13A09515"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201" w:type="dxa"/>
            <w:gridSpan w:val="2"/>
            <w:vAlign w:val="bottom"/>
          </w:tcPr>
          <w:p w:rsidRPr="00375163" w:rsidR="00F45C92" w:rsidP="006A2B2F" w:rsidRDefault="00F45C92" w14:paraId="1284019A"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229" w:type="dxa"/>
            <w:gridSpan w:val="2"/>
            <w:vAlign w:val="bottom"/>
          </w:tcPr>
          <w:p w:rsidRPr="00375163" w:rsidR="00F45C92" w:rsidP="006A2B2F" w:rsidRDefault="00F45C92" w14:paraId="6D3E228C"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€ 34.860</w:t>
            </w:r>
          </w:p>
        </w:tc>
      </w:tr>
      <w:tr w:rsidRPr="00375163" w:rsidR="00F45C92" w:rsidTr="006A2B2F" w14:paraId="519099F9"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375163" w:rsidR="00F45C92" w:rsidP="006A2B2F" w:rsidRDefault="00F45C92" w14:paraId="00368A7C" w14:textId="77777777">
            <w:pPr>
              <w:jc w:val="center"/>
              <w:rPr>
                <w:rFonts w:asciiTheme="majorHAnsi" w:hAnsiTheme="majorHAnsi" w:cstheme="majorHAnsi"/>
                <w:color w:val="000000" w:themeColor="text1"/>
                <w:sz w:val="16"/>
                <w:szCs w:val="16"/>
              </w:rPr>
            </w:pPr>
          </w:p>
        </w:tc>
        <w:tc>
          <w:tcPr>
            <w:tcW w:w="782" w:type="dxa"/>
          </w:tcPr>
          <w:p w:rsidRPr="00375163" w:rsidR="00F45C92" w:rsidP="006A2B2F" w:rsidRDefault="00F45C92" w14:paraId="476B5C83"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75</w:t>
            </w:r>
          </w:p>
        </w:tc>
        <w:tc>
          <w:tcPr>
            <w:tcW w:w="1053" w:type="dxa"/>
            <w:vAlign w:val="bottom"/>
          </w:tcPr>
          <w:p w:rsidRPr="00375163" w:rsidR="00F45C92" w:rsidP="006A2B2F" w:rsidRDefault="00F45C92" w14:paraId="7CC8E089"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39" w:type="dxa"/>
            <w:vAlign w:val="bottom"/>
          </w:tcPr>
          <w:p w:rsidRPr="00375163" w:rsidR="00F45C92" w:rsidP="006A2B2F" w:rsidRDefault="00F45C92" w14:paraId="415AD2EB"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42" w:type="dxa"/>
            <w:gridSpan w:val="2"/>
            <w:vAlign w:val="bottom"/>
          </w:tcPr>
          <w:p w:rsidRPr="00375163" w:rsidR="00F45C92" w:rsidP="006A2B2F" w:rsidRDefault="00F45C92" w14:paraId="545A519E"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46" w:type="dxa"/>
            <w:gridSpan w:val="2"/>
            <w:vAlign w:val="bottom"/>
          </w:tcPr>
          <w:p w:rsidRPr="00375163" w:rsidR="00F45C92" w:rsidP="006A2B2F" w:rsidRDefault="00F45C92" w14:paraId="27FA08D8"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57" w:type="dxa"/>
            <w:gridSpan w:val="2"/>
            <w:vAlign w:val="bottom"/>
          </w:tcPr>
          <w:p w:rsidRPr="00375163" w:rsidR="00F45C92" w:rsidP="006A2B2F" w:rsidRDefault="00F45C92" w14:paraId="3E321645"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201" w:type="dxa"/>
            <w:gridSpan w:val="2"/>
            <w:vAlign w:val="bottom"/>
          </w:tcPr>
          <w:p w:rsidRPr="00375163" w:rsidR="00F45C92" w:rsidP="006A2B2F" w:rsidRDefault="00F45C92" w14:paraId="228D19B4"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229" w:type="dxa"/>
            <w:gridSpan w:val="2"/>
            <w:vAlign w:val="bottom"/>
          </w:tcPr>
          <w:p w:rsidRPr="00375163" w:rsidR="00F45C92" w:rsidP="006A2B2F" w:rsidRDefault="00F45C92" w14:paraId="1A1FD08E"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€ 24.900</w:t>
            </w:r>
          </w:p>
        </w:tc>
      </w:tr>
      <w:tr w:rsidRPr="00375163" w:rsidR="00F45C92" w:rsidTr="006A2B2F" w14:paraId="05F78BFE"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375163" w:rsidR="00F45C92" w:rsidP="006A2B2F" w:rsidRDefault="00F45C92" w14:paraId="336FBCC0" w14:textId="77777777">
            <w:pPr>
              <w:jc w:val="center"/>
              <w:rPr>
                <w:rFonts w:asciiTheme="majorHAnsi" w:hAnsiTheme="majorHAnsi" w:cstheme="majorHAnsi"/>
                <w:color w:val="000000" w:themeColor="text1"/>
                <w:sz w:val="16"/>
                <w:szCs w:val="16"/>
              </w:rPr>
            </w:pPr>
          </w:p>
        </w:tc>
        <w:tc>
          <w:tcPr>
            <w:tcW w:w="782" w:type="dxa"/>
          </w:tcPr>
          <w:p w:rsidRPr="00375163" w:rsidR="00F45C92" w:rsidP="006A2B2F" w:rsidRDefault="00F45C92" w14:paraId="60A8DCAD"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80</w:t>
            </w:r>
          </w:p>
        </w:tc>
        <w:tc>
          <w:tcPr>
            <w:tcW w:w="1053" w:type="dxa"/>
            <w:vAlign w:val="bottom"/>
          </w:tcPr>
          <w:p w:rsidRPr="00375163" w:rsidR="00F45C92" w:rsidP="006A2B2F" w:rsidRDefault="00F45C92" w14:paraId="4926CB43"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39" w:type="dxa"/>
            <w:vAlign w:val="bottom"/>
          </w:tcPr>
          <w:p w:rsidRPr="00375163" w:rsidR="00F45C92" w:rsidP="006A2B2F" w:rsidRDefault="00F45C92" w14:paraId="7050B130"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42" w:type="dxa"/>
            <w:gridSpan w:val="2"/>
            <w:vAlign w:val="bottom"/>
          </w:tcPr>
          <w:p w:rsidRPr="00375163" w:rsidR="00F45C92" w:rsidP="006A2B2F" w:rsidRDefault="00F45C92" w14:paraId="62AA7532"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46" w:type="dxa"/>
            <w:gridSpan w:val="2"/>
            <w:vAlign w:val="bottom"/>
          </w:tcPr>
          <w:p w:rsidRPr="00375163" w:rsidR="00F45C92" w:rsidP="006A2B2F" w:rsidRDefault="00F45C92" w14:paraId="405EFB9F"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57" w:type="dxa"/>
            <w:gridSpan w:val="2"/>
            <w:vAlign w:val="bottom"/>
          </w:tcPr>
          <w:p w:rsidRPr="00375163" w:rsidR="00F45C92" w:rsidP="006A2B2F" w:rsidRDefault="00F45C92" w14:paraId="16E7D14A"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201" w:type="dxa"/>
            <w:gridSpan w:val="2"/>
            <w:vAlign w:val="bottom"/>
          </w:tcPr>
          <w:p w:rsidRPr="00375163" w:rsidR="00F45C92" w:rsidP="006A2B2F" w:rsidRDefault="00F45C92" w14:paraId="5654C525"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229" w:type="dxa"/>
            <w:gridSpan w:val="2"/>
            <w:vAlign w:val="bottom"/>
          </w:tcPr>
          <w:p w:rsidRPr="00375163" w:rsidR="00F45C92" w:rsidP="006A2B2F" w:rsidRDefault="00F45C92" w14:paraId="0D1BFE4D"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€ 8.430</w:t>
            </w:r>
          </w:p>
        </w:tc>
      </w:tr>
      <w:tr w:rsidRPr="00375163" w:rsidR="00F45C92" w:rsidTr="006A2B2F" w14:paraId="7A6050FB"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375163" w:rsidR="00F45C92" w:rsidP="006A2B2F" w:rsidRDefault="00F45C92" w14:paraId="04C255B6" w14:textId="77777777">
            <w:pPr>
              <w:jc w:val="center"/>
              <w:rPr>
                <w:rFonts w:asciiTheme="majorHAnsi" w:hAnsiTheme="majorHAnsi" w:cstheme="majorHAnsi"/>
                <w:color w:val="000000" w:themeColor="text1"/>
                <w:sz w:val="16"/>
                <w:szCs w:val="16"/>
              </w:rPr>
            </w:pPr>
          </w:p>
        </w:tc>
        <w:tc>
          <w:tcPr>
            <w:tcW w:w="782" w:type="dxa"/>
          </w:tcPr>
          <w:p w:rsidRPr="00375163" w:rsidR="00F45C92" w:rsidP="006A2B2F" w:rsidRDefault="00F45C92" w14:paraId="2E5ED0B4"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85</w:t>
            </w:r>
          </w:p>
        </w:tc>
        <w:tc>
          <w:tcPr>
            <w:tcW w:w="1053" w:type="dxa"/>
            <w:vAlign w:val="bottom"/>
          </w:tcPr>
          <w:p w:rsidRPr="00375163" w:rsidR="00F45C92" w:rsidP="006A2B2F" w:rsidRDefault="00F45C92" w14:paraId="06795BF7"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39" w:type="dxa"/>
            <w:vAlign w:val="bottom"/>
          </w:tcPr>
          <w:p w:rsidRPr="00375163" w:rsidR="00F45C92" w:rsidP="006A2B2F" w:rsidRDefault="00F45C92" w14:paraId="78C9CCA6"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42" w:type="dxa"/>
            <w:gridSpan w:val="2"/>
            <w:vAlign w:val="bottom"/>
          </w:tcPr>
          <w:p w:rsidRPr="00375163" w:rsidR="00F45C92" w:rsidP="006A2B2F" w:rsidRDefault="00F45C92" w14:paraId="70BCE5CD"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46" w:type="dxa"/>
            <w:gridSpan w:val="2"/>
            <w:vAlign w:val="bottom"/>
          </w:tcPr>
          <w:p w:rsidRPr="00375163" w:rsidR="00F45C92" w:rsidP="006A2B2F" w:rsidRDefault="00F45C92" w14:paraId="19C8E016"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57" w:type="dxa"/>
            <w:gridSpan w:val="2"/>
            <w:vAlign w:val="bottom"/>
          </w:tcPr>
          <w:p w:rsidRPr="00375163" w:rsidR="00F45C92" w:rsidP="006A2B2F" w:rsidRDefault="00F45C92" w14:paraId="4A497426"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201" w:type="dxa"/>
            <w:gridSpan w:val="2"/>
            <w:vAlign w:val="bottom"/>
          </w:tcPr>
          <w:p w:rsidRPr="00375163" w:rsidR="00F45C92" w:rsidP="006A2B2F" w:rsidRDefault="00F45C92" w14:paraId="7EF9AC91"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229" w:type="dxa"/>
            <w:gridSpan w:val="2"/>
            <w:vAlign w:val="bottom"/>
          </w:tcPr>
          <w:p w:rsidRPr="00375163" w:rsidR="00F45C92" w:rsidP="006A2B2F" w:rsidRDefault="00F45C92" w14:paraId="4B5E43EA"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€ 3.450</w:t>
            </w:r>
          </w:p>
        </w:tc>
      </w:tr>
      <w:tr w:rsidRPr="00375163" w:rsidR="00F45C92" w:rsidTr="006A2B2F" w14:paraId="62057D4D"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375163" w:rsidR="00F45C92" w:rsidP="006A2B2F" w:rsidRDefault="00F45C92" w14:paraId="5C0F9961" w14:textId="77777777">
            <w:pPr>
              <w:jc w:val="center"/>
              <w:rPr>
                <w:rFonts w:asciiTheme="majorHAnsi" w:hAnsiTheme="majorHAnsi" w:cstheme="majorHAnsi"/>
                <w:color w:val="000000" w:themeColor="text1"/>
                <w:sz w:val="16"/>
                <w:szCs w:val="16"/>
              </w:rPr>
            </w:pPr>
          </w:p>
        </w:tc>
        <w:tc>
          <w:tcPr>
            <w:tcW w:w="782" w:type="dxa"/>
          </w:tcPr>
          <w:p w:rsidRPr="00375163" w:rsidR="00F45C92" w:rsidP="006A2B2F" w:rsidRDefault="00F45C92" w14:paraId="5D7C032A"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90</w:t>
            </w:r>
          </w:p>
        </w:tc>
        <w:tc>
          <w:tcPr>
            <w:tcW w:w="1053" w:type="dxa"/>
            <w:vAlign w:val="bottom"/>
          </w:tcPr>
          <w:p w:rsidRPr="00375163" w:rsidR="00F45C92" w:rsidP="006A2B2F" w:rsidRDefault="00F45C92" w14:paraId="799255CB"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39" w:type="dxa"/>
            <w:vAlign w:val="bottom"/>
          </w:tcPr>
          <w:p w:rsidRPr="00375163" w:rsidR="00F45C92" w:rsidP="006A2B2F" w:rsidRDefault="00F45C92" w14:paraId="7DF25064"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42" w:type="dxa"/>
            <w:gridSpan w:val="2"/>
            <w:vAlign w:val="bottom"/>
          </w:tcPr>
          <w:p w:rsidRPr="00375163" w:rsidR="00F45C92" w:rsidP="006A2B2F" w:rsidRDefault="00F45C92" w14:paraId="54031213"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46" w:type="dxa"/>
            <w:gridSpan w:val="2"/>
            <w:vAlign w:val="bottom"/>
          </w:tcPr>
          <w:p w:rsidRPr="00375163" w:rsidR="00F45C92" w:rsidP="006A2B2F" w:rsidRDefault="00F45C92" w14:paraId="14D94596"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57" w:type="dxa"/>
            <w:gridSpan w:val="2"/>
            <w:vAlign w:val="bottom"/>
          </w:tcPr>
          <w:p w:rsidRPr="00375163" w:rsidR="00F45C92" w:rsidP="006A2B2F" w:rsidRDefault="00F45C92" w14:paraId="6E4F476F"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201" w:type="dxa"/>
            <w:gridSpan w:val="2"/>
            <w:vAlign w:val="bottom"/>
          </w:tcPr>
          <w:p w:rsidRPr="00375163" w:rsidR="00F45C92" w:rsidP="006A2B2F" w:rsidRDefault="00F45C92" w14:paraId="72745326"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229" w:type="dxa"/>
            <w:gridSpan w:val="2"/>
            <w:vAlign w:val="bottom"/>
          </w:tcPr>
          <w:p w:rsidRPr="00375163" w:rsidR="00F45C92" w:rsidP="006A2B2F" w:rsidRDefault="00F45C92" w14:paraId="73A6D34F"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-€ 765</w:t>
            </w:r>
          </w:p>
        </w:tc>
      </w:tr>
    </w:tbl>
    <w:p w:rsidRPr="00375163" w:rsidR="00F45C92" w:rsidP="00F45C92" w:rsidRDefault="00F45C92" w14:paraId="07A4D9B4" w14:textId="77777777">
      <w:pPr>
        <w:spacing w:line="276" w:lineRule="auto"/>
        <w:contextualSpacing/>
        <w:rPr>
          <w:rFonts w:asciiTheme="majorHAnsi" w:hAnsiTheme="majorHAnsi" w:cstheme="majorHAnsi"/>
          <w:sz w:val="16"/>
          <w:szCs w:val="16"/>
        </w:rPr>
      </w:pPr>
      <w:r w:rsidRPr="00375163">
        <w:rPr>
          <w:rFonts w:asciiTheme="majorHAnsi" w:hAnsiTheme="majorHAnsi" w:cstheme="majorHAnsi"/>
          <w:sz w:val="16"/>
          <w:szCs w:val="16"/>
        </w:rPr>
        <w:t xml:space="preserve">Tabel 1.2 Mutatie te betalen erfbelasting per kind bij overlijden </w:t>
      </w:r>
      <w:proofErr w:type="spellStart"/>
      <w:r w:rsidRPr="00375163">
        <w:rPr>
          <w:rFonts w:asciiTheme="majorHAnsi" w:hAnsiTheme="majorHAnsi" w:cstheme="majorHAnsi"/>
          <w:sz w:val="16"/>
          <w:szCs w:val="16"/>
        </w:rPr>
        <w:t>kortstlevende</w:t>
      </w:r>
      <w:proofErr w:type="spellEnd"/>
      <w:r w:rsidRPr="00375163">
        <w:rPr>
          <w:rFonts w:asciiTheme="majorHAnsi" w:hAnsiTheme="majorHAnsi" w:cstheme="majorHAnsi"/>
          <w:sz w:val="16"/>
          <w:szCs w:val="16"/>
        </w:rPr>
        <w:t xml:space="preserve"> partner</w:t>
      </w:r>
    </w:p>
    <w:tbl>
      <w:tblPr>
        <w:tblStyle w:val="Lijsttabel1licht-Accent3"/>
        <w:tblpPr w:leftFromText="141" w:rightFromText="141" w:vertAnchor="text" w:horzAnchor="margin" w:tblpY="116"/>
        <w:tblW w:w="9477" w:type="dxa"/>
        <w:tblLook w:val="04A0" w:firstRow="1" w:lastRow="0" w:firstColumn="1" w:lastColumn="0" w:noHBand="0" w:noVBand="1"/>
      </w:tblPr>
      <w:tblGrid>
        <w:gridCol w:w="1001"/>
        <w:gridCol w:w="782"/>
        <w:gridCol w:w="1053"/>
        <w:gridCol w:w="1039"/>
        <w:gridCol w:w="14"/>
        <w:gridCol w:w="1028"/>
        <w:gridCol w:w="26"/>
        <w:gridCol w:w="1020"/>
        <w:gridCol w:w="34"/>
        <w:gridCol w:w="1023"/>
        <w:gridCol w:w="31"/>
        <w:gridCol w:w="1170"/>
        <w:gridCol w:w="43"/>
        <w:gridCol w:w="1186"/>
        <w:gridCol w:w="27"/>
      </w:tblGrid>
      <w:tr w:rsidRPr="00375163" w:rsidR="00F45C92" w:rsidTr="006A2B2F" w14:paraId="08536669" w14:textId="77777777">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783" w:type="dxa"/>
            <w:gridSpan w:val="2"/>
            <w:tcBorders>
              <w:top w:val="single" w:color="auto" w:sz="4" w:space="0"/>
              <w:bottom w:val="single" w:color="auto" w:sz="4" w:space="0"/>
            </w:tcBorders>
          </w:tcPr>
          <w:p w:rsidRPr="00375163" w:rsidR="00F45C92" w:rsidP="006A2B2F" w:rsidRDefault="00F45C92" w14:paraId="5A4082FD" w14:textId="77777777">
            <w:pPr>
              <w:spacing w:line="276" w:lineRule="auto"/>
              <w:contextualSpacing/>
              <w:rPr>
                <w:rFonts w:asciiTheme="majorHAnsi" w:hAnsiTheme="majorHAnsi" w:cstheme="majorHAnsi"/>
                <w:b w:val="0"/>
                <w:bCs w:val="0"/>
                <w:i/>
                <w:iCs/>
                <w:color w:val="000000" w:themeColor="text1"/>
                <w:sz w:val="16"/>
                <w:szCs w:val="16"/>
              </w:rPr>
            </w:pPr>
            <w:r w:rsidRPr="00375163">
              <w:rPr>
                <w:rFonts w:asciiTheme="majorHAnsi" w:hAnsiTheme="majorHAnsi" w:cstheme="majorHAnsi"/>
                <w:b w:val="0"/>
                <w:bCs w:val="0"/>
                <w:color w:val="000000" w:themeColor="text1"/>
                <w:sz w:val="16"/>
                <w:szCs w:val="16"/>
              </w:rPr>
              <w:t xml:space="preserve">Gemeenschappelijk vermogen ouders </w:t>
            </w:r>
          </w:p>
        </w:tc>
        <w:tc>
          <w:tcPr>
            <w:tcW w:w="1053" w:type="dxa"/>
            <w:tcBorders>
              <w:top w:val="single" w:color="auto" w:sz="4" w:space="0"/>
              <w:bottom w:val="single" w:color="auto" w:sz="4" w:space="0"/>
            </w:tcBorders>
          </w:tcPr>
          <w:p w:rsidRPr="00375163" w:rsidR="00F45C92" w:rsidP="006A2B2F" w:rsidRDefault="00F45C92" w14:paraId="77EE1161"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themeColor="text1"/>
                <w:sz w:val="16"/>
                <w:szCs w:val="16"/>
              </w:rPr>
            </w:pPr>
            <w:r w:rsidRPr="00375163">
              <w:rPr>
                <w:rFonts w:asciiTheme="majorHAnsi" w:hAnsiTheme="majorHAnsi" w:cstheme="majorHAnsi"/>
                <w:color w:val="000000" w:themeColor="text1"/>
                <w:sz w:val="16"/>
                <w:szCs w:val="16"/>
              </w:rPr>
              <w:t>€ </w:t>
            </w:r>
            <w:r w:rsidRPr="00375163">
              <w:rPr>
                <w:rFonts w:asciiTheme="majorHAnsi" w:hAnsiTheme="majorHAnsi" w:cstheme="majorHAnsi"/>
                <w:b w:val="0"/>
                <w:bCs w:val="0"/>
                <w:color w:val="000000" w:themeColor="text1"/>
                <w:sz w:val="16"/>
                <w:szCs w:val="16"/>
              </w:rPr>
              <w:t>100.000</w:t>
            </w:r>
          </w:p>
        </w:tc>
        <w:tc>
          <w:tcPr>
            <w:tcW w:w="1053" w:type="dxa"/>
            <w:gridSpan w:val="2"/>
            <w:tcBorders>
              <w:top w:val="single" w:color="auto" w:sz="4" w:space="0"/>
              <w:bottom w:val="single" w:color="auto" w:sz="4" w:space="0"/>
            </w:tcBorders>
          </w:tcPr>
          <w:p w:rsidRPr="00375163" w:rsidR="00F45C92" w:rsidP="006A2B2F" w:rsidRDefault="00F45C92" w14:paraId="031D9E8B"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themeColor="text1"/>
                <w:sz w:val="16"/>
                <w:szCs w:val="16"/>
              </w:rPr>
            </w:pPr>
            <w:r w:rsidRPr="00375163">
              <w:rPr>
                <w:rFonts w:asciiTheme="majorHAnsi" w:hAnsiTheme="majorHAnsi" w:cstheme="majorHAnsi"/>
                <w:color w:val="000000" w:themeColor="text1"/>
                <w:sz w:val="16"/>
                <w:szCs w:val="16"/>
              </w:rPr>
              <w:t>€ </w:t>
            </w:r>
            <w:r w:rsidRPr="00375163">
              <w:rPr>
                <w:rFonts w:asciiTheme="majorHAnsi" w:hAnsiTheme="majorHAnsi" w:cstheme="majorHAnsi"/>
                <w:b w:val="0"/>
                <w:bCs w:val="0"/>
                <w:color w:val="000000" w:themeColor="text1"/>
                <w:sz w:val="16"/>
                <w:szCs w:val="16"/>
              </w:rPr>
              <w:t>200.000</w:t>
            </w:r>
          </w:p>
        </w:tc>
        <w:tc>
          <w:tcPr>
            <w:tcW w:w="1054" w:type="dxa"/>
            <w:gridSpan w:val="2"/>
            <w:tcBorders>
              <w:top w:val="single" w:color="auto" w:sz="4" w:space="0"/>
              <w:bottom w:val="single" w:color="auto" w:sz="4" w:space="0"/>
            </w:tcBorders>
          </w:tcPr>
          <w:p w:rsidRPr="00375163" w:rsidR="00F45C92" w:rsidP="006A2B2F" w:rsidRDefault="00F45C92" w14:paraId="2257E7FB"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themeColor="text1"/>
                <w:sz w:val="16"/>
                <w:szCs w:val="16"/>
              </w:rPr>
            </w:pPr>
            <w:r w:rsidRPr="00375163">
              <w:rPr>
                <w:rFonts w:asciiTheme="majorHAnsi" w:hAnsiTheme="majorHAnsi" w:cstheme="majorHAnsi"/>
                <w:color w:val="000000" w:themeColor="text1"/>
                <w:sz w:val="16"/>
                <w:szCs w:val="16"/>
              </w:rPr>
              <w:t>€ </w:t>
            </w:r>
            <w:r w:rsidRPr="00375163">
              <w:rPr>
                <w:rFonts w:asciiTheme="majorHAnsi" w:hAnsiTheme="majorHAnsi" w:cstheme="majorHAnsi"/>
                <w:b w:val="0"/>
                <w:bCs w:val="0"/>
                <w:color w:val="000000" w:themeColor="text1"/>
                <w:sz w:val="16"/>
                <w:szCs w:val="16"/>
              </w:rPr>
              <w:t>300.000</w:t>
            </w:r>
          </w:p>
        </w:tc>
        <w:tc>
          <w:tcPr>
            <w:tcW w:w="1054" w:type="dxa"/>
            <w:gridSpan w:val="2"/>
            <w:tcBorders>
              <w:top w:val="single" w:color="auto" w:sz="4" w:space="0"/>
              <w:bottom w:val="single" w:color="auto" w:sz="4" w:space="0"/>
            </w:tcBorders>
          </w:tcPr>
          <w:p w:rsidRPr="00375163" w:rsidR="00F45C92" w:rsidP="006A2B2F" w:rsidRDefault="00F45C92" w14:paraId="216B457B"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themeColor="text1"/>
                <w:sz w:val="16"/>
                <w:szCs w:val="16"/>
              </w:rPr>
            </w:pPr>
            <w:r w:rsidRPr="00375163">
              <w:rPr>
                <w:rFonts w:asciiTheme="majorHAnsi" w:hAnsiTheme="majorHAnsi" w:cstheme="majorHAnsi"/>
                <w:color w:val="000000" w:themeColor="text1"/>
                <w:sz w:val="16"/>
                <w:szCs w:val="16"/>
              </w:rPr>
              <w:t>€ </w:t>
            </w:r>
            <w:r w:rsidRPr="00375163">
              <w:rPr>
                <w:rFonts w:asciiTheme="majorHAnsi" w:hAnsiTheme="majorHAnsi" w:cstheme="majorHAnsi"/>
                <w:b w:val="0"/>
                <w:bCs w:val="0"/>
                <w:color w:val="000000" w:themeColor="text1"/>
                <w:sz w:val="16"/>
                <w:szCs w:val="16"/>
              </w:rPr>
              <w:t>400.000</w:t>
            </w:r>
          </w:p>
        </w:tc>
        <w:tc>
          <w:tcPr>
            <w:tcW w:w="1054" w:type="dxa"/>
            <w:gridSpan w:val="2"/>
            <w:tcBorders>
              <w:top w:val="single" w:color="auto" w:sz="4" w:space="0"/>
              <w:bottom w:val="single" w:color="auto" w:sz="4" w:space="0"/>
            </w:tcBorders>
          </w:tcPr>
          <w:p w:rsidRPr="00375163" w:rsidR="00F45C92" w:rsidP="006A2B2F" w:rsidRDefault="00F45C92" w14:paraId="2B553A21"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themeColor="text1"/>
                <w:sz w:val="16"/>
                <w:szCs w:val="16"/>
              </w:rPr>
            </w:pPr>
            <w:r w:rsidRPr="00375163">
              <w:rPr>
                <w:rFonts w:asciiTheme="majorHAnsi" w:hAnsiTheme="majorHAnsi" w:cstheme="majorHAnsi"/>
                <w:color w:val="000000" w:themeColor="text1"/>
                <w:sz w:val="16"/>
                <w:szCs w:val="16"/>
              </w:rPr>
              <w:t>€ </w:t>
            </w:r>
            <w:r w:rsidRPr="00375163">
              <w:rPr>
                <w:rFonts w:asciiTheme="majorHAnsi" w:hAnsiTheme="majorHAnsi" w:cstheme="majorHAnsi"/>
                <w:b w:val="0"/>
                <w:bCs w:val="0"/>
                <w:color w:val="000000" w:themeColor="text1"/>
                <w:sz w:val="16"/>
                <w:szCs w:val="16"/>
              </w:rPr>
              <w:t>500.000</w:t>
            </w:r>
          </w:p>
        </w:tc>
        <w:tc>
          <w:tcPr>
            <w:tcW w:w="1213" w:type="dxa"/>
            <w:gridSpan w:val="2"/>
            <w:tcBorders>
              <w:top w:val="single" w:color="auto" w:sz="4" w:space="0"/>
              <w:bottom w:val="single" w:color="auto" w:sz="4" w:space="0"/>
            </w:tcBorders>
          </w:tcPr>
          <w:p w:rsidRPr="00375163" w:rsidR="00F45C92" w:rsidP="006A2B2F" w:rsidRDefault="00F45C92" w14:paraId="7FA3D189"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themeColor="text1"/>
                <w:sz w:val="16"/>
                <w:szCs w:val="16"/>
              </w:rPr>
            </w:pPr>
            <w:r w:rsidRPr="00375163">
              <w:rPr>
                <w:rFonts w:asciiTheme="majorHAnsi" w:hAnsiTheme="majorHAnsi" w:cstheme="majorHAnsi"/>
                <w:color w:val="000000" w:themeColor="text1"/>
                <w:sz w:val="16"/>
                <w:szCs w:val="16"/>
              </w:rPr>
              <w:t>€ </w:t>
            </w:r>
            <w:r w:rsidRPr="00375163">
              <w:rPr>
                <w:rFonts w:asciiTheme="majorHAnsi" w:hAnsiTheme="majorHAnsi" w:cstheme="majorHAnsi"/>
                <w:b w:val="0"/>
                <w:bCs w:val="0"/>
                <w:color w:val="000000" w:themeColor="text1"/>
                <w:sz w:val="16"/>
                <w:szCs w:val="16"/>
              </w:rPr>
              <w:t>1.000.000</w:t>
            </w:r>
          </w:p>
        </w:tc>
        <w:tc>
          <w:tcPr>
            <w:tcW w:w="1213" w:type="dxa"/>
            <w:gridSpan w:val="2"/>
            <w:tcBorders>
              <w:top w:val="single" w:color="auto" w:sz="4" w:space="0"/>
              <w:bottom w:val="single" w:color="auto" w:sz="4" w:space="0"/>
            </w:tcBorders>
          </w:tcPr>
          <w:p w:rsidRPr="00375163" w:rsidR="00F45C92" w:rsidP="006A2B2F" w:rsidRDefault="00F45C92" w14:paraId="4AAA74E6"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themeColor="text1"/>
                <w:sz w:val="16"/>
                <w:szCs w:val="16"/>
              </w:rPr>
            </w:pPr>
            <w:r w:rsidRPr="00375163">
              <w:rPr>
                <w:rFonts w:asciiTheme="majorHAnsi" w:hAnsiTheme="majorHAnsi" w:cstheme="majorHAnsi"/>
                <w:color w:val="000000" w:themeColor="text1"/>
                <w:sz w:val="16"/>
                <w:szCs w:val="16"/>
              </w:rPr>
              <w:t>€ 4</w:t>
            </w:r>
            <w:r w:rsidRPr="00375163">
              <w:rPr>
                <w:rFonts w:asciiTheme="majorHAnsi" w:hAnsiTheme="majorHAnsi" w:cstheme="majorHAnsi"/>
                <w:b w:val="0"/>
                <w:bCs w:val="0"/>
                <w:color w:val="000000" w:themeColor="text1"/>
                <w:sz w:val="16"/>
                <w:szCs w:val="16"/>
              </w:rPr>
              <w:t>.500.000</w:t>
            </w:r>
          </w:p>
        </w:tc>
      </w:tr>
      <w:tr w:rsidRPr="00375163" w:rsidR="00F45C92" w:rsidTr="006A2B2F" w14:paraId="2F941C57"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783" w:type="dxa"/>
            <w:gridSpan w:val="2"/>
            <w:tcBorders>
              <w:top w:val="single" w:color="auto" w:sz="4" w:space="0"/>
              <w:bottom w:val="single" w:color="auto" w:sz="4" w:space="0"/>
            </w:tcBorders>
          </w:tcPr>
          <w:p w:rsidRPr="00375163" w:rsidR="00F45C92" w:rsidP="006A2B2F" w:rsidRDefault="00F45C92" w14:paraId="028C8F3C" w14:textId="77777777">
            <w:pPr>
              <w:spacing w:line="276" w:lineRule="auto"/>
              <w:contextualSpacing/>
              <w:rPr>
                <w:rFonts w:asciiTheme="majorHAnsi" w:hAnsiTheme="majorHAnsi" w:cstheme="majorHAnsi"/>
                <w:b w:val="0"/>
                <w:bCs w:val="0"/>
                <w:color w:val="000000" w:themeColor="text1"/>
                <w:sz w:val="16"/>
                <w:szCs w:val="16"/>
              </w:rPr>
            </w:pPr>
            <w:r w:rsidRPr="00375163">
              <w:rPr>
                <w:rFonts w:asciiTheme="majorHAnsi" w:hAnsiTheme="majorHAnsi" w:cstheme="majorHAnsi"/>
                <w:b w:val="0"/>
                <w:bCs w:val="0"/>
                <w:color w:val="000000" w:themeColor="text1"/>
                <w:sz w:val="16"/>
                <w:szCs w:val="16"/>
              </w:rPr>
              <w:t>Erfenis per kind</w:t>
            </w:r>
          </w:p>
        </w:tc>
        <w:tc>
          <w:tcPr>
            <w:tcW w:w="1053" w:type="dxa"/>
            <w:tcBorders>
              <w:top w:val="single" w:color="auto" w:sz="4" w:space="0"/>
              <w:bottom w:val="single" w:color="auto" w:sz="4" w:space="0"/>
            </w:tcBorders>
          </w:tcPr>
          <w:p w:rsidRPr="00375163" w:rsidR="00F45C92" w:rsidP="006A2B2F" w:rsidRDefault="00F45C92" w14:paraId="655F900A"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€ 16.667</w:t>
            </w:r>
          </w:p>
        </w:tc>
        <w:tc>
          <w:tcPr>
            <w:tcW w:w="1039" w:type="dxa"/>
            <w:tcBorders>
              <w:top w:val="single" w:color="auto" w:sz="4" w:space="0"/>
              <w:bottom w:val="single" w:color="auto" w:sz="4" w:space="0"/>
            </w:tcBorders>
          </w:tcPr>
          <w:p w:rsidRPr="00375163" w:rsidR="00F45C92" w:rsidP="006A2B2F" w:rsidRDefault="00F45C92" w14:paraId="1E25C606"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€ 33.333</w:t>
            </w:r>
          </w:p>
        </w:tc>
        <w:tc>
          <w:tcPr>
            <w:tcW w:w="1042" w:type="dxa"/>
            <w:gridSpan w:val="2"/>
            <w:tcBorders>
              <w:top w:val="single" w:color="auto" w:sz="4" w:space="0"/>
              <w:bottom w:val="single" w:color="auto" w:sz="4" w:space="0"/>
            </w:tcBorders>
          </w:tcPr>
          <w:p w:rsidRPr="00375163" w:rsidR="00F45C92" w:rsidP="006A2B2F" w:rsidRDefault="00F45C92" w14:paraId="2A2A9E5C"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€ 50.000</w:t>
            </w:r>
          </w:p>
        </w:tc>
        <w:tc>
          <w:tcPr>
            <w:tcW w:w="1046" w:type="dxa"/>
            <w:gridSpan w:val="2"/>
            <w:tcBorders>
              <w:top w:val="single" w:color="auto" w:sz="4" w:space="0"/>
              <w:bottom w:val="single" w:color="auto" w:sz="4" w:space="0"/>
            </w:tcBorders>
          </w:tcPr>
          <w:p w:rsidRPr="00375163" w:rsidR="00F45C92" w:rsidP="006A2B2F" w:rsidRDefault="00F45C92" w14:paraId="400A0285"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€ 66.667</w:t>
            </w:r>
          </w:p>
        </w:tc>
        <w:tc>
          <w:tcPr>
            <w:tcW w:w="1057" w:type="dxa"/>
            <w:gridSpan w:val="2"/>
            <w:tcBorders>
              <w:top w:val="single" w:color="auto" w:sz="4" w:space="0"/>
              <w:bottom w:val="single" w:color="auto" w:sz="4" w:space="0"/>
            </w:tcBorders>
          </w:tcPr>
          <w:p w:rsidRPr="00375163" w:rsidR="00F45C92" w:rsidP="006A2B2F" w:rsidRDefault="00F45C92" w14:paraId="5B0F6CA6"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€ 83.333</w:t>
            </w:r>
          </w:p>
        </w:tc>
        <w:tc>
          <w:tcPr>
            <w:tcW w:w="1201" w:type="dxa"/>
            <w:gridSpan w:val="2"/>
            <w:tcBorders>
              <w:top w:val="single" w:color="auto" w:sz="4" w:space="0"/>
              <w:bottom w:val="single" w:color="auto" w:sz="4" w:space="0"/>
            </w:tcBorders>
          </w:tcPr>
          <w:p w:rsidRPr="00375163" w:rsidR="00F45C92" w:rsidP="006A2B2F" w:rsidRDefault="00F45C92" w14:paraId="79C80F51"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€ 166.667</w:t>
            </w:r>
          </w:p>
        </w:tc>
        <w:tc>
          <w:tcPr>
            <w:tcW w:w="1229" w:type="dxa"/>
            <w:gridSpan w:val="2"/>
            <w:tcBorders>
              <w:top w:val="single" w:color="auto" w:sz="4" w:space="0"/>
              <w:bottom w:val="single" w:color="auto" w:sz="4" w:space="0"/>
            </w:tcBorders>
          </w:tcPr>
          <w:p w:rsidRPr="00375163" w:rsidR="00F45C92" w:rsidP="006A2B2F" w:rsidRDefault="00F45C92" w14:paraId="0B008FAA"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€ 750.000</w:t>
            </w:r>
          </w:p>
        </w:tc>
      </w:tr>
      <w:tr w:rsidRPr="00375163" w:rsidR="00F45C92" w:rsidTr="006A2B2F" w14:paraId="1973F1BD" w14:textId="77777777">
        <w:trPr>
          <w:gridAfter w:val="1"/>
          <w:wAfter w:w="27" w:type="dxa"/>
          <w:trHeight w:val="280"/>
        </w:trPr>
        <w:tc>
          <w:tcPr>
            <w:cnfStyle w:val="001000000000" w:firstRow="0" w:lastRow="0" w:firstColumn="1" w:lastColumn="0" w:oddVBand="0" w:evenVBand="0" w:oddHBand="0" w:evenHBand="0" w:firstRowFirstColumn="0" w:firstRowLastColumn="0" w:lastRowFirstColumn="0" w:lastRowLastColumn="0"/>
            <w:tcW w:w="1001" w:type="dxa"/>
            <w:vMerge w:val="restart"/>
            <w:tcBorders>
              <w:top w:val="single" w:color="auto" w:sz="4" w:space="0"/>
            </w:tcBorders>
            <w:textDirection w:val="btLr"/>
          </w:tcPr>
          <w:p w:rsidRPr="00375163" w:rsidR="00F45C92" w:rsidP="006A2B2F" w:rsidRDefault="00F45C92" w14:paraId="600FF631" w14:textId="77777777">
            <w:pPr>
              <w:ind w:left="113" w:right="113"/>
              <w:jc w:val="center"/>
              <w:rPr>
                <w:rFonts w:asciiTheme="majorHAnsi" w:hAnsiTheme="majorHAnsi" w:cstheme="majorHAnsi"/>
                <w:b w:val="0"/>
                <w:bCs w:val="0"/>
                <w:color w:val="000000" w:themeColor="text1"/>
                <w:sz w:val="16"/>
                <w:szCs w:val="16"/>
              </w:rPr>
            </w:pPr>
            <w:r w:rsidRPr="00375163">
              <w:rPr>
                <w:rFonts w:asciiTheme="majorHAnsi" w:hAnsiTheme="majorHAnsi" w:cstheme="majorHAnsi"/>
                <w:b w:val="0"/>
                <w:bCs w:val="0"/>
                <w:color w:val="000000" w:themeColor="text1"/>
                <w:sz w:val="16"/>
                <w:szCs w:val="16"/>
              </w:rPr>
              <w:t xml:space="preserve">Leeftijd langstlevende partner bij overlijden </w:t>
            </w:r>
            <w:proofErr w:type="spellStart"/>
            <w:r w:rsidRPr="00375163">
              <w:rPr>
                <w:rFonts w:asciiTheme="majorHAnsi" w:hAnsiTheme="majorHAnsi" w:cstheme="majorHAnsi"/>
                <w:b w:val="0"/>
                <w:bCs w:val="0"/>
                <w:color w:val="000000" w:themeColor="text1"/>
                <w:sz w:val="16"/>
                <w:szCs w:val="16"/>
              </w:rPr>
              <w:t>kortstlevende</w:t>
            </w:r>
            <w:proofErr w:type="spellEnd"/>
            <w:r w:rsidRPr="00375163">
              <w:rPr>
                <w:rFonts w:asciiTheme="majorHAnsi" w:hAnsiTheme="majorHAnsi" w:cstheme="majorHAnsi"/>
                <w:b w:val="0"/>
                <w:bCs w:val="0"/>
                <w:color w:val="000000" w:themeColor="text1"/>
                <w:sz w:val="16"/>
                <w:szCs w:val="16"/>
              </w:rPr>
              <w:t xml:space="preserve"> partner</w:t>
            </w:r>
          </w:p>
        </w:tc>
        <w:tc>
          <w:tcPr>
            <w:tcW w:w="782" w:type="dxa"/>
            <w:tcBorders>
              <w:top w:val="single" w:color="auto" w:sz="4" w:space="0"/>
            </w:tcBorders>
          </w:tcPr>
          <w:p w:rsidRPr="00375163" w:rsidR="00F45C92" w:rsidP="006A2B2F" w:rsidRDefault="00F45C92" w14:paraId="5F64A5AB"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50</w:t>
            </w:r>
          </w:p>
        </w:tc>
        <w:tc>
          <w:tcPr>
            <w:tcW w:w="1053" w:type="dxa"/>
            <w:tcBorders>
              <w:top w:val="single" w:color="auto" w:sz="4" w:space="0"/>
            </w:tcBorders>
            <w:vAlign w:val="bottom"/>
          </w:tcPr>
          <w:p w:rsidRPr="00375163" w:rsidR="00F45C92" w:rsidP="006A2B2F" w:rsidRDefault="00F45C92" w14:paraId="3334723B"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039" w:type="dxa"/>
            <w:tcBorders>
              <w:top w:val="single" w:color="auto" w:sz="4" w:space="0"/>
            </w:tcBorders>
            <w:vAlign w:val="bottom"/>
          </w:tcPr>
          <w:p w:rsidRPr="00375163" w:rsidR="00F45C92" w:rsidP="006A2B2F" w:rsidRDefault="00F45C92" w14:paraId="7E0F047E"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042" w:type="dxa"/>
            <w:gridSpan w:val="2"/>
            <w:tcBorders>
              <w:top w:val="single" w:color="auto" w:sz="4" w:space="0"/>
            </w:tcBorders>
            <w:vAlign w:val="bottom"/>
          </w:tcPr>
          <w:p w:rsidRPr="00375163" w:rsidR="00F45C92" w:rsidP="006A2B2F" w:rsidRDefault="00F45C92" w14:paraId="212C456B"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046" w:type="dxa"/>
            <w:gridSpan w:val="2"/>
            <w:tcBorders>
              <w:top w:val="single" w:color="auto" w:sz="4" w:space="0"/>
            </w:tcBorders>
            <w:vAlign w:val="bottom"/>
          </w:tcPr>
          <w:p w:rsidRPr="00375163" w:rsidR="00F45C92" w:rsidP="006A2B2F" w:rsidRDefault="00F45C92" w14:paraId="3A6FE639"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057" w:type="dxa"/>
            <w:gridSpan w:val="2"/>
            <w:tcBorders>
              <w:top w:val="single" w:color="auto" w:sz="4" w:space="0"/>
            </w:tcBorders>
            <w:vAlign w:val="bottom"/>
          </w:tcPr>
          <w:p w:rsidRPr="00375163" w:rsidR="00F45C92" w:rsidP="006A2B2F" w:rsidRDefault="00F45C92" w14:paraId="71DFF611"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201" w:type="dxa"/>
            <w:gridSpan w:val="2"/>
            <w:tcBorders>
              <w:top w:val="single" w:color="auto" w:sz="4" w:space="0"/>
            </w:tcBorders>
            <w:vAlign w:val="bottom"/>
          </w:tcPr>
          <w:p w:rsidRPr="00375163" w:rsidR="00F45C92" w:rsidP="006A2B2F" w:rsidRDefault="00F45C92" w14:paraId="37EFD074"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-€ 2.118</w:t>
            </w:r>
          </w:p>
        </w:tc>
        <w:tc>
          <w:tcPr>
            <w:tcW w:w="1229" w:type="dxa"/>
            <w:gridSpan w:val="2"/>
            <w:tcBorders>
              <w:top w:val="single" w:color="auto" w:sz="4" w:space="0"/>
            </w:tcBorders>
            <w:vAlign w:val="bottom"/>
          </w:tcPr>
          <w:p w:rsidRPr="00375163" w:rsidR="00F45C92" w:rsidP="006A2B2F" w:rsidRDefault="00F45C92" w14:paraId="061CC9BC"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-€ 21.482</w:t>
            </w:r>
          </w:p>
        </w:tc>
      </w:tr>
      <w:tr w:rsidRPr="00375163" w:rsidR="00F45C92" w:rsidTr="006A2B2F" w14:paraId="7017FAE9"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375163" w:rsidR="00F45C92" w:rsidP="006A2B2F" w:rsidRDefault="00F45C92" w14:paraId="100D9B3B" w14:textId="77777777">
            <w:pPr>
              <w:jc w:val="center"/>
              <w:rPr>
                <w:rFonts w:asciiTheme="majorHAnsi" w:hAnsiTheme="majorHAnsi" w:cstheme="majorHAnsi"/>
                <w:color w:val="000000" w:themeColor="text1"/>
                <w:sz w:val="16"/>
                <w:szCs w:val="16"/>
              </w:rPr>
            </w:pPr>
          </w:p>
        </w:tc>
        <w:tc>
          <w:tcPr>
            <w:tcW w:w="782" w:type="dxa"/>
          </w:tcPr>
          <w:p w:rsidRPr="00375163" w:rsidR="00F45C92" w:rsidP="006A2B2F" w:rsidRDefault="00F45C92" w14:paraId="7508E96B"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55</w:t>
            </w:r>
          </w:p>
        </w:tc>
        <w:tc>
          <w:tcPr>
            <w:tcW w:w="1053" w:type="dxa"/>
            <w:vAlign w:val="bottom"/>
          </w:tcPr>
          <w:p w:rsidRPr="00375163" w:rsidR="00F45C92" w:rsidP="006A2B2F" w:rsidRDefault="00F45C92" w14:paraId="71EF968B"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039" w:type="dxa"/>
            <w:vAlign w:val="bottom"/>
          </w:tcPr>
          <w:p w:rsidRPr="00375163" w:rsidR="00F45C92" w:rsidP="006A2B2F" w:rsidRDefault="00F45C92" w14:paraId="0F6F4943"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042" w:type="dxa"/>
            <w:gridSpan w:val="2"/>
            <w:vAlign w:val="bottom"/>
          </w:tcPr>
          <w:p w:rsidRPr="00375163" w:rsidR="00F45C92" w:rsidP="006A2B2F" w:rsidRDefault="00F45C92" w14:paraId="3B5A3F12"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046" w:type="dxa"/>
            <w:gridSpan w:val="2"/>
            <w:vAlign w:val="bottom"/>
          </w:tcPr>
          <w:p w:rsidRPr="00375163" w:rsidR="00F45C92" w:rsidP="006A2B2F" w:rsidRDefault="00F45C92" w14:paraId="10326411"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057" w:type="dxa"/>
            <w:gridSpan w:val="2"/>
            <w:vAlign w:val="bottom"/>
          </w:tcPr>
          <w:p w:rsidRPr="00375163" w:rsidR="00F45C92" w:rsidP="006A2B2F" w:rsidRDefault="00F45C92" w14:paraId="7835A16F"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-€ 284</w:t>
            </w:r>
          </w:p>
        </w:tc>
        <w:tc>
          <w:tcPr>
            <w:tcW w:w="1201" w:type="dxa"/>
            <w:gridSpan w:val="2"/>
            <w:vAlign w:val="bottom"/>
          </w:tcPr>
          <w:p w:rsidRPr="00375163" w:rsidR="00F45C92" w:rsidP="006A2B2F" w:rsidRDefault="00F45C92" w14:paraId="3C7F278B"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-€ 3.118</w:t>
            </w:r>
          </w:p>
        </w:tc>
        <w:tc>
          <w:tcPr>
            <w:tcW w:w="1229" w:type="dxa"/>
            <w:gridSpan w:val="2"/>
            <w:vAlign w:val="bottom"/>
          </w:tcPr>
          <w:p w:rsidRPr="00375163" w:rsidR="00F45C92" w:rsidP="006A2B2F" w:rsidRDefault="00F45C92" w14:paraId="751CE206"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-€ 26.971</w:t>
            </w:r>
          </w:p>
        </w:tc>
      </w:tr>
      <w:tr w:rsidRPr="00375163" w:rsidR="00F45C92" w:rsidTr="006A2B2F" w14:paraId="19789656"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375163" w:rsidR="00F45C92" w:rsidP="006A2B2F" w:rsidRDefault="00F45C92" w14:paraId="6301AADD" w14:textId="77777777">
            <w:pPr>
              <w:jc w:val="center"/>
              <w:rPr>
                <w:rFonts w:asciiTheme="majorHAnsi" w:hAnsiTheme="majorHAnsi" w:cstheme="majorHAnsi"/>
                <w:color w:val="000000" w:themeColor="text1"/>
                <w:sz w:val="16"/>
                <w:szCs w:val="16"/>
              </w:rPr>
            </w:pPr>
          </w:p>
        </w:tc>
        <w:tc>
          <w:tcPr>
            <w:tcW w:w="782" w:type="dxa"/>
          </w:tcPr>
          <w:p w:rsidRPr="00375163" w:rsidR="00F45C92" w:rsidP="006A2B2F" w:rsidRDefault="00F45C92" w14:paraId="5204C19E"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60</w:t>
            </w:r>
          </w:p>
        </w:tc>
        <w:tc>
          <w:tcPr>
            <w:tcW w:w="1053" w:type="dxa"/>
            <w:vAlign w:val="bottom"/>
          </w:tcPr>
          <w:p w:rsidRPr="00375163" w:rsidR="00F45C92" w:rsidP="006A2B2F" w:rsidRDefault="00F45C92" w14:paraId="1B84A25E"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039" w:type="dxa"/>
            <w:vAlign w:val="bottom"/>
          </w:tcPr>
          <w:p w:rsidRPr="00375163" w:rsidR="00F45C92" w:rsidP="006A2B2F" w:rsidRDefault="00F45C92" w14:paraId="4A55AD11"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042" w:type="dxa"/>
            <w:gridSpan w:val="2"/>
            <w:vAlign w:val="bottom"/>
          </w:tcPr>
          <w:p w:rsidRPr="00375163" w:rsidR="00F45C92" w:rsidP="006A2B2F" w:rsidRDefault="00F45C92" w14:paraId="53DD3280"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046" w:type="dxa"/>
            <w:gridSpan w:val="2"/>
            <w:vAlign w:val="bottom"/>
          </w:tcPr>
          <w:p w:rsidRPr="00375163" w:rsidR="00F45C92" w:rsidP="006A2B2F" w:rsidRDefault="00F45C92" w14:paraId="67E743B8"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-€ 118</w:t>
            </w:r>
          </w:p>
        </w:tc>
        <w:tc>
          <w:tcPr>
            <w:tcW w:w="1057" w:type="dxa"/>
            <w:gridSpan w:val="2"/>
            <w:vAlign w:val="bottom"/>
          </w:tcPr>
          <w:p w:rsidRPr="00375163" w:rsidR="00F45C92" w:rsidP="006A2B2F" w:rsidRDefault="00F45C92" w14:paraId="2E1DE746"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-€ 784</w:t>
            </w:r>
          </w:p>
        </w:tc>
        <w:tc>
          <w:tcPr>
            <w:tcW w:w="1201" w:type="dxa"/>
            <w:gridSpan w:val="2"/>
            <w:vAlign w:val="bottom"/>
          </w:tcPr>
          <w:p w:rsidRPr="00375163" w:rsidR="00F45C92" w:rsidP="006A2B2F" w:rsidRDefault="00F45C92" w14:paraId="4C3E44D1"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-€ 2.767</w:t>
            </w:r>
          </w:p>
        </w:tc>
        <w:tc>
          <w:tcPr>
            <w:tcW w:w="1229" w:type="dxa"/>
            <w:gridSpan w:val="2"/>
            <w:vAlign w:val="bottom"/>
          </w:tcPr>
          <w:p w:rsidRPr="00375163" w:rsidR="00F45C92" w:rsidP="006A2B2F" w:rsidRDefault="00F45C92" w14:paraId="0BE2DE58"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-€ 24.481</w:t>
            </w:r>
          </w:p>
        </w:tc>
      </w:tr>
      <w:tr w:rsidRPr="00375163" w:rsidR="00F45C92" w:rsidTr="006A2B2F" w14:paraId="3A48ACAB"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375163" w:rsidR="00F45C92" w:rsidP="006A2B2F" w:rsidRDefault="00F45C92" w14:paraId="422C15D8" w14:textId="77777777">
            <w:pPr>
              <w:jc w:val="center"/>
              <w:rPr>
                <w:rFonts w:asciiTheme="majorHAnsi" w:hAnsiTheme="majorHAnsi" w:cstheme="majorHAnsi"/>
                <w:color w:val="000000" w:themeColor="text1"/>
                <w:sz w:val="16"/>
                <w:szCs w:val="16"/>
              </w:rPr>
            </w:pPr>
          </w:p>
        </w:tc>
        <w:tc>
          <w:tcPr>
            <w:tcW w:w="782" w:type="dxa"/>
          </w:tcPr>
          <w:p w:rsidRPr="00375163" w:rsidR="00F45C92" w:rsidP="006A2B2F" w:rsidRDefault="00F45C92" w14:paraId="304EC694"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65</w:t>
            </w:r>
          </w:p>
        </w:tc>
        <w:tc>
          <w:tcPr>
            <w:tcW w:w="1053" w:type="dxa"/>
            <w:vAlign w:val="bottom"/>
          </w:tcPr>
          <w:p w:rsidRPr="00375163" w:rsidR="00F45C92" w:rsidP="006A2B2F" w:rsidRDefault="00F45C92" w14:paraId="5924DDB4"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39" w:type="dxa"/>
            <w:vAlign w:val="bottom"/>
          </w:tcPr>
          <w:p w:rsidRPr="00375163" w:rsidR="00F45C92" w:rsidP="006A2B2F" w:rsidRDefault="00F45C92" w14:paraId="765A163B"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42" w:type="dxa"/>
            <w:gridSpan w:val="2"/>
            <w:vAlign w:val="bottom"/>
          </w:tcPr>
          <w:p w:rsidRPr="00375163" w:rsidR="00F45C92" w:rsidP="006A2B2F" w:rsidRDefault="00F45C92" w14:paraId="7913DF73"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-€ 51</w:t>
            </w:r>
          </w:p>
        </w:tc>
        <w:tc>
          <w:tcPr>
            <w:tcW w:w="1046" w:type="dxa"/>
            <w:gridSpan w:val="2"/>
            <w:vAlign w:val="bottom"/>
          </w:tcPr>
          <w:p w:rsidRPr="00375163" w:rsidR="00F45C92" w:rsidP="006A2B2F" w:rsidRDefault="00F45C92" w14:paraId="0A702F19"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-€ 918</w:t>
            </w:r>
          </w:p>
        </w:tc>
        <w:tc>
          <w:tcPr>
            <w:tcW w:w="1057" w:type="dxa"/>
            <w:gridSpan w:val="2"/>
            <w:vAlign w:val="bottom"/>
          </w:tcPr>
          <w:p w:rsidRPr="00375163" w:rsidR="00F45C92" w:rsidP="006A2B2F" w:rsidRDefault="00F45C92" w14:paraId="0CCB905A"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-€ 1.425</w:t>
            </w:r>
          </w:p>
        </w:tc>
        <w:tc>
          <w:tcPr>
            <w:tcW w:w="1201" w:type="dxa"/>
            <w:gridSpan w:val="2"/>
            <w:vAlign w:val="bottom"/>
          </w:tcPr>
          <w:p w:rsidRPr="00375163" w:rsidR="00F45C92" w:rsidP="006A2B2F" w:rsidRDefault="00F45C92" w14:paraId="786D7DFF"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-€ 2.852</w:t>
            </w:r>
          </w:p>
        </w:tc>
        <w:tc>
          <w:tcPr>
            <w:tcW w:w="1229" w:type="dxa"/>
            <w:gridSpan w:val="2"/>
            <w:vAlign w:val="bottom"/>
          </w:tcPr>
          <w:p w:rsidRPr="00375163" w:rsidR="00F45C92" w:rsidP="006A2B2F" w:rsidRDefault="00F45C92" w14:paraId="1B878D69"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-€ 25.665</w:t>
            </w:r>
          </w:p>
        </w:tc>
      </w:tr>
      <w:tr w:rsidRPr="00375163" w:rsidR="00F45C92" w:rsidTr="006A2B2F" w14:paraId="4C087796"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375163" w:rsidR="00F45C92" w:rsidP="006A2B2F" w:rsidRDefault="00F45C92" w14:paraId="1114E674" w14:textId="77777777">
            <w:pPr>
              <w:jc w:val="center"/>
              <w:rPr>
                <w:rFonts w:asciiTheme="majorHAnsi" w:hAnsiTheme="majorHAnsi" w:cstheme="majorHAnsi"/>
                <w:color w:val="000000" w:themeColor="text1"/>
                <w:sz w:val="16"/>
                <w:szCs w:val="16"/>
              </w:rPr>
            </w:pPr>
          </w:p>
        </w:tc>
        <w:tc>
          <w:tcPr>
            <w:tcW w:w="782" w:type="dxa"/>
          </w:tcPr>
          <w:p w:rsidRPr="00375163" w:rsidR="00F45C92" w:rsidP="006A2B2F" w:rsidRDefault="00F45C92" w14:paraId="69D9AACF"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70</w:t>
            </w:r>
          </w:p>
        </w:tc>
        <w:tc>
          <w:tcPr>
            <w:tcW w:w="1053" w:type="dxa"/>
            <w:vAlign w:val="bottom"/>
          </w:tcPr>
          <w:p w:rsidRPr="00375163" w:rsidR="00F45C92" w:rsidP="006A2B2F" w:rsidRDefault="00F45C92" w14:paraId="5E7AA9A7"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39" w:type="dxa"/>
            <w:vAlign w:val="bottom"/>
          </w:tcPr>
          <w:p w:rsidRPr="00375163" w:rsidR="00F45C92" w:rsidP="006A2B2F" w:rsidRDefault="00F45C92" w14:paraId="22CB5F6F"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42" w:type="dxa"/>
            <w:gridSpan w:val="2"/>
            <w:vAlign w:val="bottom"/>
          </w:tcPr>
          <w:p w:rsidRPr="00375163" w:rsidR="00F45C92" w:rsidP="006A2B2F" w:rsidRDefault="00F45C92" w14:paraId="6F18F126"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-€ 351</w:t>
            </w:r>
          </w:p>
        </w:tc>
        <w:tc>
          <w:tcPr>
            <w:tcW w:w="1046" w:type="dxa"/>
            <w:gridSpan w:val="2"/>
            <w:vAlign w:val="bottom"/>
          </w:tcPr>
          <w:p w:rsidRPr="00375163" w:rsidR="00F45C92" w:rsidP="006A2B2F" w:rsidRDefault="00F45C92" w14:paraId="2AE8381D"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-€ 775</w:t>
            </w:r>
          </w:p>
        </w:tc>
        <w:tc>
          <w:tcPr>
            <w:tcW w:w="1057" w:type="dxa"/>
            <w:gridSpan w:val="2"/>
            <w:vAlign w:val="bottom"/>
          </w:tcPr>
          <w:p w:rsidRPr="00375163" w:rsidR="00F45C92" w:rsidP="006A2B2F" w:rsidRDefault="00F45C92" w14:paraId="29BD8D5F"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-€ 968</w:t>
            </w:r>
          </w:p>
        </w:tc>
        <w:tc>
          <w:tcPr>
            <w:tcW w:w="1201" w:type="dxa"/>
            <w:gridSpan w:val="2"/>
            <w:vAlign w:val="bottom"/>
          </w:tcPr>
          <w:p w:rsidRPr="00375163" w:rsidR="00F45C92" w:rsidP="006A2B2F" w:rsidRDefault="00F45C92" w14:paraId="67E5515F"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-€ 1.937</w:t>
            </w:r>
          </w:p>
        </w:tc>
        <w:tc>
          <w:tcPr>
            <w:tcW w:w="1229" w:type="dxa"/>
            <w:gridSpan w:val="2"/>
            <w:vAlign w:val="bottom"/>
          </w:tcPr>
          <w:p w:rsidRPr="00375163" w:rsidR="00F45C92" w:rsidP="006A2B2F" w:rsidRDefault="00F45C92" w14:paraId="636F9DE0"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-€ 17.430</w:t>
            </w:r>
          </w:p>
        </w:tc>
      </w:tr>
      <w:tr w:rsidRPr="00375163" w:rsidR="00F45C92" w:rsidTr="006A2B2F" w14:paraId="416332F2"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375163" w:rsidR="00F45C92" w:rsidP="006A2B2F" w:rsidRDefault="00F45C92" w14:paraId="7BE08DD4" w14:textId="77777777">
            <w:pPr>
              <w:jc w:val="center"/>
              <w:rPr>
                <w:rFonts w:asciiTheme="majorHAnsi" w:hAnsiTheme="majorHAnsi" w:cstheme="majorHAnsi"/>
                <w:color w:val="000000" w:themeColor="text1"/>
                <w:sz w:val="16"/>
                <w:szCs w:val="16"/>
              </w:rPr>
            </w:pPr>
          </w:p>
        </w:tc>
        <w:tc>
          <w:tcPr>
            <w:tcW w:w="782" w:type="dxa"/>
          </w:tcPr>
          <w:p w:rsidRPr="00375163" w:rsidR="00F45C92" w:rsidP="006A2B2F" w:rsidRDefault="00F45C92" w14:paraId="70AE0422"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75</w:t>
            </w:r>
          </w:p>
        </w:tc>
        <w:tc>
          <w:tcPr>
            <w:tcW w:w="1053" w:type="dxa"/>
            <w:vAlign w:val="bottom"/>
          </w:tcPr>
          <w:p w:rsidRPr="00375163" w:rsidR="00F45C92" w:rsidP="006A2B2F" w:rsidRDefault="00F45C92" w14:paraId="5EE191F2"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39" w:type="dxa"/>
            <w:vAlign w:val="bottom"/>
          </w:tcPr>
          <w:p w:rsidRPr="00375163" w:rsidR="00F45C92" w:rsidP="006A2B2F" w:rsidRDefault="00F45C92" w14:paraId="0EA8EC06"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42" w:type="dxa"/>
            <w:gridSpan w:val="2"/>
            <w:vAlign w:val="bottom"/>
          </w:tcPr>
          <w:p w:rsidRPr="00375163" w:rsidR="00F45C92" w:rsidP="006A2B2F" w:rsidRDefault="00F45C92" w14:paraId="0173665E"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-€ 415</w:t>
            </w:r>
          </w:p>
        </w:tc>
        <w:tc>
          <w:tcPr>
            <w:tcW w:w="1046" w:type="dxa"/>
            <w:gridSpan w:val="2"/>
            <w:vAlign w:val="bottom"/>
          </w:tcPr>
          <w:p w:rsidRPr="00375163" w:rsidR="00F45C92" w:rsidP="006A2B2F" w:rsidRDefault="00F45C92" w14:paraId="432AE2DD"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-€ 554</w:t>
            </w:r>
          </w:p>
        </w:tc>
        <w:tc>
          <w:tcPr>
            <w:tcW w:w="1057" w:type="dxa"/>
            <w:gridSpan w:val="2"/>
            <w:vAlign w:val="bottom"/>
          </w:tcPr>
          <w:p w:rsidRPr="00375163" w:rsidR="00F45C92" w:rsidP="006A2B2F" w:rsidRDefault="00F45C92" w14:paraId="5F4E1366"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-€ 691</w:t>
            </w:r>
          </w:p>
        </w:tc>
        <w:tc>
          <w:tcPr>
            <w:tcW w:w="1201" w:type="dxa"/>
            <w:gridSpan w:val="2"/>
            <w:vAlign w:val="bottom"/>
          </w:tcPr>
          <w:p w:rsidRPr="00375163" w:rsidR="00F45C92" w:rsidP="006A2B2F" w:rsidRDefault="00F45C92" w14:paraId="514B1090"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-€ 1.384</w:t>
            </w:r>
          </w:p>
        </w:tc>
        <w:tc>
          <w:tcPr>
            <w:tcW w:w="1229" w:type="dxa"/>
            <w:gridSpan w:val="2"/>
            <w:vAlign w:val="bottom"/>
          </w:tcPr>
          <w:p w:rsidRPr="00375163" w:rsidR="00F45C92" w:rsidP="006A2B2F" w:rsidRDefault="00F45C92" w14:paraId="47C73C5A"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-€ 12.450</w:t>
            </w:r>
          </w:p>
        </w:tc>
      </w:tr>
      <w:tr w:rsidRPr="00375163" w:rsidR="00F45C92" w:rsidTr="006A2B2F" w14:paraId="4B6CF40A"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375163" w:rsidR="00F45C92" w:rsidP="006A2B2F" w:rsidRDefault="00F45C92" w14:paraId="15A6371F" w14:textId="77777777">
            <w:pPr>
              <w:jc w:val="center"/>
              <w:rPr>
                <w:rFonts w:asciiTheme="majorHAnsi" w:hAnsiTheme="majorHAnsi" w:cstheme="majorHAnsi"/>
                <w:color w:val="000000" w:themeColor="text1"/>
                <w:sz w:val="16"/>
                <w:szCs w:val="16"/>
              </w:rPr>
            </w:pPr>
          </w:p>
        </w:tc>
        <w:tc>
          <w:tcPr>
            <w:tcW w:w="782" w:type="dxa"/>
          </w:tcPr>
          <w:p w:rsidRPr="00375163" w:rsidR="00F45C92" w:rsidP="006A2B2F" w:rsidRDefault="00F45C92" w14:paraId="249D657F"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80</w:t>
            </w:r>
          </w:p>
        </w:tc>
        <w:tc>
          <w:tcPr>
            <w:tcW w:w="1053" w:type="dxa"/>
            <w:vAlign w:val="bottom"/>
          </w:tcPr>
          <w:p w:rsidRPr="00375163" w:rsidR="00F45C92" w:rsidP="006A2B2F" w:rsidRDefault="00F45C92" w14:paraId="454B8CAF"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39" w:type="dxa"/>
            <w:vAlign w:val="bottom"/>
          </w:tcPr>
          <w:p w:rsidRPr="00375163" w:rsidR="00F45C92" w:rsidP="006A2B2F" w:rsidRDefault="00F45C92" w14:paraId="7E60DD5A"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42" w:type="dxa"/>
            <w:gridSpan w:val="2"/>
            <w:vAlign w:val="bottom"/>
          </w:tcPr>
          <w:p w:rsidRPr="00375163" w:rsidR="00F45C92" w:rsidP="006A2B2F" w:rsidRDefault="00F45C92" w14:paraId="6518C658"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-€ 140</w:t>
            </w:r>
          </w:p>
        </w:tc>
        <w:tc>
          <w:tcPr>
            <w:tcW w:w="1046" w:type="dxa"/>
            <w:gridSpan w:val="2"/>
            <w:vAlign w:val="bottom"/>
          </w:tcPr>
          <w:p w:rsidRPr="00375163" w:rsidR="00F45C92" w:rsidP="006A2B2F" w:rsidRDefault="00F45C92" w14:paraId="027E1988"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-€ 188</w:t>
            </w:r>
          </w:p>
        </w:tc>
        <w:tc>
          <w:tcPr>
            <w:tcW w:w="1057" w:type="dxa"/>
            <w:gridSpan w:val="2"/>
            <w:vAlign w:val="bottom"/>
          </w:tcPr>
          <w:p w:rsidRPr="00375163" w:rsidR="00F45C92" w:rsidP="006A2B2F" w:rsidRDefault="00F45C92" w14:paraId="3AA617AD"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-€ 234</w:t>
            </w:r>
          </w:p>
        </w:tc>
        <w:tc>
          <w:tcPr>
            <w:tcW w:w="1201" w:type="dxa"/>
            <w:gridSpan w:val="2"/>
            <w:vAlign w:val="bottom"/>
          </w:tcPr>
          <w:p w:rsidRPr="00375163" w:rsidR="00F45C92" w:rsidP="006A2B2F" w:rsidRDefault="00F45C92" w14:paraId="10E71435"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-€ 469</w:t>
            </w:r>
          </w:p>
        </w:tc>
        <w:tc>
          <w:tcPr>
            <w:tcW w:w="1229" w:type="dxa"/>
            <w:gridSpan w:val="2"/>
            <w:vAlign w:val="bottom"/>
          </w:tcPr>
          <w:p w:rsidRPr="00375163" w:rsidR="00F45C92" w:rsidP="006A2B2F" w:rsidRDefault="00F45C92" w14:paraId="0BFEDCE5"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-€ 4.215</w:t>
            </w:r>
          </w:p>
        </w:tc>
      </w:tr>
      <w:tr w:rsidRPr="00375163" w:rsidR="00F45C92" w:rsidTr="006A2B2F" w14:paraId="303201B2"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375163" w:rsidR="00F45C92" w:rsidP="006A2B2F" w:rsidRDefault="00F45C92" w14:paraId="2DDAFBFA" w14:textId="77777777">
            <w:pPr>
              <w:jc w:val="center"/>
              <w:rPr>
                <w:rFonts w:asciiTheme="majorHAnsi" w:hAnsiTheme="majorHAnsi" w:cstheme="majorHAnsi"/>
                <w:color w:val="000000" w:themeColor="text1"/>
                <w:sz w:val="16"/>
                <w:szCs w:val="16"/>
              </w:rPr>
            </w:pPr>
          </w:p>
        </w:tc>
        <w:tc>
          <w:tcPr>
            <w:tcW w:w="782" w:type="dxa"/>
          </w:tcPr>
          <w:p w:rsidRPr="00375163" w:rsidR="00F45C92" w:rsidP="006A2B2F" w:rsidRDefault="00F45C92" w14:paraId="45015F37"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85</w:t>
            </w:r>
          </w:p>
        </w:tc>
        <w:tc>
          <w:tcPr>
            <w:tcW w:w="1053" w:type="dxa"/>
            <w:vAlign w:val="bottom"/>
          </w:tcPr>
          <w:p w:rsidRPr="00375163" w:rsidR="00F45C92" w:rsidP="006A2B2F" w:rsidRDefault="00F45C92" w14:paraId="60AEA010"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39" w:type="dxa"/>
            <w:vAlign w:val="bottom"/>
          </w:tcPr>
          <w:p w:rsidRPr="00375163" w:rsidR="00F45C92" w:rsidP="006A2B2F" w:rsidRDefault="00F45C92" w14:paraId="263F72E9"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-€ 38</w:t>
            </w:r>
          </w:p>
        </w:tc>
        <w:tc>
          <w:tcPr>
            <w:tcW w:w="1042" w:type="dxa"/>
            <w:gridSpan w:val="2"/>
            <w:vAlign w:val="bottom"/>
          </w:tcPr>
          <w:p w:rsidRPr="00375163" w:rsidR="00F45C92" w:rsidP="006A2B2F" w:rsidRDefault="00F45C92" w14:paraId="6B281A1A"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-€ 57</w:t>
            </w:r>
          </w:p>
        </w:tc>
        <w:tc>
          <w:tcPr>
            <w:tcW w:w="1046" w:type="dxa"/>
            <w:gridSpan w:val="2"/>
            <w:vAlign w:val="bottom"/>
          </w:tcPr>
          <w:p w:rsidRPr="00375163" w:rsidR="00F45C92" w:rsidP="006A2B2F" w:rsidRDefault="00F45C92" w14:paraId="7C7E3FE4"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-€ 77</w:t>
            </w:r>
          </w:p>
        </w:tc>
        <w:tc>
          <w:tcPr>
            <w:tcW w:w="1057" w:type="dxa"/>
            <w:gridSpan w:val="2"/>
            <w:vAlign w:val="bottom"/>
          </w:tcPr>
          <w:p w:rsidRPr="00375163" w:rsidR="00F45C92" w:rsidP="006A2B2F" w:rsidRDefault="00F45C92" w14:paraId="12661620"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-€ 95</w:t>
            </w:r>
          </w:p>
        </w:tc>
        <w:tc>
          <w:tcPr>
            <w:tcW w:w="1201" w:type="dxa"/>
            <w:gridSpan w:val="2"/>
            <w:vAlign w:val="bottom"/>
          </w:tcPr>
          <w:p w:rsidRPr="00375163" w:rsidR="00F45C92" w:rsidP="006A2B2F" w:rsidRDefault="00F45C92" w14:paraId="716B8CAF"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-€ 192</w:t>
            </w:r>
          </w:p>
        </w:tc>
        <w:tc>
          <w:tcPr>
            <w:tcW w:w="1229" w:type="dxa"/>
            <w:gridSpan w:val="2"/>
            <w:vAlign w:val="bottom"/>
          </w:tcPr>
          <w:p w:rsidRPr="00375163" w:rsidR="00F45C92" w:rsidP="006A2B2F" w:rsidRDefault="00F45C92" w14:paraId="46010538"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-€ 1.725</w:t>
            </w:r>
          </w:p>
        </w:tc>
      </w:tr>
      <w:tr w:rsidRPr="00375163" w:rsidR="00F45C92" w:rsidTr="006A2B2F" w14:paraId="32628D02"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375163" w:rsidR="00F45C92" w:rsidP="006A2B2F" w:rsidRDefault="00F45C92" w14:paraId="0977E707" w14:textId="77777777">
            <w:pPr>
              <w:jc w:val="center"/>
              <w:rPr>
                <w:rFonts w:asciiTheme="majorHAnsi" w:hAnsiTheme="majorHAnsi" w:cstheme="majorHAnsi"/>
                <w:color w:val="000000" w:themeColor="text1"/>
                <w:sz w:val="16"/>
                <w:szCs w:val="16"/>
              </w:rPr>
            </w:pPr>
          </w:p>
        </w:tc>
        <w:tc>
          <w:tcPr>
            <w:tcW w:w="782" w:type="dxa"/>
          </w:tcPr>
          <w:p w:rsidRPr="00375163" w:rsidR="00F45C92" w:rsidP="006A2B2F" w:rsidRDefault="00F45C92" w14:paraId="57E6B775"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90</w:t>
            </w:r>
          </w:p>
        </w:tc>
        <w:tc>
          <w:tcPr>
            <w:tcW w:w="1053" w:type="dxa"/>
            <w:vAlign w:val="bottom"/>
          </w:tcPr>
          <w:p w:rsidRPr="00375163" w:rsidR="00F45C92" w:rsidP="006A2B2F" w:rsidRDefault="00F45C92" w14:paraId="4918DB05"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39" w:type="dxa"/>
            <w:vAlign w:val="bottom"/>
          </w:tcPr>
          <w:p w:rsidRPr="00375163" w:rsidR="00F45C92" w:rsidP="006A2B2F" w:rsidRDefault="00F45C92" w14:paraId="59972EA6"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€ 17</w:t>
            </w:r>
          </w:p>
        </w:tc>
        <w:tc>
          <w:tcPr>
            <w:tcW w:w="1042" w:type="dxa"/>
            <w:gridSpan w:val="2"/>
            <w:vAlign w:val="bottom"/>
          </w:tcPr>
          <w:p w:rsidRPr="00375163" w:rsidR="00F45C92" w:rsidP="006A2B2F" w:rsidRDefault="00F45C92" w14:paraId="17E57C5C"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€ 26</w:t>
            </w:r>
          </w:p>
        </w:tc>
        <w:tc>
          <w:tcPr>
            <w:tcW w:w="1046" w:type="dxa"/>
            <w:gridSpan w:val="2"/>
            <w:vAlign w:val="bottom"/>
          </w:tcPr>
          <w:p w:rsidRPr="00375163" w:rsidR="00F45C92" w:rsidP="006A2B2F" w:rsidRDefault="00F45C92" w14:paraId="59E09808"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€ 34</w:t>
            </w:r>
          </w:p>
        </w:tc>
        <w:tc>
          <w:tcPr>
            <w:tcW w:w="1057" w:type="dxa"/>
            <w:gridSpan w:val="2"/>
            <w:vAlign w:val="bottom"/>
          </w:tcPr>
          <w:p w:rsidRPr="00375163" w:rsidR="00F45C92" w:rsidP="006A2B2F" w:rsidRDefault="00F45C92" w14:paraId="1835571B"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€ 43</w:t>
            </w:r>
          </w:p>
        </w:tc>
        <w:tc>
          <w:tcPr>
            <w:tcW w:w="1201" w:type="dxa"/>
            <w:gridSpan w:val="2"/>
            <w:vAlign w:val="bottom"/>
          </w:tcPr>
          <w:p w:rsidRPr="00375163" w:rsidR="00F45C92" w:rsidP="006A2B2F" w:rsidRDefault="00F45C92" w14:paraId="515B655F"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€ 85</w:t>
            </w:r>
          </w:p>
        </w:tc>
        <w:tc>
          <w:tcPr>
            <w:tcW w:w="1229" w:type="dxa"/>
            <w:gridSpan w:val="2"/>
            <w:vAlign w:val="bottom"/>
          </w:tcPr>
          <w:p w:rsidRPr="00375163" w:rsidR="00F45C92" w:rsidP="006A2B2F" w:rsidRDefault="00F45C92" w14:paraId="3A4CE10D"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€ 765</w:t>
            </w:r>
          </w:p>
        </w:tc>
      </w:tr>
    </w:tbl>
    <w:p w:rsidRPr="00375163" w:rsidR="00F45C92" w:rsidP="00F45C92" w:rsidRDefault="00F45C92" w14:paraId="09C8650A" w14:textId="77777777">
      <w:pPr>
        <w:spacing w:line="276" w:lineRule="auto"/>
        <w:contextualSpacing/>
        <w:rPr>
          <w:rFonts w:asciiTheme="majorHAnsi" w:hAnsiTheme="majorHAnsi" w:cstheme="majorHAnsi"/>
          <w:sz w:val="16"/>
          <w:szCs w:val="16"/>
        </w:rPr>
      </w:pPr>
      <w:r w:rsidRPr="00375163">
        <w:rPr>
          <w:rFonts w:asciiTheme="majorHAnsi" w:hAnsiTheme="majorHAnsi" w:cstheme="majorHAnsi"/>
          <w:sz w:val="16"/>
          <w:szCs w:val="16"/>
        </w:rPr>
        <w:t xml:space="preserve">Tabel 1.3 Totale mutatie (langstlevende partner + 2 kinderen) te betalen erfbelasting bij overlijden </w:t>
      </w:r>
      <w:proofErr w:type="spellStart"/>
      <w:r w:rsidRPr="00375163">
        <w:rPr>
          <w:rFonts w:asciiTheme="majorHAnsi" w:hAnsiTheme="majorHAnsi" w:cstheme="majorHAnsi"/>
          <w:sz w:val="16"/>
          <w:szCs w:val="16"/>
        </w:rPr>
        <w:t>kortstlevende</w:t>
      </w:r>
      <w:proofErr w:type="spellEnd"/>
      <w:r w:rsidRPr="00375163">
        <w:rPr>
          <w:rFonts w:asciiTheme="majorHAnsi" w:hAnsiTheme="majorHAnsi" w:cstheme="majorHAnsi"/>
          <w:sz w:val="16"/>
          <w:szCs w:val="16"/>
        </w:rPr>
        <w:t xml:space="preserve"> </w:t>
      </w:r>
      <w:r w:rsidR="00375163">
        <w:rPr>
          <w:rFonts w:asciiTheme="majorHAnsi" w:hAnsiTheme="majorHAnsi" w:cstheme="majorHAnsi"/>
          <w:sz w:val="16"/>
          <w:szCs w:val="16"/>
        </w:rPr>
        <w:t>p</w:t>
      </w:r>
      <w:r w:rsidRPr="00375163">
        <w:rPr>
          <w:rFonts w:asciiTheme="majorHAnsi" w:hAnsiTheme="majorHAnsi" w:cstheme="majorHAnsi"/>
          <w:sz w:val="16"/>
          <w:szCs w:val="16"/>
        </w:rPr>
        <w:t>artner</w:t>
      </w:r>
    </w:p>
    <w:tbl>
      <w:tblPr>
        <w:tblStyle w:val="Lijsttabel1licht-Accent3"/>
        <w:tblpPr w:leftFromText="141" w:rightFromText="141" w:vertAnchor="text" w:horzAnchor="margin" w:tblpY="116"/>
        <w:tblW w:w="9477" w:type="dxa"/>
        <w:tblLook w:val="04A0" w:firstRow="1" w:lastRow="0" w:firstColumn="1" w:lastColumn="0" w:noHBand="0" w:noVBand="1"/>
      </w:tblPr>
      <w:tblGrid>
        <w:gridCol w:w="1001"/>
        <w:gridCol w:w="782"/>
        <w:gridCol w:w="1053"/>
        <w:gridCol w:w="1039"/>
        <w:gridCol w:w="14"/>
        <w:gridCol w:w="1028"/>
        <w:gridCol w:w="26"/>
        <w:gridCol w:w="1020"/>
        <w:gridCol w:w="34"/>
        <w:gridCol w:w="1023"/>
        <w:gridCol w:w="31"/>
        <w:gridCol w:w="1170"/>
        <w:gridCol w:w="43"/>
        <w:gridCol w:w="1186"/>
        <w:gridCol w:w="27"/>
      </w:tblGrid>
      <w:tr w:rsidRPr="00375163" w:rsidR="00F45C92" w:rsidTr="006A2B2F" w14:paraId="29EE1F47" w14:textId="77777777">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783" w:type="dxa"/>
            <w:gridSpan w:val="2"/>
            <w:tcBorders>
              <w:top w:val="single" w:color="auto" w:sz="4" w:space="0"/>
              <w:bottom w:val="single" w:color="auto" w:sz="4" w:space="0"/>
            </w:tcBorders>
          </w:tcPr>
          <w:p w:rsidRPr="00375163" w:rsidR="00F45C92" w:rsidP="006A2B2F" w:rsidRDefault="00F45C92" w14:paraId="67D8E5E8" w14:textId="77777777">
            <w:pPr>
              <w:spacing w:line="276" w:lineRule="auto"/>
              <w:contextualSpacing/>
              <w:rPr>
                <w:rFonts w:asciiTheme="majorHAnsi" w:hAnsiTheme="majorHAnsi" w:cstheme="majorHAnsi"/>
                <w:b w:val="0"/>
                <w:bCs w:val="0"/>
                <w:i/>
                <w:iCs/>
                <w:color w:val="000000" w:themeColor="text1"/>
                <w:sz w:val="16"/>
                <w:szCs w:val="16"/>
              </w:rPr>
            </w:pPr>
            <w:r w:rsidRPr="00375163">
              <w:rPr>
                <w:rFonts w:asciiTheme="majorHAnsi" w:hAnsiTheme="majorHAnsi" w:cstheme="majorHAnsi"/>
                <w:b w:val="0"/>
                <w:bCs w:val="0"/>
                <w:color w:val="000000" w:themeColor="text1"/>
                <w:sz w:val="16"/>
                <w:szCs w:val="16"/>
              </w:rPr>
              <w:t xml:space="preserve">Gemeenschappelijk vermogen ouders </w:t>
            </w:r>
          </w:p>
        </w:tc>
        <w:tc>
          <w:tcPr>
            <w:tcW w:w="1053" w:type="dxa"/>
            <w:tcBorders>
              <w:top w:val="single" w:color="auto" w:sz="4" w:space="0"/>
              <w:bottom w:val="single" w:color="auto" w:sz="4" w:space="0"/>
            </w:tcBorders>
          </w:tcPr>
          <w:p w:rsidRPr="00375163" w:rsidR="00F45C92" w:rsidP="006A2B2F" w:rsidRDefault="00F45C92" w14:paraId="06F8D4BE"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themeColor="text1"/>
                <w:sz w:val="16"/>
                <w:szCs w:val="16"/>
              </w:rPr>
            </w:pPr>
            <w:r w:rsidRPr="00375163">
              <w:rPr>
                <w:rFonts w:asciiTheme="majorHAnsi" w:hAnsiTheme="majorHAnsi" w:cstheme="majorHAnsi"/>
                <w:color w:val="000000" w:themeColor="text1"/>
                <w:sz w:val="16"/>
                <w:szCs w:val="16"/>
              </w:rPr>
              <w:t>€ </w:t>
            </w:r>
            <w:r w:rsidRPr="00375163">
              <w:rPr>
                <w:rFonts w:asciiTheme="majorHAnsi" w:hAnsiTheme="majorHAnsi" w:cstheme="majorHAnsi"/>
                <w:b w:val="0"/>
                <w:bCs w:val="0"/>
                <w:color w:val="000000" w:themeColor="text1"/>
                <w:sz w:val="16"/>
                <w:szCs w:val="16"/>
              </w:rPr>
              <w:t>100.000</w:t>
            </w:r>
          </w:p>
        </w:tc>
        <w:tc>
          <w:tcPr>
            <w:tcW w:w="1053" w:type="dxa"/>
            <w:gridSpan w:val="2"/>
            <w:tcBorders>
              <w:top w:val="single" w:color="auto" w:sz="4" w:space="0"/>
              <w:bottom w:val="single" w:color="auto" w:sz="4" w:space="0"/>
            </w:tcBorders>
          </w:tcPr>
          <w:p w:rsidRPr="00375163" w:rsidR="00F45C92" w:rsidP="006A2B2F" w:rsidRDefault="00F45C92" w14:paraId="1306403D"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themeColor="text1"/>
                <w:sz w:val="16"/>
                <w:szCs w:val="16"/>
              </w:rPr>
            </w:pPr>
            <w:r w:rsidRPr="00375163">
              <w:rPr>
                <w:rFonts w:asciiTheme="majorHAnsi" w:hAnsiTheme="majorHAnsi" w:cstheme="majorHAnsi"/>
                <w:color w:val="000000" w:themeColor="text1"/>
                <w:sz w:val="16"/>
                <w:szCs w:val="16"/>
              </w:rPr>
              <w:t>€ </w:t>
            </w:r>
            <w:r w:rsidRPr="00375163">
              <w:rPr>
                <w:rFonts w:asciiTheme="majorHAnsi" w:hAnsiTheme="majorHAnsi" w:cstheme="majorHAnsi"/>
                <w:b w:val="0"/>
                <w:bCs w:val="0"/>
                <w:color w:val="000000" w:themeColor="text1"/>
                <w:sz w:val="16"/>
                <w:szCs w:val="16"/>
              </w:rPr>
              <w:t>200.000</w:t>
            </w:r>
          </w:p>
        </w:tc>
        <w:tc>
          <w:tcPr>
            <w:tcW w:w="1054" w:type="dxa"/>
            <w:gridSpan w:val="2"/>
            <w:tcBorders>
              <w:top w:val="single" w:color="auto" w:sz="4" w:space="0"/>
              <w:bottom w:val="single" w:color="auto" w:sz="4" w:space="0"/>
            </w:tcBorders>
          </w:tcPr>
          <w:p w:rsidRPr="00375163" w:rsidR="00F45C92" w:rsidP="006A2B2F" w:rsidRDefault="00F45C92" w14:paraId="71DB1503"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themeColor="text1"/>
                <w:sz w:val="16"/>
                <w:szCs w:val="16"/>
              </w:rPr>
            </w:pPr>
            <w:r w:rsidRPr="00375163">
              <w:rPr>
                <w:rFonts w:asciiTheme="majorHAnsi" w:hAnsiTheme="majorHAnsi" w:cstheme="majorHAnsi"/>
                <w:color w:val="000000" w:themeColor="text1"/>
                <w:sz w:val="16"/>
                <w:szCs w:val="16"/>
              </w:rPr>
              <w:t>€ </w:t>
            </w:r>
            <w:r w:rsidRPr="00375163">
              <w:rPr>
                <w:rFonts w:asciiTheme="majorHAnsi" w:hAnsiTheme="majorHAnsi" w:cstheme="majorHAnsi"/>
                <w:b w:val="0"/>
                <w:bCs w:val="0"/>
                <w:color w:val="000000" w:themeColor="text1"/>
                <w:sz w:val="16"/>
                <w:szCs w:val="16"/>
              </w:rPr>
              <w:t>300.000</w:t>
            </w:r>
          </w:p>
        </w:tc>
        <w:tc>
          <w:tcPr>
            <w:tcW w:w="1054" w:type="dxa"/>
            <w:gridSpan w:val="2"/>
            <w:tcBorders>
              <w:top w:val="single" w:color="auto" w:sz="4" w:space="0"/>
              <w:bottom w:val="single" w:color="auto" w:sz="4" w:space="0"/>
            </w:tcBorders>
          </w:tcPr>
          <w:p w:rsidRPr="00375163" w:rsidR="00F45C92" w:rsidP="006A2B2F" w:rsidRDefault="00F45C92" w14:paraId="7CC1FE69"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themeColor="text1"/>
                <w:sz w:val="16"/>
                <w:szCs w:val="16"/>
              </w:rPr>
            </w:pPr>
            <w:r w:rsidRPr="00375163">
              <w:rPr>
                <w:rFonts w:asciiTheme="majorHAnsi" w:hAnsiTheme="majorHAnsi" w:cstheme="majorHAnsi"/>
                <w:color w:val="000000" w:themeColor="text1"/>
                <w:sz w:val="16"/>
                <w:szCs w:val="16"/>
              </w:rPr>
              <w:t>€ </w:t>
            </w:r>
            <w:r w:rsidRPr="00375163">
              <w:rPr>
                <w:rFonts w:asciiTheme="majorHAnsi" w:hAnsiTheme="majorHAnsi" w:cstheme="majorHAnsi"/>
                <w:b w:val="0"/>
                <w:bCs w:val="0"/>
                <w:color w:val="000000" w:themeColor="text1"/>
                <w:sz w:val="16"/>
                <w:szCs w:val="16"/>
              </w:rPr>
              <w:t>400.000</w:t>
            </w:r>
          </w:p>
        </w:tc>
        <w:tc>
          <w:tcPr>
            <w:tcW w:w="1054" w:type="dxa"/>
            <w:gridSpan w:val="2"/>
            <w:tcBorders>
              <w:top w:val="single" w:color="auto" w:sz="4" w:space="0"/>
              <w:bottom w:val="single" w:color="auto" w:sz="4" w:space="0"/>
            </w:tcBorders>
          </w:tcPr>
          <w:p w:rsidRPr="00375163" w:rsidR="00F45C92" w:rsidP="006A2B2F" w:rsidRDefault="00F45C92" w14:paraId="3949F8C2"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themeColor="text1"/>
                <w:sz w:val="16"/>
                <w:szCs w:val="16"/>
              </w:rPr>
            </w:pPr>
            <w:r w:rsidRPr="00375163">
              <w:rPr>
                <w:rFonts w:asciiTheme="majorHAnsi" w:hAnsiTheme="majorHAnsi" w:cstheme="majorHAnsi"/>
                <w:color w:val="000000" w:themeColor="text1"/>
                <w:sz w:val="16"/>
                <w:szCs w:val="16"/>
              </w:rPr>
              <w:t>€ </w:t>
            </w:r>
            <w:r w:rsidRPr="00375163">
              <w:rPr>
                <w:rFonts w:asciiTheme="majorHAnsi" w:hAnsiTheme="majorHAnsi" w:cstheme="majorHAnsi"/>
                <w:b w:val="0"/>
                <w:bCs w:val="0"/>
                <w:color w:val="000000" w:themeColor="text1"/>
                <w:sz w:val="16"/>
                <w:szCs w:val="16"/>
              </w:rPr>
              <w:t>500.000</w:t>
            </w:r>
          </w:p>
        </w:tc>
        <w:tc>
          <w:tcPr>
            <w:tcW w:w="1213" w:type="dxa"/>
            <w:gridSpan w:val="2"/>
            <w:tcBorders>
              <w:top w:val="single" w:color="auto" w:sz="4" w:space="0"/>
              <w:bottom w:val="single" w:color="auto" w:sz="4" w:space="0"/>
            </w:tcBorders>
          </w:tcPr>
          <w:p w:rsidRPr="00375163" w:rsidR="00F45C92" w:rsidP="006A2B2F" w:rsidRDefault="00F45C92" w14:paraId="65D8F2A1"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themeColor="text1"/>
                <w:sz w:val="16"/>
                <w:szCs w:val="16"/>
              </w:rPr>
            </w:pPr>
            <w:r w:rsidRPr="00375163">
              <w:rPr>
                <w:rFonts w:asciiTheme="majorHAnsi" w:hAnsiTheme="majorHAnsi" w:cstheme="majorHAnsi"/>
                <w:color w:val="000000" w:themeColor="text1"/>
                <w:sz w:val="16"/>
                <w:szCs w:val="16"/>
              </w:rPr>
              <w:t>€ </w:t>
            </w:r>
            <w:r w:rsidRPr="00375163">
              <w:rPr>
                <w:rFonts w:asciiTheme="majorHAnsi" w:hAnsiTheme="majorHAnsi" w:cstheme="majorHAnsi"/>
                <w:b w:val="0"/>
                <w:bCs w:val="0"/>
                <w:color w:val="000000" w:themeColor="text1"/>
                <w:sz w:val="16"/>
                <w:szCs w:val="16"/>
              </w:rPr>
              <w:t>1.000.000</w:t>
            </w:r>
          </w:p>
        </w:tc>
        <w:tc>
          <w:tcPr>
            <w:tcW w:w="1213" w:type="dxa"/>
            <w:gridSpan w:val="2"/>
            <w:tcBorders>
              <w:top w:val="single" w:color="auto" w:sz="4" w:space="0"/>
              <w:bottom w:val="single" w:color="auto" w:sz="4" w:space="0"/>
            </w:tcBorders>
          </w:tcPr>
          <w:p w:rsidRPr="00375163" w:rsidR="00F45C92" w:rsidP="006A2B2F" w:rsidRDefault="00F45C92" w14:paraId="4EE1079E"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themeColor="text1"/>
                <w:sz w:val="16"/>
                <w:szCs w:val="16"/>
              </w:rPr>
            </w:pPr>
            <w:r w:rsidRPr="00375163">
              <w:rPr>
                <w:rFonts w:asciiTheme="majorHAnsi" w:hAnsiTheme="majorHAnsi" w:cstheme="majorHAnsi"/>
                <w:b w:val="0"/>
                <w:bCs w:val="0"/>
                <w:color w:val="000000" w:themeColor="text1"/>
                <w:sz w:val="16"/>
                <w:szCs w:val="16"/>
              </w:rPr>
              <w:t>€ 4.500.000</w:t>
            </w:r>
          </w:p>
        </w:tc>
      </w:tr>
      <w:tr w:rsidRPr="00375163" w:rsidR="00F45C92" w:rsidTr="006A2B2F" w14:paraId="6CFB2EEC"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783" w:type="dxa"/>
            <w:gridSpan w:val="2"/>
            <w:tcBorders>
              <w:top w:val="single" w:color="auto" w:sz="4" w:space="0"/>
              <w:bottom w:val="single" w:color="auto" w:sz="4" w:space="0"/>
            </w:tcBorders>
          </w:tcPr>
          <w:p w:rsidRPr="00375163" w:rsidR="00F45C92" w:rsidP="006A2B2F" w:rsidRDefault="00F45C92" w14:paraId="2F32A955" w14:textId="77777777">
            <w:pPr>
              <w:spacing w:line="276" w:lineRule="auto"/>
              <w:contextualSpacing/>
              <w:rPr>
                <w:rFonts w:asciiTheme="majorHAnsi" w:hAnsiTheme="majorHAnsi" w:cstheme="majorHAnsi"/>
                <w:b w:val="0"/>
                <w:bCs w:val="0"/>
                <w:color w:val="000000" w:themeColor="text1"/>
                <w:sz w:val="16"/>
                <w:szCs w:val="16"/>
              </w:rPr>
            </w:pPr>
            <w:r w:rsidRPr="00375163">
              <w:rPr>
                <w:rFonts w:asciiTheme="majorHAnsi" w:hAnsiTheme="majorHAnsi" w:cstheme="majorHAnsi"/>
                <w:b w:val="0"/>
                <w:bCs w:val="0"/>
                <w:color w:val="000000" w:themeColor="text1"/>
                <w:sz w:val="16"/>
                <w:szCs w:val="16"/>
              </w:rPr>
              <w:t xml:space="preserve">Erfenis per verkrijger </w:t>
            </w:r>
          </w:p>
        </w:tc>
        <w:tc>
          <w:tcPr>
            <w:tcW w:w="1053" w:type="dxa"/>
            <w:tcBorders>
              <w:top w:val="single" w:color="auto" w:sz="4" w:space="0"/>
              <w:bottom w:val="single" w:color="auto" w:sz="4" w:space="0"/>
            </w:tcBorders>
          </w:tcPr>
          <w:p w:rsidRPr="00375163" w:rsidR="00F45C92" w:rsidP="006A2B2F" w:rsidRDefault="00F45C92" w14:paraId="4596E0BE"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€ 16.667</w:t>
            </w:r>
          </w:p>
        </w:tc>
        <w:tc>
          <w:tcPr>
            <w:tcW w:w="1039" w:type="dxa"/>
            <w:tcBorders>
              <w:top w:val="single" w:color="auto" w:sz="4" w:space="0"/>
              <w:bottom w:val="single" w:color="auto" w:sz="4" w:space="0"/>
            </w:tcBorders>
          </w:tcPr>
          <w:p w:rsidRPr="00375163" w:rsidR="00F45C92" w:rsidP="006A2B2F" w:rsidRDefault="00F45C92" w14:paraId="4838C213"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€ 33.333</w:t>
            </w:r>
          </w:p>
        </w:tc>
        <w:tc>
          <w:tcPr>
            <w:tcW w:w="1042" w:type="dxa"/>
            <w:gridSpan w:val="2"/>
            <w:tcBorders>
              <w:top w:val="single" w:color="auto" w:sz="4" w:space="0"/>
              <w:bottom w:val="single" w:color="auto" w:sz="4" w:space="0"/>
            </w:tcBorders>
          </w:tcPr>
          <w:p w:rsidRPr="00375163" w:rsidR="00F45C92" w:rsidP="006A2B2F" w:rsidRDefault="00F45C92" w14:paraId="447A1FB4"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€ 50.000</w:t>
            </w:r>
          </w:p>
        </w:tc>
        <w:tc>
          <w:tcPr>
            <w:tcW w:w="1046" w:type="dxa"/>
            <w:gridSpan w:val="2"/>
            <w:tcBorders>
              <w:top w:val="single" w:color="auto" w:sz="4" w:space="0"/>
              <w:bottom w:val="single" w:color="auto" w:sz="4" w:space="0"/>
            </w:tcBorders>
          </w:tcPr>
          <w:p w:rsidRPr="00375163" w:rsidR="00F45C92" w:rsidP="006A2B2F" w:rsidRDefault="00F45C92" w14:paraId="1C1F1D33"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€ 66.667</w:t>
            </w:r>
          </w:p>
        </w:tc>
        <w:tc>
          <w:tcPr>
            <w:tcW w:w="1057" w:type="dxa"/>
            <w:gridSpan w:val="2"/>
            <w:tcBorders>
              <w:top w:val="single" w:color="auto" w:sz="4" w:space="0"/>
              <w:bottom w:val="single" w:color="auto" w:sz="4" w:space="0"/>
            </w:tcBorders>
          </w:tcPr>
          <w:p w:rsidRPr="00375163" w:rsidR="00F45C92" w:rsidP="006A2B2F" w:rsidRDefault="00F45C92" w14:paraId="70AFFB13"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€ 83.333</w:t>
            </w:r>
          </w:p>
        </w:tc>
        <w:tc>
          <w:tcPr>
            <w:tcW w:w="1201" w:type="dxa"/>
            <w:gridSpan w:val="2"/>
            <w:tcBorders>
              <w:top w:val="single" w:color="auto" w:sz="4" w:space="0"/>
              <w:bottom w:val="single" w:color="auto" w:sz="4" w:space="0"/>
            </w:tcBorders>
          </w:tcPr>
          <w:p w:rsidRPr="00375163" w:rsidR="00F45C92" w:rsidP="006A2B2F" w:rsidRDefault="00F45C92" w14:paraId="2A400808"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€ 166.667</w:t>
            </w:r>
          </w:p>
        </w:tc>
        <w:tc>
          <w:tcPr>
            <w:tcW w:w="1229" w:type="dxa"/>
            <w:gridSpan w:val="2"/>
            <w:tcBorders>
              <w:top w:val="single" w:color="auto" w:sz="4" w:space="0"/>
              <w:bottom w:val="single" w:color="auto" w:sz="4" w:space="0"/>
            </w:tcBorders>
          </w:tcPr>
          <w:p w:rsidRPr="00375163" w:rsidR="00F45C92" w:rsidP="006A2B2F" w:rsidRDefault="00F45C92" w14:paraId="7580E5C2"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€ 750.000</w:t>
            </w:r>
          </w:p>
        </w:tc>
      </w:tr>
      <w:tr w:rsidRPr="00375163" w:rsidR="00F45C92" w:rsidTr="006A2B2F" w14:paraId="2650173D" w14:textId="77777777">
        <w:trPr>
          <w:gridAfter w:val="1"/>
          <w:wAfter w:w="27" w:type="dxa"/>
          <w:trHeight w:val="280"/>
        </w:trPr>
        <w:tc>
          <w:tcPr>
            <w:cnfStyle w:val="001000000000" w:firstRow="0" w:lastRow="0" w:firstColumn="1" w:lastColumn="0" w:oddVBand="0" w:evenVBand="0" w:oddHBand="0" w:evenHBand="0" w:firstRowFirstColumn="0" w:firstRowLastColumn="0" w:lastRowFirstColumn="0" w:lastRowLastColumn="0"/>
            <w:tcW w:w="1001" w:type="dxa"/>
            <w:vMerge w:val="restart"/>
            <w:tcBorders>
              <w:top w:val="single" w:color="auto" w:sz="4" w:space="0"/>
            </w:tcBorders>
            <w:textDirection w:val="btLr"/>
          </w:tcPr>
          <w:p w:rsidRPr="00375163" w:rsidR="00F45C92" w:rsidP="006A2B2F" w:rsidRDefault="00F45C92" w14:paraId="7B43FFDA" w14:textId="77777777">
            <w:pPr>
              <w:ind w:left="113" w:right="113"/>
              <w:jc w:val="center"/>
              <w:rPr>
                <w:rFonts w:asciiTheme="majorHAnsi" w:hAnsiTheme="majorHAnsi" w:cstheme="majorHAnsi"/>
                <w:b w:val="0"/>
                <w:bCs w:val="0"/>
                <w:color w:val="000000" w:themeColor="text1"/>
                <w:sz w:val="16"/>
                <w:szCs w:val="16"/>
              </w:rPr>
            </w:pPr>
            <w:r w:rsidRPr="00375163">
              <w:rPr>
                <w:rFonts w:asciiTheme="majorHAnsi" w:hAnsiTheme="majorHAnsi" w:cstheme="majorHAnsi"/>
                <w:b w:val="0"/>
                <w:bCs w:val="0"/>
                <w:color w:val="000000" w:themeColor="text1"/>
                <w:sz w:val="16"/>
                <w:szCs w:val="16"/>
              </w:rPr>
              <w:t xml:space="preserve">Leeftijd langstlevende partner bij overlijden </w:t>
            </w:r>
            <w:proofErr w:type="spellStart"/>
            <w:r w:rsidRPr="00375163">
              <w:rPr>
                <w:rFonts w:asciiTheme="majorHAnsi" w:hAnsiTheme="majorHAnsi" w:cstheme="majorHAnsi"/>
                <w:b w:val="0"/>
                <w:bCs w:val="0"/>
                <w:color w:val="000000" w:themeColor="text1"/>
                <w:sz w:val="16"/>
                <w:szCs w:val="16"/>
              </w:rPr>
              <w:t>kortstlevende</w:t>
            </w:r>
            <w:proofErr w:type="spellEnd"/>
            <w:r w:rsidRPr="00375163">
              <w:rPr>
                <w:rFonts w:asciiTheme="majorHAnsi" w:hAnsiTheme="majorHAnsi" w:cstheme="majorHAnsi"/>
                <w:b w:val="0"/>
                <w:bCs w:val="0"/>
                <w:color w:val="000000" w:themeColor="text1"/>
                <w:sz w:val="16"/>
                <w:szCs w:val="16"/>
              </w:rPr>
              <w:t xml:space="preserve"> partner</w:t>
            </w:r>
          </w:p>
        </w:tc>
        <w:tc>
          <w:tcPr>
            <w:tcW w:w="782" w:type="dxa"/>
            <w:tcBorders>
              <w:top w:val="single" w:color="auto" w:sz="4" w:space="0"/>
            </w:tcBorders>
          </w:tcPr>
          <w:p w:rsidRPr="00375163" w:rsidR="00F45C92" w:rsidP="006A2B2F" w:rsidRDefault="00F45C92" w14:paraId="7ABB5297"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50</w:t>
            </w:r>
          </w:p>
        </w:tc>
        <w:tc>
          <w:tcPr>
            <w:tcW w:w="1053" w:type="dxa"/>
            <w:tcBorders>
              <w:top w:val="single" w:color="auto" w:sz="4" w:space="0"/>
            </w:tcBorders>
            <w:vAlign w:val="bottom"/>
          </w:tcPr>
          <w:p w:rsidRPr="00375163" w:rsidR="00F45C92" w:rsidP="006A2B2F" w:rsidRDefault="00F45C92" w14:paraId="7F5C698E"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039" w:type="dxa"/>
            <w:tcBorders>
              <w:top w:val="single" w:color="auto" w:sz="4" w:space="0"/>
            </w:tcBorders>
            <w:vAlign w:val="bottom"/>
          </w:tcPr>
          <w:p w:rsidRPr="00375163" w:rsidR="00F45C92" w:rsidP="006A2B2F" w:rsidRDefault="00F45C92" w14:paraId="174A72C9"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042" w:type="dxa"/>
            <w:gridSpan w:val="2"/>
            <w:tcBorders>
              <w:top w:val="single" w:color="auto" w:sz="4" w:space="0"/>
            </w:tcBorders>
            <w:vAlign w:val="bottom"/>
          </w:tcPr>
          <w:p w:rsidRPr="00375163" w:rsidR="00F45C92" w:rsidP="006A2B2F" w:rsidRDefault="00F45C92" w14:paraId="1E2248C9"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046" w:type="dxa"/>
            <w:gridSpan w:val="2"/>
            <w:tcBorders>
              <w:top w:val="single" w:color="auto" w:sz="4" w:space="0"/>
            </w:tcBorders>
            <w:vAlign w:val="bottom"/>
          </w:tcPr>
          <w:p w:rsidRPr="00375163" w:rsidR="00F45C92" w:rsidP="006A2B2F" w:rsidRDefault="00F45C92" w14:paraId="244F109A"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057" w:type="dxa"/>
            <w:gridSpan w:val="2"/>
            <w:tcBorders>
              <w:top w:val="single" w:color="auto" w:sz="4" w:space="0"/>
            </w:tcBorders>
            <w:vAlign w:val="bottom"/>
          </w:tcPr>
          <w:p w:rsidRPr="00375163" w:rsidR="00F45C92" w:rsidP="006A2B2F" w:rsidRDefault="00F45C92" w14:paraId="083CA5A9"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201" w:type="dxa"/>
            <w:gridSpan w:val="2"/>
            <w:tcBorders>
              <w:top w:val="single" w:color="auto" w:sz="4" w:space="0"/>
            </w:tcBorders>
            <w:vAlign w:val="bottom"/>
          </w:tcPr>
          <w:p w:rsidRPr="00375163" w:rsidR="00F45C92" w:rsidP="006A2B2F" w:rsidRDefault="00F45C92" w14:paraId="19AC0356"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-4.236</w:t>
            </w:r>
          </w:p>
        </w:tc>
        <w:tc>
          <w:tcPr>
            <w:tcW w:w="1229" w:type="dxa"/>
            <w:gridSpan w:val="2"/>
            <w:tcBorders>
              <w:top w:val="single" w:color="auto" w:sz="4" w:space="0"/>
            </w:tcBorders>
            <w:vAlign w:val="bottom"/>
          </w:tcPr>
          <w:p w:rsidRPr="00375163" w:rsidR="00F45C92" w:rsidP="006A2B2F" w:rsidRDefault="00F45C92" w14:paraId="7708C3E5"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€ 51.266</w:t>
            </w:r>
          </w:p>
        </w:tc>
      </w:tr>
      <w:tr w:rsidRPr="00375163" w:rsidR="00F45C92" w:rsidTr="006A2B2F" w14:paraId="72CD40D3"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375163" w:rsidR="00F45C92" w:rsidP="006A2B2F" w:rsidRDefault="00F45C92" w14:paraId="69983A20" w14:textId="77777777">
            <w:pPr>
              <w:jc w:val="center"/>
              <w:rPr>
                <w:rFonts w:asciiTheme="majorHAnsi" w:hAnsiTheme="majorHAnsi" w:cstheme="majorHAnsi"/>
                <w:color w:val="000000" w:themeColor="text1"/>
                <w:sz w:val="16"/>
                <w:szCs w:val="16"/>
              </w:rPr>
            </w:pPr>
          </w:p>
        </w:tc>
        <w:tc>
          <w:tcPr>
            <w:tcW w:w="782" w:type="dxa"/>
          </w:tcPr>
          <w:p w:rsidRPr="00375163" w:rsidR="00F45C92" w:rsidP="006A2B2F" w:rsidRDefault="00F45C92" w14:paraId="0FFADBF5"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55</w:t>
            </w:r>
          </w:p>
        </w:tc>
        <w:tc>
          <w:tcPr>
            <w:tcW w:w="1053" w:type="dxa"/>
            <w:vAlign w:val="bottom"/>
          </w:tcPr>
          <w:p w:rsidRPr="00375163" w:rsidR="00F45C92" w:rsidP="006A2B2F" w:rsidRDefault="00F45C92" w14:paraId="25D502EC"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039" w:type="dxa"/>
            <w:vAlign w:val="bottom"/>
          </w:tcPr>
          <w:p w:rsidRPr="00375163" w:rsidR="00F45C92" w:rsidP="006A2B2F" w:rsidRDefault="00F45C92" w14:paraId="77DDE50F"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042" w:type="dxa"/>
            <w:gridSpan w:val="2"/>
            <w:vAlign w:val="bottom"/>
          </w:tcPr>
          <w:p w:rsidRPr="00375163" w:rsidR="00F45C92" w:rsidP="006A2B2F" w:rsidRDefault="00F45C92" w14:paraId="16A95BAD"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046" w:type="dxa"/>
            <w:gridSpan w:val="2"/>
            <w:vAlign w:val="bottom"/>
          </w:tcPr>
          <w:p w:rsidRPr="00375163" w:rsidR="00F45C92" w:rsidP="006A2B2F" w:rsidRDefault="00F45C92" w14:paraId="7A2EAC9F"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057" w:type="dxa"/>
            <w:gridSpan w:val="2"/>
            <w:vAlign w:val="bottom"/>
          </w:tcPr>
          <w:p w:rsidRPr="00375163" w:rsidR="00F45C92" w:rsidP="006A2B2F" w:rsidRDefault="00F45C92" w14:paraId="6BA1597A"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-568</w:t>
            </w:r>
          </w:p>
        </w:tc>
        <w:tc>
          <w:tcPr>
            <w:tcW w:w="1201" w:type="dxa"/>
            <w:gridSpan w:val="2"/>
            <w:vAlign w:val="bottom"/>
          </w:tcPr>
          <w:p w:rsidRPr="00375163" w:rsidR="00F45C92" w:rsidP="006A2B2F" w:rsidRDefault="00F45C92" w14:paraId="27F29821"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-6.236</w:t>
            </w:r>
          </w:p>
        </w:tc>
        <w:tc>
          <w:tcPr>
            <w:tcW w:w="1229" w:type="dxa"/>
            <w:gridSpan w:val="2"/>
            <w:vAlign w:val="bottom"/>
          </w:tcPr>
          <w:p w:rsidRPr="00375163" w:rsidR="00F45C92" w:rsidP="006A2B2F" w:rsidRDefault="00F45C92" w14:paraId="20C2F8BD"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€ 23.818</w:t>
            </w:r>
          </w:p>
        </w:tc>
      </w:tr>
      <w:tr w:rsidRPr="00375163" w:rsidR="00F45C92" w:rsidTr="006A2B2F" w14:paraId="0E62BFFD"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375163" w:rsidR="00F45C92" w:rsidP="006A2B2F" w:rsidRDefault="00F45C92" w14:paraId="473CDA82" w14:textId="77777777">
            <w:pPr>
              <w:jc w:val="center"/>
              <w:rPr>
                <w:rFonts w:asciiTheme="majorHAnsi" w:hAnsiTheme="majorHAnsi" w:cstheme="majorHAnsi"/>
                <w:color w:val="000000" w:themeColor="text1"/>
                <w:sz w:val="16"/>
                <w:szCs w:val="16"/>
              </w:rPr>
            </w:pPr>
          </w:p>
        </w:tc>
        <w:tc>
          <w:tcPr>
            <w:tcW w:w="782" w:type="dxa"/>
          </w:tcPr>
          <w:p w:rsidRPr="00375163" w:rsidR="00F45C92" w:rsidP="006A2B2F" w:rsidRDefault="00F45C92" w14:paraId="049790CF"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60</w:t>
            </w:r>
          </w:p>
        </w:tc>
        <w:tc>
          <w:tcPr>
            <w:tcW w:w="1053" w:type="dxa"/>
            <w:vAlign w:val="bottom"/>
          </w:tcPr>
          <w:p w:rsidRPr="00375163" w:rsidR="00F45C92" w:rsidP="006A2B2F" w:rsidRDefault="00F45C92" w14:paraId="459B1809"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039" w:type="dxa"/>
            <w:vAlign w:val="bottom"/>
          </w:tcPr>
          <w:p w:rsidRPr="00375163" w:rsidR="00F45C92" w:rsidP="006A2B2F" w:rsidRDefault="00F45C92" w14:paraId="69F5EC01"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042" w:type="dxa"/>
            <w:gridSpan w:val="2"/>
            <w:vAlign w:val="bottom"/>
          </w:tcPr>
          <w:p w:rsidRPr="00375163" w:rsidR="00F45C92" w:rsidP="006A2B2F" w:rsidRDefault="00F45C92" w14:paraId="1A6BE14B"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€ 0</w:t>
            </w:r>
          </w:p>
        </w:tc>
        <w:tc>
          <w:tcPr>
            <w:tcW w:w="1046" w:type="dxa"/>
            <w:gridSpan w:val="2"/>
            <w:vAlign w:val="bottom"/>
          </w:tcPr>
          <w:p w:rsidRPr="00375163" w:rsidR="00F45C92" w:rsidP="006A2B2F" w:rsidRDefault="00F45C92" w14:paraId="37AEC88C"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-236</w:t>
            </w:r>
          </w:p>
        </w:tc>
        <w:tc>
          <w:tcPr>
            <w:tcW w:w="1057" w:type="dxa"/>
            <w:gridSpan w:val="2"/>
            <w:vAlign w:val="bottom"/>
          </w:tcPr>
          <w:p w:rsidRPr="00375163" w:rsidR="00F45C92" w:rsidP="006A2B2F" w:rsidRDefault="00F45C92" w14:paraId="47507595"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-1.568</w:t>
            </w:r>
          </w:p>
        </w:tc>
        <w:tc>
          <w:tcPr>
            <w:tcW w:w="1201" w:type="dxa"/>
            <w:gridSpan w:val="2"/>
            <w:vAlign w:val="bottom"/>
          </w:tcPr>
          <w:p w:rsidRPr="00375163" w:rsidR="00F45C92" w:rsidP="006A2B2F" w:rsidRDefault="00F45C92" w14:paraId="74BB9CFB"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sz w:val="16"/>
                <w:szCs w:val="16"/>
              </w:rPr>
              <w:t>€ -5.534</w:t>
            </w:r>
          </w:p>
        </w:tc>
        <w:tc>
          <w:tcPr>
            <w:tcW w:w="1229" w:type="dxa"/>
            <w:gridSpan w:val="2"/>
            <w:vAlign w:val="bottom"/>
          </w:tcPr>
          <w:p w:rsidRPr="00375163" w:rsidR="00F45C92" w:rsidP="006A2B2F" w:rsidRDefault="00F45C92" w14:paraId="5C8250CD"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€ 838</w:t>
            </w:r>
          </w:p>
        </w:tc>
      </w:tr>
      <w:tr w:rsidRPr="00375163" w:rsidR="00F45C92" w:rsidTr="006A2B2F" w14:paraId="61272901"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375163" w:rsidR="00F45C92" w:rsidP="006A2B2F" w:rsidRDefault="00F45C92" w14:paraId="7D6BF585" w14:textId="77777777">
            <w:pPr>
              <w:jc w:val="center"/>
              <w:rPr>
                <w:rFonts w:asciiTheme="majorHAnsi" w:hAnsiTheme="majorHAnsi" w:cstheme="majorHAnsi"/>
                <w:color w:val="000000" w:themeColor="text1"/>
                <w:sz w:val="16"/>
                <w:szCs w:val="16"/>
              </w:rPr>
            </w:pPr>
          </w:p>
        </w:tc>
        <w:tc>
          <w:tcPr>
            <w:tcW w:w="782" w:type="dxa"/>
          </w:tcPr>
          <w:p w:rsidRPr="00375163" w:rsidR="00F45C92" w:rsidP="006A2B2F" w:rsidRDefault="00F45C92" w14:paraId="31B6DA64"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65</w:t>
            </w:r>
          </w:p>
        </w:tc>
        <w:tc>
          <w:tcPr>
            <w:tcW w:w="1053" w:type="dxa"/>
            <w:vAlign w:val="bottom"/>
          </w:tcPr>
          <w:p w:rsidRPr="00375163" w:rsidR="00F45C92" w:rsidP="006A2B2F" w:rsidRDefault="00F45C92" w14:paraId="4EE4F788"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39" w:type="dxa"/>
            <w:vAlign w:val="bottom"/>
          </w:tcPr>
          <w:p w:rsidRPr="00375163" w:rsidR="00F45C92" w:rsidP="006A2B2F" w:rsidRDefault="00F45C92" w14:paraId="40F90801"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42" w:type="dxa"/>
            <w:gridSpan w:val="2"/>
            <w:vAlign w:val="bottom"/>
          </w:tcPr>
          <w:p w:rsidRPr="00375163" w:rsidR="00F45C92" w:rsidP="006A2B2F" w:rsidRDefault="00F45C92" w14:paraId="2CB4E1E9"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-102</w:t>
            </w:r>
          </w:p>
        </w:tc>
        <w:tc>
          <w:tcPr>
            <w:tcW w:w="1046" w:type="dxa"/>
            <w:gridSpan w:val="2"/>
            <w:vAlign w:val="bottom"/>
          </w:tcPr>
          <w:p w:rsidRPr="00375163" w:rsidR="00F45C92" w:rsidP="006A2B2F" w:rsidRDefault="00F45C92" w14:paraId="324B6F6D"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-1.836</w:t>
            </w:r>
          </w:p>
        </w:tc>
        <w:tc>
          <w:tcPr>
            <w:tcW w:w="1057" w:type="dxa"/>
            <w:gridSpan w:val="2"/>
            <w:vAlign w:val="bottom"/>
          </w:tcPr>
          <w:p w:rsidRPr="00375163" w:rsidR="00F45C92" w:rsidP="006A2B2F" w:rsidRDefault="00F45C92" w14:paraId="12FE82E4"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-2.850</w:t>
            </w:r>
          </w:p>
        </w:tc>
        <w:tc>
          <w:tcPr>
            <w:tcW w:w="1201" w:type="dxa"/>
            <w:gridSpan w:val="2"/>
            <w:vAlign w:val="bottom"/>
          </w:tcPr>
          <w:p w:rsidRPr="00375163" w:rsidR="00F45C92" w:rsidP="006A2B2F" w:rsidRDefault="00F45C92" w14:paraId="48F01395"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-5.704</w:t>
            </w:r>
          </w:p>
        </w:tc>
        <w:tc>
          <w:tcPr>
            <w:tcW w:w="1229" w:type="dxa"/>
            <w:gridSpan w:val="2"/>
            <w:vAlign w:val="bottom"/>
          </w:tcPr>
          <w:p w:rsidRPr="00375163" w:rsidR="00F45C92" w:rsidP="006A2B2F" w:rsidRDefault="00F45C92" w14:paraId="3D2C2228"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r>
      <w:tr w:rsidRPr="00375163" w:rsidR="00F45C92" w:rsidTr="006A2B2F" w14:paraId="17DCAB09"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375163" w:rsidR="00F45C92" w:rsidP="006A2B2F" w:rsidRDefault="00F45C92" w14:paraId="365CE85A" w14:textId="77777777">
            <w:pPr>
              <w:jc w:val="center"/>
              <w:rPr>
                <w:rFonts w:asciiTheme="majorHAnsi" w:hAnsiTheme="majorHAnsi" w:cstheme="majorHAnsi"/>
                <w:color w:val="000000" w:themeColor="text1"/>
                <w:sz w:val="16"/>
                <w:szCs w:val="16"/>
              </w:rPr>
            </w:pPr>
          </w:p>
        </w:tc>
        <w:tc>
          <w:tcPr>
            <w:tcW w:w="782" w:type="dxa"/>
          </w:tcPr>
          <w:p w:rsidRPr="00375163" w:rsidR="00F45C92" w:rsidP="006A2B2F" w:rsidRDefault="00F45C92" w14:paraId="254A8822"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70</w:t>
            </w:r>
          </w:p>
        </w:tc>
        <w:tc>
          <w:tcPr>
            <w:tcW w:w="1053" w:type="dxa"/>
            <w:vAlign w:val="bottom"/>
          </w:tcPr>
          <w:p w:rsidRPr="00375163" w:rsidR="00F45C92" w:rsidP="006A2B2F" w:rsidRDefault="00F45C92" w14:paraId="3755461C"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39" w:type="dxa"/>
            <w:vAlign w:val="bottom"/>
          </w:tcPr>
          <w:p w:rsidRPr="00375163" w:rsidR="00F45C92" w:rsidP="006A2B2F" w:rsidRDefault="00F45C92" w14:paraId="5D6F7E21"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42" w:type="dxa"/>
            <w:gridSpan w:val="2"/>
            <w:vAlign w:val="bottom"/>
          </w:tcPr>
          <w:p w:rsidRPr="00375163" w:rsidR="00F45C92" w:rsidP="006A2B2F" w:rsidRDefault="00F45C92" w14:paraId="1946AFA7"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-702</w:t>
            </w:r>
          </w:p>
        </w:tc>
        <w:tc>
          <w:tcPr>
            <w:tcW w:w="1046" w:type="dxa"/>
            <w:gridSpan w:val="2"/>
            <w:vAlign w:val="bottom"/>
          </w:tcPr>
          <w:p w:rsidRPr="00375163" w:rsidR="00F45C92" w:rsidP="006A2B2F" w:rsidRDefault="00F45C92" w14:paraId="47CD5037"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-1.550</w:t>
            </w:r>
          </w:p>
        </w:tc>
        <w:tc>
          <w:tcPr>
            <w:tcW w:w="1057" w:type="dxa"/>
            <w:gridSpan w:val="2"/>
            <w:vAlign w:val="bottom"/>
          </w:tcPr>
          <w:p w:rsidRPr="00375163" w:rsidR="00F45C92" w:rsidP="006A2B2F" w:rsidRDefault="00F45C92" w14:paraId="2A8B30D0"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-1.936</w:t>
            </w:r>
          </w:p>
        </w:tc>
        <w:tc>
          <w:tcPr>
            <w:tcW w:w="1201" w:type="dxa"/>
            <w:gridSpan w:val="2"/>
            <w:vAlign w:val="bottom"/>
          </w:tcPr>
          <w:p w:rsidRPr="00375163" w:rsidR="00F45C92" w:rsidP="006A2B2F" w:rsidRDefault="00F45C92" w14:paraId="38DC6571"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-3.874</w:t>
            </w:r>
          </w:p>
        </w:tc>
        <w:tc>
          <w:tcPr>
            <w:tcW w:w="1229" w:type="dxa"/>
            <w:gridSpan w:val="2"/>
            <w:vAlign w:val="bottom"/>
          </w:tcPr>
          <w:p w:rsidRPr="00375163" w:rsidR="00F45C92" w:rsidP="006A2B2F" w:rsidRDefault="00F45C92" w14:paraId="7A2C7DA2"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r>
      <w:tr w:rsidRPr="00375163" w:rsidR="00F45C92" w:rsidTr="006A2B2F" w14:paraId="5DA8AD6A"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375163" w:rsidR="00F45C92" w:rsidP="006A2B2F" w:rsidRDefault="00F45C92" w14:paraId="079A436D" w14:textId="77777777">
            <w:pPr>
              <w:jc w:val="center"/>
              <w:rPr>
                <w:rFonts w:asciiTheme="majorHAnsi" w:hAnsiTheme="majorHAnsi" w:cstheme="majorHAnsi"/>
                <w:color w:val="000000" w:themeColor="text1"/>
                <w:sz w:val="16"/>
                <w:szCs w:val="16"/>
              </w:rPr>
            </w:pPr>
          </w:p>
        </w:tc>
        <w:tc>
          <w:tcPr>
            <w:tcW w:w="782" w:type="dxa"/>
          </w:tcPr>
          <w:p w:rsidRPr="00375163" w:rsidR="00F45C92" w:rsidP="006A2B2F" w:rsidRDefault="00F45C92" w14:paraId="44196731"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75</w:t>
            </w:r>
          </w:p>
        </w:tc>
        <w:tc>
          <w:tcPr>
            <w:tcW w:w="1053" w:type="dxa"/>
            <w:vAlign w:val="bottom"/>
          </w:tcPr>
          <w:p w:rsidRPr="00375163" w:rsidR="00F45C92" w:rsidP="006A2B2F" w:rsidRDefault="00F45C92" w14:paraId="1D989E4A"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39" w:type="dxa"/>
            <w:vAlign w:val="bottom"/>
          </w:tcPr>
          <w:p w:rsidRPr="00375163" w:rsidR="00F45C92" w:rsidP="006A2B2F" w:rsidRDefault="00F45C92" w14:paraId="02FD4E69"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42" w:type="dxa"/>
            <w:gridSpan w:val="2"/>
            <w:vAlign w:val="bottom"/>
          </w:tcPr>
          <w:p w:rsidRPr="00375163" w:rsidR="00F45C92" w:rsidP="006A2B2F" w:rsidRDefault="00F45C92" w14:paraId="4AB5B73C"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-830</w:t>
            </w:r>
          </w:p>
        </w:tc>
        <w:tc>
          <w:tcPr>
            <w:tcW w:w="1046" w:type="dxa"/>
            <w:gridSpan w:val="2"/>
            <w:vAlign w:val="bottom"/>
          </w:tcPr>
          <w:p w:rsidRPr="00375163" w:rsidR="00F45C92" w:rsidP="006A2B2F" w:rsidRDefault="00F45C92" w14:paraId="38434F44"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-1.108</w:t>
            </w:r>
          </w:p>
        </w:tc>
        <w:tc>
          <w:tcPr>
            <w:tcW w:w="1057" w:type="dxa"/>
            <w:gridSpan w:val="2"/>
            <w:vAlign w:val="bottom"/>
          </w:tcPr>
          <w:p w:rsidRPr="00375163" w:rsidR="00F45C92" w:rsidP="006A2B2F" w:rsidRDefault="00F45C92" w14:paraId="0944C5B7"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-1.382</w:t>
            </w:r>
          </w:p>
        </w:tc>
        <w:tc>
          <w:tcPr>
            <w:tcW w:w="1201" w:type="dxa"/>
            <w:gridSpan w:val="2"/>
            <w:vAlign w:val="bottom"/>
          </w:tcPr>
          <w:p w:rsidRPr="00375163" w:rsidR="00F45C92" w:rsidP="006A2B2F" w:rsidRDefault="00F45C92" w14:paraId="2E61A113"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-2.768</w:t>
            </w:r>
          </w:p>
        </w:tc>
        <w:tc>
          <w:tcPr>
            <w:tcW w:w="1229" w:type="dxa"/>
            <w:gridSpan w:val="2"/>
            <w:vAlign w:val="bottom"/>
          </w:tcPr>
          <w:p w:rsidRPr="00375163" w:rsidR="00F45C92" w:rsidP="006A2B2F" w:rsidRDefault="00F45C92" w14:paraId="726D1417"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r>
      <w:tr w:rsidRPr="00375163" w:rsidR="00F45C92" w:rsidTr="006A2B2F" w14:paraId="758EE18A"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375163" w:rsidR="00F45C92" w:rsidP="006A2B2F" w:rsidRDefault="00F45C92" w14:paraId="2B11AD7A" w14:textId="77777777">
            <w:pPr>
              <w:jc w:val="center"/>
              <w:rPr>
                <w:rFonts w:asciiTheme="majorHAnsi" w:hAnsiTheme="majorHAnsi" w:cstheme="majorHAnsi"/>
                <w:color w:val="000000" w:themeColor="text1"/>
                <w:sz w:val="16"/>
                <w:szCs w:val="16"/>
              </w:rPr>
            </w:pPr>
          </w:p>
        </w:tc>
        <w:tc>
          <w:tcPr>
            <w:tcW w:w="782" w:type="dxa"/>
          </w:tcPr>
          <w:p w:rsidRPr="00375163" w:rsidR="00F45C92" w:rsidP="006A2B2F" w:rsidRDefault="00F45C92" w14:paraId="6038DF5C"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80</w:t>
            </w:r>
          </w:p>
        </w:tc>
        <w:tc>
          <w:tcPr>
            <w:tcW w:w="1053" w:type="dxa"/>
            <w:vAlign w:val="bottom"/>
          </w:tcPr>
          <w:p w:rsidRPr="00375163" w:rsidR="00F45C92" w:rsidP="006A2B2F" w:rsidRDefault="00F45C92" w14:paraId="00DDB58D"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39" w:type="dxa"/>
            <w:vAlign w:val="bottom"/>
          </w:tcPr>
          <w:p w:rsidRPr="00375163" w:rsidR="00F45C92" w:rsidP="006A2B2F" w:rsidRDefault="00F45C92" w14:paraId="548A8FA1"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42" w:type="dxa"/>
            <w:gridSpan w:val="2"/>
            <w:vAlign w:val="bottom"/>
          </w:tcPr>
          <w:p w:rsidRPr="00375163" w:rsidR="00F45C92" w:rsidP="006A2B2F" w:rsidRDefault="00F45C92" w14:paraId="62B4F02D"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-280</w:t>
            </w:r>
          </w:p>
        </w:tc>
        <w:tc>
          <w:tcPr>
            <w:tcW w:w="1046" w:type="dxa"/>
            <w:gridSpan w:val="2"/>
            <w:vAlign w:val="bottom"/>
          </w:tcPr>
          <w:p w:rsidRPr="00375163" w:rsidR="00F45C92" w:rsidP="006A2B2F" w:rsidRDefault="00F45C92" w14:paraId="526EC7BC"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-376</w:t>
            </w:r>
          </w:p>
        </w:tc>
        <w:tc>
          <w:tcPr>
            <w:tcW w:w="1057" w:type="dxa"/>
            <w:gridSpan w:val="2"/>
            <w:vAlign w:val="bottom"/>
          </w:tcPr>
          <w:p w:rsidRPr="00375163" w:rsidR="00F45C92" w:rsidP="006A2B2F" w:rsidRDefault="00F45C92" w14:paraId="7EF16BE2"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-468</w:t>
            </w:r>
          </w:p>
        </w:tc>
        <w:tc>
          <w:tcPr>
            <w:tcW w:w="1201" w:type="dxa"/>
            <w:gridSpan w:val="2"/>
            <w:vAlign w:val="bottom"/>
          </w:tcPr>
          <w:p w:rsidRPr="00375163" w:rsidR="00F45C92" w:rsidP="006A2B2F" w:rsidRDefault="00F45C92" w14:paraId="0EC4AF38"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-938</w:t>
            </w:r>
          </w:p>
        </w:tc>
        <w:tc>
          <w:tcPr>
            <w:tcW w:w="1229" w:type="dxa"/>
            <w:gridSpan w:val="2"/>
            <w:vAlign w:val="bottom"/>
          </w:tcPr>
          <w:p w:rsidRPr="00375163" w:rsidR="00F45C92" w:rsidP="006A2B2F" w:rsidRDefault="00F45C92" w14:paraId="2A82C366"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r>
      <w:tr w:rsidRPr="00375163" w:rsidR="00F45C92" w:rsidTr="006A2B2F" w14:paraId="32A10F91"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375163" w:rsidR="00F45C92" w:rsidP="006A2B2F" w:rsidRDefault="00F45C92" w14:paraId="056F61E6" w14:textId="77777777">
            <w:pPr>
              <w:jc w:val="center"/>
              <w:rPr>
                <w:rFonts w:asciiTheme="majorHAnsi" w:hAnsiTheme="majorHAnsi" w:cstheme="majorHAnsi"/>
                <w:color w:val="000000" w:themeColor="text1"/>
                <w:sz w:val="16"/>
                <w:szCs w:val="16"/>
              </w:rPr>
            </w:pPr>
          </w:p>
        </w:tc>
        <w:tc>
          <w:tcPr>
            <w:tcW w:w="782" w:type="dxa"/>
          </w:tcPr>
          <w:p w:rsidRPr="00375163" w:rsidR="00F45C92" w:rsidP="006A2B2F" w:rsidRDefault="00F45C92" w14:paraId="1D0B6449"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85</w:t>
            </w:r>
          </w:p>
        </w:tc>
        <w:tc>
          <w:tcPr>
            <w:tcW w:w="1053" w:type="dxa"/>
            <w:vAlign w:val="bottom"/>
          </w:tcPr>
          <w:p w:rsidRPr="00375163" w:rsidR="00F45C92" w:rsidP="006A2B2F" w:rsidRDefault="00F45C92" w14:paraId="5913130B"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39" w:type="dxa"/>
            <w:vAlign w:val="bottom"/>
          </w:tcPr>
          <w:p w:rsidRPr="00375163" w:rsidR="00F45C92" w:rsidP="006A2B2F" w:rsidRDefault="00F45C92" w14:paraId="4BCE749F"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-76</w:t>
            </w:r>
          </w:p>
        </w:tc>
        <w:tc>
          <w:tcPr>
            <w:tcW w:w="1042" w:type="dxa"/>
            <w:gridSpan w:val="2"/>
            <w:vAlign w:val="bottom"/>
          </w:tcPr>
          <w:p w:rsidRPr="00375163" w:rsidR="00F45C92" w:rsidP="006A2B2F" w:rsidRDefault="00F45C92" w14:paraId="4A5CD99E"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-114</w:t>
            </w:r>
          </w:p>
        </w:tc>
        <w:tc>
          <w:tcPr>
            <w:tcW w:w="1046" w:type="dxa"/>
            <w:gridSpan w:val="2"/>
            <w:vAlign w:val="bottom"/>
          </w:tcPr>
          <w:p w:rsidRPr="00375163" w:rsidR="00F45C92" w:rsidP="006A2B2F" w:rsidRDefault="00F45C92" w14:paraId="671564C7"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-154</w:t>
            </w:r>
          </w:p>
        </w:tc>
        <w:tc>
          <w:tcPr>
            <w:tcW w:w="1057" w:type="dxa"/>
            <w:gridSpan w:val="2"/>
            <w:vAlign w:val="bottom"/>
          </w:tcPr>
          <w:p w:rsidRPr="00375163" w:rsidR="00F45C92" w:rsidP="006A2B2F" w:rsidRDefault="00F45C92" w14:paraId="3AC81317"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-190</w:t>
            </w:r>
          </w:p>
        </w:tc>
        <w:tc>
          <w:tcPr>
            <w:tcW w:w="1201" w:type="dxa"/>
            <w:gridSpan w:val="2"/>
            <w:vAlign w:val="bottom"/>
          </w:tcPr>
          <w:p w:rsidRPr="00375163" w:rsidR="00F45C92" w:rsidP="006A2B2F" w:rsidRDefault="00F45C92" w14:paraId="2891294E"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-384</w:t>
            </w:r>
          </w:p>
        </w:tc>
        <w:tc>
          <w:tcPr>
            <w:tcW w:w="1229" w:type="dxa"/>
            <w:gridSpan w:val="2"/>
            <w:vAlign w:val="bottom"/>
          </w:tcPr>
          <w:p w:rsidRPr="00375163" w:rsidR="00F45C92" w:rsidP="006A2B2F" w:rsidRDefault="00F45C92" w14:paraId="63EA67E8"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r>
      <w:tr w:rsidRPr="00375163" w:rsidR="00F45C92" w:rsidTr="006A2B2F" w14:paraId="312CBC43"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375163" w:rsidR="00F45C92" w:rsidP="006A2B2F" w:rsidRDefault="00F45C92" w14:paraId="67DEF0CF" w14:textId="77777777">
            <w:pPr>
              <w:jc w:val="center"/>
              <w:rPr>
                <w:rFonts w:asciiTheme="majorHAnsi" w:hAnsiTheme="majorHAnsi" w:cstheme="majorHAnsi"/>
                <w:color w:val="000000" w:themeColor="text1"/>
                <w:sz w:val="16"/>
                <w:szCs w:val="16"/>
              </w:rPr>
            </w:pPr>
          </w:p>
        </w:tc>
        <w:tc>
          <w:tcPr>
            <w:tcW w:w="782" w:type="dxa"/>
          </w:tcPr>
          <w:p w:rsidRPr="00375163" w:rsidR="00F45C92" w:rsidP="006A2B2F" w:rsidRDefault="00F45C92" w14:paraId="6EC92BCF"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6"/>
                <w:szCs w:val="16"/>
              </w:rPr>
            </w:pPr>
            <w:r w:rsidRPr="00375163">
              <w:rPr>
                <w:rFonts w:asciiTheme="majorHAnsi" w:hAnsiTheme="majorHAnsi" w:cstheme="majorHAnsi"/>
                <w:color w:val="000000" w:themeColor="text1"/>
                <w:sz w:val="16"/>
                <w:szCs w:val="16"/>
              </w:rPr>
              <w:t>90</w:t>
            </w:r>
          </w:p>
        </w:tc>
        <w:tc>
          <w:tcPr>
            <w:tcW w:w="1053" w:type="dxa"/>
            <w:vAlign w:val="bottom"/>
          </w:tcPr>
          <w:p w:rsidRPr="00375163" w:rsidR="00F45C92" w:rsidP="006A2B2F" w:rsidRDefault="00F45C92" w14:paraId="36A292A5"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€ 0</w:t>
            </w:r>
          </w:p>
        </w:tc>
        <w:tc>
          <w:tcPr>
            <w:tcW w:w="1039" w:type="dxa"/>
            <w:vAlign w:val="bottom"/>
          </w:tcPr>
          <w:p w:rsidRPr="00375163" w:rsidR="00F45C92" w:rsidP="006A2B2F" w:rsidRDefault="00F45C92" w14:paraId="15E093E5"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€ 34</w:t>
            </w:r>
          </w:p>
        </w:tc>
        <w:tc>
          <w:tcPr>
            <w:tcW w:w="1042" w:type="dxa"/>
            <w:gridSpan w:val="2"/>
            <w:vAlign w:val="bottom"/>
          </w:tcPr>
          <w:p w:rsidRPr="00375163" w:rsidR="00F45C92" w:rsidP="006A2B2F" w:rsidRDefault="00F45C92" w14:paraId="63966466"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€ 52</w:t>
            </w:r>
          </w:p>
        </w:tc>
        <w:tc>
          <w:tcPr>
            <w:tcW w:w="1046" w:type="dxa"/>
            <w:gridSpan w:val="2"/>
            <w:vAlign w:val="bottom"/>
          </w:tcPr>
          <w:p w:rsidRPr="00375163" w:rsidR="00F45C92" w:rsidP="006A2B2F" w:rsidRDefault="00F45C92" w14:paraId="1B967D57"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€ 68</w:t>
            </w:r>
          </w:p>
        </w:tc>
        <w:tc>
          <w:tcPr>
            <w:tcW w:w="1057" w:type="dxa"/>
            <w:gridSpan w:val="2"/>
            <w:vAlign w:val="bottom"/>
          </w:tcPr>
          <w:p w:rsidRPr="00375163" w:rsidR="00F45C92" w:rsidP="006A2B2F" w:rsidRDefault="00F45C92" w14:paraId="775335BD"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€ 86</w:t>
            </w:r>
          </w:p>
        </w:tc>
        <w:tc>
          <w:tcPr>
            <w:tcW w:w="1201" w:type="dxa"/>
            <w:gridSpan w:val="2"/>
            <w:vAlign w:val="bottom"/>
          </w:tcPr>
          <w:p w:rsidRPr="00375163" w:rsidR="00F45C92" w:rsidP="006A2B2F" w:rsidRDefault="00F45C92" w14:paraId="4E418A45"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€ 170</w:t>
            </w:r>
          </w:p>
        </w:tc>
        <w:tc>
          <w:tcPr>
            <w:tcW w:w="1229" w:type="dxa"/>
            <w:gridSpan w:val="2"/>
            <w:vAlign w:val="bottom"/>
          </w:tcPr>
          <w:p w:rsidRPr="00375163" w:rsidR="00F45C92" w:rsidP="006A2B2F" w:rsidRDefault="00F45C92" w14:paraId="43626796" w14:textId="7777777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375163">
              <w:rPr>
                <w:rFonts w:asciiTheme="majorHAnsi" w:hAnsiTheme="majorHAnsi" w:cstheme="majorHAnsi"/>
                <w:sz w:val="16"/>
                <w:szCs w:val="16"/>
              </w:rPr>
              <w:t>€ 765</w:t>
            </w:r>
          </w:p>
        </w:tc>
      </w:tr>
    </w:tbl>
    <w:p w:rsidRPr="00375163" w:rsidR="00F45C92" w:rsidP="00F45C92" w:rsidRDefault="00F45C92" w14:paraId="1C3F16DB" w14:textId="77777777">
      <w:pPr>
        <w:spacing w:line="276" w:lineRule="auto"/>
        <w:contextualSpacing/>
        <w:rPr>
          <w:rFonts w:asciiTheme="majorHAnsi" w:hAnsiTheme="majorHAnsi" w:cstheme="majorHAnsi"/>
          <w:sz w:val="16"/>
          <w:szCs w:val="16"/>
        </w:rPr>
      </w:pPr>
    </w:p>
    <w:p w:rsidRPr="00375163" w:rsidR="00F45C92" w:rsidP="00F45C92" w:rsidRDefault="00F45C92" w14:paraId="3B5C9218" w14:textId="77777777">
      <w:pPr>
        <w:spacing w:line="276" w:lineRule="auto"/>
        <w:contextualSpacing/>
        <w:rPr>
          <w:rFonts w:asciiTheme="minorHAnsi" w:hAnsiTheme="minorHAnsi" w:cstheme="minorHAnsi"/>
          <w:b/>
          <w:bCs/>
        </w:rPr>
      </w:pPr>
    </w:p>
    <w:p w:rsidRPr="00CE7510" w:rsidR="00F45C92" w:rsidP="00F45C92" w:rsidRDefault="00F45C92" w14:paraId="695D87F2" w14:textId="77777777">
      <w:pPr>
        <w:spacing w:line="276" w:lineRule="auto"/>
        <w:contextualSpacing/>
        <w:rPr>
          <w:rFonts w:asciiTheme="minorHAnsi" w:hAnsiTheme="minorHAnsi" w:cstheme="minorHAnsi"/>
          <w:b/>
          <w:bCs/>
          <w:sz w:val="20"/>
          <w:szCs w:val="20"/>
        </w:rPr>
      </w:pPr>
    </w:p>
    <w:p w:rsidRPr="00B00EB7" w:rsidR="00F45C92" w:rsidP="00F45C92" w:rsidRDefault="00F45C92" w14:paraId="443537F7" w14:textId="77777777">
      <w:pPr>
        <w:spacing w:line="259" w:lineRule="auto"/>
        <w:rPr>
          <w:rFonts w:asciiTheme="minorHAnsi" w:hAnsiTheme="minorHAnsi" w:cstheme="minorHAnsi"/>
          <w:sz w:val="20"/>
          <w:szCs w:val="20"/>
        </w:rPr>
      </w:pPr>
      <w:r w:rsidRPr="00B00EB7">
        <w:rPr>
          <w:rFonts w:asciiTheme="minorHAnsi" w:hAnsiTheme="minorHAnsi" w:cstheme="minorHAnsi"/>
          <w:b/>
          <w:bCs/>
          <w:sz w:val="20"/>
          <w:szCs w:val="20"/>
        </w:rPr>
        <w:t>Situatie 2: doorrekeningen voorbeeldnalatenschappen testament met rente 2025</w:t>
      </w:r>
      <w:r w:rsidRPr="00B00EB7">
        <w:rPr>
          <w:rStyle w:val="Voetnootmarkering"/>
          <w:rFonts w:asciiTheme="minorHAnsi" w:hAnsiTheme="minorHAnsi" w:cstheme="minorHAnsi"/>
          <w:b/>
          <w:bCs/>
          <w:sz w:val="20"/>
          <w:szCs w:val="20"/>
        </w:rPr>
        <w:footnoteReference w:id="11"/>
      </w:r>
      <w:r w:rsidRPr="00B00EB7">
        <w:rPr>
          <w:rStyle w:val="Voetnootmarkering"/>
          <w:rFonts w:asciiTheme="minorHAnsi" w:hAnsiTheme="minorHAnsi" w:cstheme="minorHAnsi"/>
          <w:b/>
          <w:bCs/>
          <w:sz w:val="20"/>
          <w:szCs w:val="20"/>
        </w:rPr>
        <w:footnoteReference w:id="12"/>
      </w:r>
    </w:p>
    <w:p w:rsidRPr="00B00EB7" w:rsidR="00F45C92" w:rsidP="00F45C92" w:rsidRDefault="00F45C92" w14:paraId="48B0CB88" w14:textId="77777777">
      <w:pPr>
        <w:spacing w:line="276" w:lineRule="auto"/>
        <w:contextualSpacing/>
        <w:rPr>
          <w:rFonts w:asciiTheme="minorHAnsi" w:hAnsiTheme="minorHAnsi" w:cstheme="minorHAnsi"/>
          <w:sz w:val="20"/>
          <w:szCs w:val="20"/>
        </w:rPr>
      </w:pPr>
      <w:r w:rsidRPr="00B00EB7">
        <w:rPr>
          <w:rFonts w:asciiTheme="minorHAnsi" w:hAnsiTheme="minorHAnsi" w:cstheme="minorHAnsi"/>
          <w:sz w:val="20"/>
          <w:szCs w:val="20"/>
        </w:rPr>
        <w:t>Tabel 2.1 Mutatie te betalen erfbelasting per kind bij overlijden langstlevende partner</w:t>
      </w:r>
      <w:r w:rsidRPr="00B00EB7">
        <w:rPr>
          <w:rStyle w:val="Voetnootmarkering"/>
          <w:rFonts w:asciiTheme="minorHAnsi" w:hAnsiTheme="minorHAnsi" w:cstheme="minorHAnsi"/>
          <w:sz w:val="20"/>
          <w:szCs w:val="20"/>
        </w:rPr>
        <w:footnoteReference w:id="13"/>
      </w:r>
    </w:p>
    <w:tbl>
      <w:tblPr>
        <w:tblStyle w:val="Lijsttabel1licht-Accent3"/>
        <w:tblpPr w:leftFromText="141" w:rightFromText="141" w:vertAnchor="text" w:horzAnchor="margin" w:tblpY="116"/>
        <w:tblW w:w="9477" w:type="dxa"/>
        <w:tblLook w:val="04A0" w:firstRow="1" w:lastRow="0" w:firstColumn="1" w:lastColumn="0" w:noHBand="0" w:noVBand="1"/>
      </w:tblPr>
      <w:tblGrid>
        <w:gridCol w:w="1001"/>
        <w:gridCol w:w="782"/>
        <w:gridCol w:w="1053"/>
        <w:gridCol w:w="1039"/>
        <w:gridCol w:w="14"/>
        <w:gridCol w:w="1028"/>
        <w:gridCol w:w="26"/>
        <w:gridCol w:w="1020"/>
        <w:gridCol w:w="34"/>
        <w:gridCol w:w="1023"/>
        <w:gridCol w:w="31"/>
        <w:gridCol w:w="1170"/>
        <w:gridCol w:w="43"/>
        <w:gridCol w:w="1186"/>
        <w:gridCol w:w="27"/>
      </w:tblGrid>
      <w:tr w:rsidRPr="00CE7510" w:rsidR="00F45C92" w:rsidTr="006A2B2F" w14:paraId="1C3C4F0F" w14:textId="77777777">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783" w:type="dxa"/>
            <w:gridSpan w:val="2"/>
            <w:tcBorders>
              <w:top w:val="single" w:color="auto" w:sz="4" w:space="0"/>
              <w:bottom w:val="single" w:color="auto" w:sz="4" w:space="0"/>
            </w:tcBorders>
          </w:tcPr>
          <w:p w:rsidRPr="001F298E" w:rsidR="00F45C92" w:rsidP="006A2B2F" w:rsidRDefault="00F45C92" w14:paraId="417D0137" w14:textId="77777777">
            <w:pPr>
              <w:spacing w:line="276" w:lineRule="auto"/>
              <w:contextualSpacing/>
              <w:rPr>
                <w:rFonts w:asciiTheme="minorHAnsi" w:hAnsiTheme="minorHAnsi" w:cstheme="minorHAnsi"/>
                <w:b w:val="0"/>
                <w:bCs w:val="0"/>
                <w:i/>
                <w:iCs/>
                <w:color w:val="000000" w:themeColor="text1"/>
                <w:sz w:val="16"/>
                <w:szCs w:val="16"/>
              </w:rPr>
            </w:pPr>
            <w:r w:rsidRPr="001F298E">
              <w:rPr>
                <w:rFonts w:asciiTheme="minorHAnsi" w:hAnsiTheme="minorHAnsi" w:cstheme="minorHAnsi"/>
                <w:b w:val="0"/>
                <w:bCs w:val="0"/>
                <w:color w:val="000000" w:themeColor="text1"/>
                <w:sz w:val="16"/>
                <w:szCs w:val="16"/>
              </w:rPr>
              <w:t xml:space="preserve">Gemeenschappelijk vermogen ouders </w:t>
            </w:r>
          </w:p>
        </w:tc>
        <w:tc>
          <w:tcPr>
            <w:tcW w:w="1053" w:type="dxa"/>
            <w:tcBorders>
              <w:top w:val="single" w:color="auto" w:sz="4" w:space="0"/>
              <w:bottom w:val="single" w:color="auto" w:sz="4" w:space="0"/>
            </w:tcBorders>
          </w:tcPr>
          <w:p w:rsidRPr="001F298E" w:rsidR="00F45C92" w:rsidP="006A2B2F" w:rsidRDefault="00F45C92" w14:paraId="73A46887"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sz w:val="16"/>
                <w:szCs w:val="16"/>
              </w:rPr>
            </w:pPr>
            <w:r w:rsidRPr="001F298E">
              <w:rPr>
                <w:rFonts w:asciiTheme="minorHAnsi" w:hAnsiTheme="minorHAnsi" w:cstheme="minorHAnsi"/>
                <w:color w:val="000000" w:themeColor="text1"/>
                <w:sz w:val="16"/>
                <w:szCs w:val="16"/>
              </w:rPr>
              <w:t>€ </w:t>
            </w:r>
            <w:r w:rsidRPr="001F298E">
              <w:rPr>
                <w:rFonts w:asciiTheme="minorHAnsi" w:hAnsiTheme="minorHAnsi" w:cstheme="minorHAnsi"/>
                <w:b w:val="0"/>
                <w:bCs w:val="0"/>
                <w:color w:val="000000" w:themeColor="text1"/>
                <w:sz w:val="16"/>
                <w:szCs w:val="16"/>
              </w:rPr>
              <w:t>100.000</w:t>
            </w:r>
          </w:p>
        </w:tc>
        <w:tc>
          <w:tcPr>
            <w:tcW w:w="1053" w:type="dxa"/>
            <w:gridSpan w:val="2"/>
            <w:tcBorders>
              <w:top w:val="single" w:color="auto" w:sz="4" w:space="0"/>
              <w:bottom w:val="single" w:color="auto" w:sz="4" w:space="0"/>
            </w:tcBorders>
          </w:tcPr>
          <w:p w:rsidRPr="001F298E" w:rsidR="00F45C92" w:rsidP="006A2B2F" w:rsidRDefault="00F45C92" w14:paraId="054B032D"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sz w:val="16"/>
                <w:szCs w:val="16"/>
              </w:rPr>
            </w:pPr>
            <w:r w:rsidRPr="001F298E">
              <w:rPr>
                <w:rFonts w:asciiTheme="minorHAnsi" w:hAnsiTheme="minorHAnsi" w:cstheme="minorHAnsi"/>
                <w:color w:val="000000" w:themeColor="text1"/>
                <w:sz w:val="16"/>
                <w:szCs w:val="16"/>
              </w:rPr>
              <w:t>€ </w:t>
            </w:r>
            <w:r w:rsidRPr="001F298E">
              <w:rPr>
                <w:rFonts w:asciiTheme="minorHAnsi" w:hAnsiTheme="minorHAnsi" w:cstheme="minorHAnsi"/>
                <w:b w:val="0"/>
                <w:bCs w:val="0"/>
                <w:color w:val="000000" w:themeColor="text1"/>
                <w:sz w:val="16"/>
                <w:szCs w:val="16"/>
              </w:rPr>
              <w:t>200.000</w:t>
            </w:r>
          </w:p>
        </w:tc>
        <w:tc>
          <w:tcPr>
            <w:tcW w:w="1054" w:type="dxa"/>
            <w:gridSpan w:val="2"/>
            <w:tcBorders>
              <w:top w:val="single" w:color="auto" w:sz="4" w:space="0"/>
              <w:bottom w:val="single" w:color="auto" w:sz="4" w:space="0"/>
            </w:tcBorders>
          </w:tcPr>
          <w:p w:rsidRPr="001F298E" w:rsidR="00F45C92" w:rsidP="006A2B2F" w:rsidRDefault="00F45C92" w14:paraId="29C579D7"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sz w:val="16"/>
                <w:szCs w:val="16"/>
              </w:rPr>
            </w:pPr>
            <w:r w:rsidRPr="001F298E">
              <w:rPr>
                <w:rFonts w:asciiTheme="minorHAnsi" w:hAnsiTheme="minorHAnsi" w:cstheme="minorHAnsi"/>
                <w:color w:val="000000" w:themeColor="text1"/>
                <w:sz w:val="16"/>
                <w:szCs w:val="16"/>
              </w:rPr>
              <w:t>€ </w:t>
            </w:r>
            <w:r w:rsidRPr="001F298E">
              <w:rPr>
                <w:rFonts w:asciiTheme="minorHAnsi" w:hAnsiTheme="minorHAnsi" w:cstheme="minorHAnsi"/>
                <w:b w:val="0"/>
                <w:bCs w:val="0"/>
                <w:color w:val="000000" w:themeColor="text1"/>
                <w:sz w:val="16"/>
                <w:szCs w:val="16"/>
              </w:rPr>
              <w:t>300.000</w:t>
            </w:r>
          </w:p>
        </w:tc>
        <w:tc>
          <w:tcPr>
            <w:tcW w:w="1054" w:type="dxa"/>
            <w:gridSpan w:val="2"/>
            <w:tcBorders>
              <w:top w:val="single" w:color="auto" w:sz="4" w:space="0"/>
              <w:bottom w:val="single" w:color="auto" w:sz="4" w:space="0"/>
            </w:tcBorders>
          </w:tcPr>
          <w:p w:rsidRPr="001F298E" w:rsidR="00F45C92" w:rsidP="006A2B2F" w:rsidRDefault="00F45C92" w14:paraId="17DFF231"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sz w:val="16"/>
                <w:szCs w:val="16"/>
              </w:rPr>
            </w:pPr>
            <w:r w:rsidRPr="001F298E">
              <w:rPr>
                <w:rFonts w:asciiTheme="minorHAnsi" w:hAnsiTheme="minorHAnsi" w:cstheme="minorHAnsi"/>
                <w:color w:val="000000" w:themeColor="text1"/>
                <w:sz w:val="16"/>
                <w:szCs w:val="16"/>
              </w:rPr>
              <w:t>€ </w:t>
            </w:r>
            <w:r w:rsidRPr="001F298E">
              <w:rPr>
                <w:rFonts w:asciiTheme="minorHAnsi" w:hAnsiTheme="minorHAnsi" w:cstheme="minorHAnsi"/>
                <w:b w:val="0"/>
                <w:bCs w:val="0"/>
                <w:color w:val="000000" w:themeColor="text1"/>
                <w:sz w:val="16"/>
                <w:szCs w:val="16"/>
              </w:rPr>
              <w:t>400.000</w:t>
            </w:r>
          </w:p>
        </w:tc>
        <w:tc>
          <w:tcPr>
            <w:tcW w:w="1054" w:type="dxa"/>
            <w:gridSpan w:val="2"/>
            <w:tcBorders>
              <w:top w:val="single" w:color="auto" w:sz="4" w:space="0"/>
              <w:bottom w:val="single" w:color="auto" w:sz="4" w:space="0"/>
            </w:tcBorders>
          </w:tcPr>
          <w:p w:rsidRPr="001F298E" w:rsidR="00F45C92" w:rsidP="006A2B2F" w:rsidRDefault="00F45C92" w14:paraId="055B076A"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sz w:val="16"/>
                <w:szCs w:val="16"/>
              </w:rPr>
            </w:pPr>
            <w:r w:rsidRPr="001F298E">
              <w:rPr>
                <w:rFonts w:asciiTheme="minorHAnsi" w:hAnsiTheme="minorHAnsi" w:cstheme="minorHAnsi"/>
                <w:color w:val="000000" w:themeColor="text1"/>
                <w:sz w:val="16"/>
                <w:szCs w:val="16"/>
              </w:rPr>
              <w:t>€ </w:t>
            </w:r>
            <w:r w:rsidRPr="001F298E">
              <w:rPr>
                <w:rFonts w:asciiTheme="minorHAnsi" w:hAnsiTheme="minorHAnsi" w:cstheme="minorHAnsi"/>
                <w:b w:val="0"/>
                <w:bCs w:val="0"/>
                <w:color w:val="000000" w:themeColor="text1"/>
                <w:sz w:val="16"/>
                <w:szCs w:val="16"/>
              </w:rPr>
              <w:t>500.000</w:t>
            </w:r>
          </w:p>
        </w:tc>
        <w:tc>
          <w:tcPr>
            <w:tcW w:w="1213" w:type="dxa"/>
            <w:gridSpan w:val="2"/>
            <w:tcBorders>
              <w:top w:val="single" w:color="auto" w:sz="4" w:space="0"/>
              <w:bottom w:val="single" w:color="auto" w:sz="4" w:space="0"/>
            </w:tcBorders>
          </w:tcPr>
          <w:p w:rsidRPr="004B4A03" w:rsidR="00F45C92" w:rsidP="006A2B2F" w:rsidRDefault="00F45C92" w14:paraId="1038172C"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sz w:val="16"/>
                <w:szCs w:val="16"/>
              </w:rPr>
            </w:pPr>
            <w:r w:rsidRPr="004B4A03">
              <w:rPr>
                <w:rFonts w:asciiTheme="minorHAnsi" w:hAnsiTheme="minorHAnsi" w:cstheme="minorHAnsi"/>
                <w:color w:val="000000" w:themeColor="text1"/>
                <w:sz w:val="16"/>
                <w:szCs w:val="16"/>
              </w:rPr>
              <w:t>€ </w:t>
            </w:r>
            <w:r w:rsidRPr="004B4A03">
              <w:rPr>
                <w:rFonts w:asciiTheme="minorHAnsi" w:hAnsiTheme="minorHAnsi" w:cstheme="minorHAnsi"/>
                <w:b w:val="0"/>
                <w:bCs w:val="0"/>
                <w:color w:val="000000" w:themeColor="text1"/>
                <w:sz w:val="16"/>
                <w:szCs w:val="16"/>
              </w:rPr>
              <w:t>1.000.000</w:t>
            </w:r>
          </w:p>
        </w:tc>
        <w:tc>
          <w:tcPr>
            <w:tcW w:w="1213" w:type="dxa"/>
            <w:gridSpan w:val="2"/>
            <w:tcBorders>
              <w:top w:val="single" w:color="auto" w:sz="4" w:space="0"/>
              <w:bottom w:val="single" w:color="auto" w:sz="4" w:space="0"/>
            </w:tcBorders>
          </w:tcPr>
          <w:p w:rsidRPr="004B4A03" w:rsidR="00F45C92" w:rsidP="006A2B2F" w:rsidRDefault="00F45C92" w14:paraId="52DDA629"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sz w:val="16"/>
                <w:szCs w:val="16"/>
              </w:rPr>
            </w:pPr>
            <w:r w:rsidRPr="004B4A03">
              <w:rPr>
                <w:rFonts w:asciiTheme="minorHAnsi" w:hAnsiTheme="minorHAnsi" w:cstheme="minorHAnsi"/>
                <w:color w:val="000000" w:themeColor="text1"/>
                <w:sz w:val="16"/>
                <w:szCs w:val="16"/>
              </w:rPr>
              <w:t>€ 4</w:t>
            </w:r>
            <w:r w:rsidRPr="004B4A03">
              <w:rPr>
                <w:rFonts w:asciiTheme="minorHAnsi" w:hAnsiTheme="minorHAnsi" w:cstheme="minorHAnsi"/>
                <w:b w:val="0"/>
                <w:bCs w:val="0"/>
                <w:color w:val="000000" w:themeColor="text1"/>
                <w:sz w:val="16"/>
                <w:szCs w:val="16"/>
              </w:rPr>
              <w:t>.500.000</w:t>
            </w:r>
          </w:p>
        </w:tc>
      </w:tr>
      <w:tr w:rsidRPr="004B4A03" w:rsidR="00F45C92" w:rsidTr="006A2B2F" w14:paraId="3B9FBD3B"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783" w:type="dxa"/>
            <w:gridSpan w:val="2"/>
            <w:tcBorders>
              <w:top w:val="single" w:color="auto" w:sz="4" w:space="0"/>
              <w:bottom w:val="single" w:color="auto" w:sz="4" w:space="0"/>
            </w:tcBorders>
          </w:tcPr>
          <w:p w:rsidRPr="0070488C" w:rsidR="00F45C92" w:rsidP="006A2B2F" w:rsidRDefault="00F45C92" w14:paraId="50B1B5F5" w14:textId="77777777">
            <w:pPr>
              <w:spacing w:line="276" w:lineRule="auto"/>
              <w:contextualSpacing/>
              <w:rPr>
                <w:rFonts w:asciiTheme="minorHAnsi" w:hAnsiTheme="minorHAnsi" w:cstheme="minorHAnsi"/>
                <w:b w:val="0"/>
                <w:bCs w:val="0"/>
                <w:color w:val="000000" w:themeColor="text1"/>
                <w:sz w:val="16"/>
                <w:szCs w:val="16"/>
              </w:rPr>
            </w:pPr>
            <w:r w:rsidRPr="0070488C">
              <w:rPr>
                <w:rFonts w:asciiTheme="minorHAnsi" w:hAnsiTheme="minorHAnsi" w:cstheme="minorHAnsi"/>
                <w:b w:val="0"/>
                <w:bCs w:val="0"/>
                <w:color w:val="000000" w:themeColor="text1"/>
                <w:sz w:val="16"/>
                <w:szCs w:val="16"/>
              </w:rPr>
              <w:t>Erfenis per kind</w:t>
            </w:r>
          </w:p>
        </w:tc>
        <w:tc>
          <w:tcPr>
            <w:tcW w:w="1053" w:type="dxa"/>
            <w:tcBorders>
              <w:top w:val="single" w:color="auto" w:sz="4" w:space="0"/>
              <w:bottom w:val="single" w:color="auto" w:sz="4" w:space="0"/>
            </w:tcBorders>
          </w:tcPr>
          <w:p w:rsidRPr="001F298E" w:rsidR="00F45C92" w:rsidP="006A2B2F" w:rsidRDefault="00F45C92" w14:paraId="4C9E6B18"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F298E">
              <w:rPr>
                <w:rFonts w:asciiTheme="minorHAnsi" w:hAnsiTheme="minorHAnsi" w:cstheme="minorHAnsi"/>
                <w:color w:val="000000" w:themeColor="text1"/>
                <w:sz w:val="16"/>
                <w:szCs w:val="16"/>
              </w:rPr>
              <w:t>€ 16.667</w:t>
            </w:r>
          </w:p>
        </w:tc>
        <w:tc>
          <w:tcPr>
            <w:tcW w:w="1039" w:type="dxa"/>
            <w:tcBorders>
              <w:top w:val="single" w:color="auto" w:sz="4" w:space="0"/>
              <w:bottom w:val="single" w:color="auto" w:sz="4" w:space="0"/>
            </w:tcBorders>
          </w:tcPr>
          <w:p w:rsidRPr="001F298E" w:rsidR="00F45C92" w:rsidP="006A2B2F" w:rsidRDefault="00F45C92" w14:paraId="747F518E"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F298E">
              <w:rPr>
                <w:rFonts w:asciiTheme="minorHAnsi" w:hAnsiTheme="minorHAnsi" w:cstheme="minorHAnsi"/>
                <w:color w:val="000000" w:themeColor="text1"/>
                <w:sz w:val="16"/>
                <w:szCs w:val="16"/>
              </w:rPr>
              <w:t>€ 33.333</w:t>
            </w:r>
          </w:p>
        </w:tc>
        <w:tc>
          <w:tcPr>
            <w:tcW w:w="1042" w:type="dxa"/>
            <w:gridSpan w:val="2"/>
            <w:tcBorders>
              <w:top w:val="single" w:color="auto" w:sz="4" w:space="0"/>
              <w:bottom w:val="single" w:color="auto" w:sz="4" w:space="0"/>
            </w:tcBorders>
          </w:tcPr>
          <w:p w:rsidRPr="001F298E" w:rsidR="00F45C92" w:rsidP="006A2B2F" w:rsidRDefault="00F45C92" w14:paraId="5368AC9F"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F298E">
              <w:rPr>
                <w:rFonts w:asciiTheme="minorHAnsi" w:hAnsiTheme="minorHAnsi" w:cstheme="minorHAnsi"/>
                <w:color w:val="000000" w:themeColor="text1"/>
                <w:sz w:val="16"/>
                <w:szCs w:val="16"/>
              </w:rPr>
              <w:t>€ 50.000</w:t>
            </w:r>
          </w:p>
        </w:tc>
        <w:tc>
          <w:tcPr>
            <w:tcW w:w="1046" w:type="dxa"/>
            <w:gridSpan w:val="2"/>
            <w:tcBorders>
              <w:top w:val="single" w:color="auto" w:sz="4" w:space="0"/>
              <w:bottom w:val="single" w:color="auto" w:sz="4" w:space="0"/>
            </w:tcBorders>
          </w:tcPr>
          <w:p w:rsidRPr="001F298E" w:rsidR="00F45C92" w:rsidP="006A2B2F" w:rsidRDefault="00F45C92" w14:paraId="71B3294C"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F298E">
              <w:rPr>
                <w:rFonts w:asciiTheme="minorHAnsi" w:hAnsiTheme="minorHAnsi" w:cstheme="minorHAnsi"/>
                <w:color w:val="000000" w:themeColor="text1"/>
                <w:sz w:val="16"/>
                <w:szCs w:val="16"/>
              </w:rPr>
              <w:t>€ 66.667</w:t>
            </w:r>
          </w:p>
        </w:tc>
        <w:tc>
          <w:tcPr>
            <w:tcW w:w="1057" w:type="dxa"/>
            <w:gridSpan w:val="2"/>
            <w:tcBorders>
              <w:top w:val="single" w:color="auto" w:sz="4" w:space="0"/>
              <w:bottom w:val="single" w:color="auto" w:sz="4" w:space="0"/>
            </w:tcBorders>
          </w:tcPr>
          <w:p w:rsidRPr="001F298E" w:rsidR="00F45C92" w:rsidP="006A2B2F" w:rsidRDefault="00F45C92" w14:paraId="01444B23"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F298E">
              <w:rPr>
                <w:rFonts w:asciiTheme="minorHAnsi" w:hAnsiTheme="minorHAnsi" w:cstheme="minorHAnsi"/>
                <w:color w:val="000000" w:themeColor="text1"/>
                <w:sz w:val="16"/>
                <w:szCs w:val="16"/>
              </w:rPr>
              <w:t>€ 83.333</w:t>
            </w:r>
          </w:p>
        </w:tc>
        <w:tc>
          <w:tcPr>
            <w:tcW w:w="1201" w:type="dxa"/>
            <w:gridSpan w:val="2"/>
            <w:tcBorders>
              <w:top w:val="single" w:color="auto" w:sz="4" w:space="0"/>
              <w:bottom w:val="single" w:color="auto" w:sz="4" w:space="0"/>
            </w:tcBorders>
          </w:tcPr>
          <w:p w:rsidRPr="001F298E" w:rsidR="00F45C92" w:rsidP="006A2B2F" w:rsidRDefault="00F45C92" w14:paraId="34034160"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F298E">
              <w:rPr>
                <w:rFonts w:asciiTheme="minorHAnsi" w:hAnsiTheme="minorHAnsi" w:cstheme="minorHAnsi"/>
                <w:color w:val="000000" w:themeColor="text1"/>
                <w:sz w:val="16"/>
                <w:szCs w:val="16"/>
              </w:rPr>
              <w:t>€ 166.667</w:t>
            </w:r>
          </w:p>
        </w:tc>
        <w:tc>
          <w:tcPr>
            <w:tcW w:w="1229" w:type="dxa"/>
            <w:gridSpan w:val="2"/>
            <w:tcBorders>
              <w:top w:val="single" w:color="auto" w:sz="4" w:space="0"/>
              <w:bottom w:val="single" w:color="auto" w:sz="4" w:space="0"/>
            </w:tcBorders>
          </w:tcPr>
          <w:p w:rsidRPr="004B4A03" w:rsidR="00F45C92" w:rsidP="006A2B2F" w:rsidRDefault="00F45C92" w14:paraId="7BEFDA89"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B4A03">
              <w:rPr>
                <w:rFonts w:asciiTheme="minorHAnsi" w:hAnsiTheme="minorHAnsi" w:cstheme="minorHAnsi"/>
                <w:color w:val="000000" w:themeColor="text1"/>
                <w:sz w:val="16"/>
                <w:szCs w:val="16"/>
              </w:rPr>
              <w:t>€ 750.000</w:t>
            </w:r>
          </w:p>
        </w:tc>
      </w:tr>
      <w:tr w:rsidRPr="00CE7510" w:rsidR="00F45C92" w:rsidTr="006A2B2F" w14:paraId="739DFF99" w14:textId="77777777">
        <w:trPr>
          <w:gridAfter w:val="1"/>
          <w:wAfter w:w="27" w:type="dxa"/>
          <w:trHeight w:val="280"/>
        </w:trPr>
        <w:tc>
          <w:tcPr>
            <w:cnfStyle w:val="001000000000" w:firstRow="0" w:lastRow="0" w:firstColumn="1" w:lastColumn="0" w:oddVBand="0" w:evenVBand="0" w:oddHBand="0" w:evenHBand="0" w:firstRowFirstColumn="0" w:firstRowLastColumn="0" w:lastRowFirstColumn="0" w:lastRowLastColumn="0"/>
            <w:tcW w:w="1001" w:type="dxa"/>
            <w:vMerge w:val="restart"/>
            <w:tcBorders>
              <w:top w:val="single" w:color="auto" w:sz="4" w:space="0"/>
            </w:tcBorders>
            <w:textDirection w:val="btLr"/>
          </w:tcPr>
          <w:p w:rsidRPr="001F298E" w:rsidR="00F45C92" w:rsidP="006A2B2F" w:rsidRDefault="00F45C92" w14:paraId="7A2B619D" w14:textId="77777777">
            <w:pPr>
              <w:ind w:left="113" w:right="113"/>
              <w:jc w:val="center"/>
              <w:rPr>
                <w:rFonts w:asciiTheme="minorHAnsi" w:hAnsiTheme="minorHAnsi" w:cstheme="minorHAnsi"/>
                <w:b w:val="0"/>
                <w:bCs w:val="0"/>
                <w:color w:val="000000" w:themeColor="text1"/>
                <w:sz w:val="16"/>
                <w:szCs w:val="16"/>
              </w:rPr>
            </w:pPr>
            <w:r w:rsidRPr="001F298E">
              <w:rPr>
                <w:rFonts w:asciiTheme="minorHAnsi" w:hAnsiTheme="minorHAnsi" w:cstheme="minorHAnsi"/>
                <w:b w:val="0"/>
                <w:bCs w:val="0"/>
                <w:color w:val="000000" w:themeColor="text1"/>
                <w:sz w:val="16"/>
                <w:szCs w:val="16"/>
              </w:rPr>
              <w:t xml:space="preserve">Leeftijd langstlevende partner bij overlijden </w:t>
            </w:r>
            <w:proofErr w:type="spellStart"/>
            <w:r w:rsidRPr="001F298E">
              <w:rPr>
                <w:rFonts w:asciiTheme="minorHAnsi" w:hAnsiTheme="minorHAnsi" w:cstheme="minorHAnsi"/>
                <w:b w:val="0"/>
                <w:bCs w:val="0"/>
                <w:color w:val="000000" w:themeColor="text1"/>
                <w:sz w:val="16"/>
                <w:szCs w:val="16"/>
              </w:rPr>
              <w:t>kortstlevende</w:t>
            </w:r>
            <w:proofErr w:type="spellEnd"/>
            <w:r w:rsidRPr="001F298E">
              <w:rPr>
                <w:rFonts w:asciiTheme="minorHAnsi" w:hAnsiTheme="minorHAnsi" w:cstheme="minorHAnsi"/>
                <w:b w:val="0"/>
                <w:bCs w:val="0"/>
                <w:color w:val="000000" w:themeColor="text1"/>
                <w:sz w:val="16"/>
                <w:szCs w:val="16"/>
              </w:rPr>
              <w:t xml:space="preserve"> partner</w:t>
            </w:r>
          </w:p>
        </w:tc>
        <w:tc>
          <w:tcPr>
            <w:tcW w:w="782" w:type="dxa"/>
            <w:tcBorders>
              <w:top w:val="single" w:color="auto" w:sz="4" w:space="0"/>
            </w:tcBorders>
          </w:tcPr>
          <w:p w:rsidRPr="001F298E" w:rsidR="00F45C92" w:rsidP="006A2B2F" w:rsidRDefault="00F45C92" w14:paraId="6D4CB46D"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F298E">
              <w:rPr>
                <w:rFonts w:asciiTheme="minorHAnsi" w:hAnsiTheme="minorHAnsi" w:cstheme="minorHAnsi"/>
                <w:color w:val="000000" w:themeColor="text1"/>
                <w:sz w:val="16"/>
                <w:szCs w:val="16"/>
              </w:rPr>
              <w:t>50</w:t>
            </w:r>
          </w:p>
        </w:tc>
        <w:tc>
          <w:tcPr>
            <w:tcW w:w="1053" w:type="dxa"/>
            <w:tcBorders>
              <w:top w:val="single" w:color="auto" w:sz="4" w:space="0"/>
            </w:tcBorders>
            <w:vAlign w:val="bottom"/>
          </w:tcPr>
          <w:p w:rsidRPr="001F298E" w:rsidR="00F45C92" w:rsidP="006A2B2F" w:rsidRDefault="00F45C92" w14:paraId="32B2A51F"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Pr>
                <w:rFonts w:ascii="Calibri" w:hAnsi="Calibri" w:cs="Calibri"/>
                <w:sz w:val="16"/>
                <w:szCs w:val="16"/>
              </w:rPr>
              <w:t>€ 0</w:t>
            </w:r>
          </w:p>
        </w:tc>
        <w:tc>
          <w:tcPr>
            <w:tcW w:w="1039" w:type="dxa"/>
            <w:tcBorders>
              <w:top w:val="single" w:color="auto" w:sz="4" w:space="0"/>
            </w:tcBorders>
            <w:vAlign w:val="bottom"/>
          </w:tcPr>
          <w:p w:rsidRPr="001F298E" w:rsidR="00F45C92" w:rsidP="006A2B2F" w:rsidRDefault="00F45C92" w14:paraId="0A7562EB"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Pr>
                <w:rFonts w:ascii="Calibri" w:hAnsi="Calibri" w:cs="Calibri"/>
                <w:sz w:val="16"/>
                <w:szCs w:val="16"/>
              </w:rPr>
              <w:t>€ 1.538</w:t>
            </w:r>
          </w:p>
        </w:tc>
        <w:tc>
          <w:tcPr>
            <w:tcW w:w="1042" w:type="dxa"/>
            <w:gridSpan w:val="2"/>
            <w:tcBorders>
              <w:top w:val="single" w:color="auto" w:sz="4" w:space="0"/>
            </w:tcBorders>
            <w:vAlign w:val="bottom"/>
          </w:tcPr>
          <w:p w:rsidRPr="001F298E" w:rsidR="00F45C92" w:rsidP="006A2B2F" w:rsidRDefault="00F45C92" w14:paraId="54607DE1"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Pr>
                <w:rFonts w:ascii="Calibri" w:hAnsi="Calibri" w:cs="Calibri"/>
                <w:sz w:val="16"/>
                <w:szCs w:val="16"/>
              </w:rPr>
              <w:t>€ 3.581</w:t>
            </w:r>
          </w:p>
        </w:tc>
        <w:tc>
          <w:tcPr>
            <w:tcW w:w="1046" w:type="dxa"/>
            <w:gridSpan w:val="2"/>
            <w:tcBorders>
              <w:top w:val="single" w:color="auto" w:sz="4" w:space="0"/>
            </w:tcBorders>
            <w:vAlign w:val="bottom"/>
          </w:tcPr>
          <w:p w:rsidRPr="001F298E" w:rsidR="00F45C92" w:rsidP="006A2B2F" w:rsidRDefault="00F45C92" w14:paraId="14C9F689"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Pr>
                <w:rFonts w:ascii="Calibri" w:hAnsi="Calibri" w:cs="Calibri"/>
                <w:sz w:val="16"/>
                <w:szCs w:val="16"/>
              </w:rPr>
              <w:t>€ 5.625</w:t>
            </w:r>
          </w:p>
        </w:tc>
        <w:tc>
          <w:tcPr>
            <w:tcW w:w="1057" w:type="dxa"/>
            <w:gridSpan w:val="2"/>
            <w:tcBorders>
              <w:top w:val="single" w:color="auto" w:sz="4" w:space="0"/>
            </w:tcBorders>
            <w:vAlign w:val="bottom"/>
          </w:tcPr>
          <w:p w:rsidRPr="001F298E" w:rsidR="00F45C92" w:rsidP="006A2B2F" w:rsidRDefault="00F45C92" w14:paraId="2303986C"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Pr>
                <w:rFonts w:ascii="Calibri" w:hAnsi="Calibri" w:cs="Calibri"/>
                <w:sz w:val="16"/>
                <w:szCs w:val="16"/>
              </w:rPr>
              <w:t>€ 7.668</w:t>
            </w:r>
          </w:p>
        </w:tc>
        <w:tc>
          <w:tcPr>
            <w:tcW w:w="1201" w:type="dxa"/>
            <w:gridSpan w:val="2"/>
            <w:tcBorders>
              <w:top w:val="single" w:color="auto" w:sz="4" w:space="0"/>
            </w:tcBorders>
            <w:vAlign w:val="bottom"/>
          </w:tcPr>
          <w:p w:rsidRPr="001F298E" w:rsidR="00F45C92" w:rsidP="006A2B2F" w:rsidRDefault="00F45C92" w14:paraId="5BFB38FB"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Pr>
                <w:rFonts w:ascii="Calibri" w:hAnsi="Calibri" w:cs="Calibri"/>
                <w:sz w:val="16"/>
                <w:szCs w:val="16"/>
              </w:rPr>
              <w:t>€ 20.351</w:t>
            </w:r>
          </w:p>
        </w:tc>
        <w:tc>
          <w:tcPr>
            <w:tcW w:w="1229" w:type="dxa"/>
            <w:gridSpan w:val="2"/>
            <w:tcBorders>
              <w:top w:val="single" w:color="auto" w:sz="4" w:space="0"/>
            </w:tcBorders>
            <w:vAlign w:val="bottom"/>
          </w:tcPr>
          <w:p w:rsidRPr="001F298E" w:rsidR="00F45C92" w:rsidP="006A2B2F" w:rsidRDefault="00F45C92" w14:paraId="4FC5D58A"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€ 163.393</w:t>
            </w:r>
          </w:p>
        </w:tc>
      </w:tr>
      <w:tr w:rsidRPr="00CE7510" w:rsidR="00F45C92" w:rsidTr="006A2B2F" w14:paraId="3420BF98"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1F298E" w:rsidR="00F45C92" w:rsidP="006A2B2F" w:rsidRDefault="00F45C92" w14:paraId="0F638313" w14:textId="77777777">
            <w:pPr>
              <w:jc w:val="center"/>
              <w:rPr>
                <w:rFonts w:asciiTheme="minorHAnsi" w:hAnsiTheme="minorHAnsi" w:cstheme="minorHAnsi"/>
                <w:color w:val="000000" w:themeColor="text1"/>
                <w:sz w:val="16"/>
                <w:szCs w:val="16"/>
              </w:rPr>
            </w:pPr>
          </w:p>
        </w:tc>
        <w:tc>
          <w:tcPr>
            <w:tcW w:w="782" w:type="dxa"/>
          </w:tcPr>
          <w:p w:rsidRPr="001F298E" w:rsidR="00F45C92" w:rsidP="006A2B2F" w:rsidRDefault="00F45C92" w14:paraId="77A8385B"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F298E">
              <w:rPr>
                <w:rFonts w:asciiTheme="minorHAnsi" w:hAnsiTheme="minorHAnsi" w:cstheme="minorHAnsi"/>
                <w:color w:val="000000" w:themeColor="text1"/>
                <w:sz w:val="16"/>
                <w:szCs w:val="16"/>
              </w:rPr>
              <w:t>55</w:t>
            </w:r>
          </w:p>
        </w:tc>
        <w:tc>
          <w:tcPr>
            <w:tcW w:w="1053" w:type="dxa"/>
            <w:vAlign w:val="bottom"/>
          </w:tcPr>
          <w:p w:rsidRPr="001F298E" w:rsidR="00F45C92" w:rsidP="006A2B2F" w:rsidRDefault="00F45C92" w14:paraId="0B86EDB4"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Pr>
                <w:rFonts w:ascii="Calibri" w:hAnsi="Calibri" w:cs="Calibri"/>
                <w:sz w:val="16"/>
                <w:szCs w:val="16"/>
              </w:rPr>
              <w:t>€ 0</w:t>
            </w:r>
          </w:p>
        </w:tc>
        <w:tc>
          <w:tcPr>
            <w:tcW w:w="1039" w:type="dxa"/>
            <w:vAlign w:val="bottom"/>
          </w:tcPr>
          <w:p w:rsidRPr="001F298E" w:rsidR="00F45C92" w:rsidP="006A2B2F" w:rsidRDefault="00F45C92" w14:paraId="5259C292"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Pr>
                <w:rFonts w:ascii="Calibri" w:hAnsi="Calibri" w:cs="Calibri"/>
                <w:sz w:val="16"/>
                <w:szCs w:val="16"/>
              </w:rPr>
              <w:t>€ 2.059</w:t>
            </w:r>
          </w:p>
        </w:tc>
        <w:tc>
          <w:tcPr>
            <w:tcW w:w="1042" w:type="dxa"/>
            <w:gridSpan w:val="2"/>
            <w:vAlign w:val="bottom"/>
          </w:tcPr>
          <w:p w:rsidRPr="001F298E" w:rsidR="00F45C92" w:rsidP="006A2B2F" w:rsidRDefault="00F45C92" w14:paraId="588A2D02"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Pr>
                <w:rFonts w:ascii="Calibri" w:hAnsi="Calibri" w:cs="Calibri"/>
                <w:sz w:val="16"/>
                <w:szCs w:val="16"/>
              </w:rPr>
              <w:t>€ 4.363</w:t>
            </w:r>
          </w:p>
        </w:tc>
        <w:tc>
          <w:tcPr>
            <w:tcW w:w="1046" w:type="dxa"/>
            <w:gridSpan w:val="2"/>
            <w:vAlign w:val="bottom"/>
          </w:tcPr>
          <w:p w:rsidRPr="001F298E" w:rsidR="00F45C92" w:rsidP="006A2B2F" w:rsidRDefault="00F45C92" w14:paraId="47ED9AFD"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Pr>
                <w:rFonts w:ascii="Calibri" w:hAnsi="Calibri" w:cs="Calibri"/>
                <w:sz w:val="16"/>
                <w:szCs w:val="16"/>
              </w:rPr>
              <w:t>€ 6.667</w:t>
            </w:r>
          </w:p>
        </w:tc>
        <w:tc>
          <w:tcPr>
            <w:tcW w:w="1057" w:type="dxa"/>
            <w:gridSpan w:val="2"/>
            <w:vAlign w:val="bottom"/>
          </w:tcPr>
          <w:p w:rsidRPr="001F298E" w:rsidR="00F45C92" w:rsidP="006A2B2F" w:rsidRDefault="00F45C92" w14:paraId="015FC005"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Pr>
                <w:rFonts w:ascii="Calibri" w:hAnsi="Calibri" w:cs="Calibri"/>
                <w:sz w:val="16"/>
                <w:szCs w:val="16"/>
              </w:rPr>
              <w:t>€ 8.972</w:t>
            </w:r>
          </w:p>
        </w:tc>
        <w:tc>
          <w:tcPr>
            <w:tcW w:w="1201" w:type="dxa"/>
            <w:gridSpan w:val="2"/>
            <w:vAlign w:val="bottom"/>
          </w:tcPr>
          <w:p w:rsidRPr="001F298E" w:rsidR="00F45C92" w:rsidP="006A2B2F" w:rsidRDefault="00F45C92" w14:paraId="515626B4"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Pr>
                <w:rFonts w:ascii="Calibri" w:hAnsi="Calibri" w:cs="Calibri"/>
                <w:sz w:val="16"/>
                <w:szCs w:val="16"/>
              </w:rPr>
              <w:t>€ 25.565</w:t>
            </w:r>
          </w:p>
        </w:tc>
        <w:tc>
          <w:tcPr>
            <w:tcW w:w="1229" w:type="dxa"/>
            <w:gridSpan w:val="2"/>
            <w:vAlign w:val="bottom"/>
          </w:tcPr>
          <w:p w:rsidRPr="001F298E" w:rsidR="00F45C92" w:rsidP="006A2B2F" w:rsidRDefault="00F45C92" w14:paraId="7117ABA5"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€ 186.853</w:t>
            </w:r>
          </w:p>
        </w:tc>
      </w:tr>
      <w:tr w:rsidRPr="00CE7510" w:rsidR="00F45C92" w:rsidTr="006A2B2F" w14:paraId="5D8483DE"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1F298E" w:rsidR="00F45C92" w:rsidP="006A2B2F" w:rsidRDefault="00F45C92" w14:paraId="6762FE5C" w14:textId="77777777">
            <w:pPr>
              <w:jc w:val="center"/>
              <w:rPr>
                <w:rFonts w:asciiTheme="minorHAnsi" w:hAnsiTheme="minorHAnsi" w:cstheme="minorHAnsi"/>
                <w:color w:val="000000" w:themeColor="text1"/>
                <w:sz w:val="16"/>
                <w:szCs w:val="16"/>
              </w:rPr>
            </w:pPr>
          </w:p>
        </w:tc>
        <w:tc>
          <w:tcPr>
            <w:tcW w:w="782" w:type="dxa"/>
          </w:tcPr>
          <w:p w:rsidRPr="001F298E" w:rsidR="00F45C92" w:rsidP="006A2B2F" w:rsidRDefault="00F45C92" w14:paraId="5BC50EF3"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F298E">
              <w:rPr>
                <w:rFonts w:asciiTheme="minorHAnsi" w:hAnsiTheme="minorHAnsi" w:cstheme="minorHAnsi"/>
                <w:color w:val="000000" w:themeColor="text1"/>
                <w:sz w:val="16"/>
                <w:szCs w:val="16"/>
              </w:rPr>
              <w:t>60</w:t>
            </w:r>
          </w:p>
        </w:tc>
        <w:tc>
          <w:tcPr>
            <w:tcW w:w="1053" w:type="dxa"/>
            <w:vAlign w:val="bottom"/>
          </w:tcPr>
          <w:p w:rsidRPr="001F298E" w:rsidR="00F45C92" w:rsidP="006A2B2F" w:rsidRDefault="00F45C92" w14:paraId="31DB5FF6"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Pr>
                <w:rFonts w:ascii="Calibri" w:hAnsi="Calibri" w:cs="Calibri"/>
                <w:sz w:val="16"/>
                <w:szCs w:val="16"/>
              </w:rPr>
              <w:t>€ 0</w:t>
            </w:r>
          </w:p>
        </w:tc>
        <w:tc>
          <w:tcPr>
            <w:tcW w:w="1039" w:type="dxa"/>
            <w:vAlign w:val="bottom"/>
          </w:tcPr>
          <w:p w:rsidRPr="001F298E" w:rsidR="00F45C92" w:rsidP="006A2B2F" w:rsidRDefault="00F45C92" w14:paraId="47FD387C"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Pr>
                <w:rFonts w:ascii="Calibri" w:hAnsi="Calibri" w:cs="Calibri"/>
                <w:sz w:val="16"/>
                <w:szCs w:val="16"/>
              </w:rPr>
              <w:t>€ 2.514</w:t>
            </w:r>
          </w:p>
        </w:tc>
        <w:tc>
          <w:tcPr>
            <w:tcW w:w="1042" w:type="dxa"/>
            <w:gridSpan w:val="2"/>
            <w:vAlign w:val="bottom"/>
          </w:tcPr>
          <w:p w:rsidRPr="001F298E" w:rsidR="00F45C92" w:rsidP="006A2B2F" w:rsidRDefault="00F45C92" w14:paraId="586CB7E6"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Pr>
                <w:rFonts w:ascii="Calibri" w:hAnsi="Calibri" w:cs="Calibri"/>
                <w:sz w:val="16"/>
                <w:szCs w:val="16"/>
              </w:rPr>
              <w:t>€ 5.045</w:t>
            </w:r>
          </w:p>
        </w:tc>
        <w:tc>
          <w:tcPr>
            <w:tcW w:w="1046" w:type="dxa"/>
            <w:gridSpan w:val="2"/>
            <w:vAlign w:val="bottom"/>
          </w:tcPr>
          <w:p w:rsidRPr="001F298E" w:rsidR="00F45C92" w:rsidP="006A2B2F" w:rsidRDefault="00F45C92" w14:paraId="5DD7DE00"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Pr>
                <w:rFonts w:ascii="Calibri" w:hAnsi="Calibri" w:cs="Calibri"/>
                <w:sz w:val="16"/>
                <w:szCs w:val="16"/>
              </w:rPr>
              <w:t>€ 7.577</w:t>
            </w:r>
          </w:p>
        </w:tc>
        <w:tc>
          <w:tcPr>
            <w:tcW w:w="1057" w:type="dxa"/>
            <w:gridSpan w:val="2"/>
            <w:vAlign w:val="bottom"/>
          </w:tcPr>
          <w:p w:rsidRPr="001F298E" w:rsidR="00F45C92" w:rsidP="006A2B2F" w:rsidRDefault="00F45C92" w14:paraId="3D6C91F9"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Pr>
                <w:rFonts w:ascii="Calibri" w:hAnsi="Calibri" w:cs="Calibri"/>
                <w:sz w:val="16"/>
                <w:szCs w:val="16"/>
              </w:rPr>
              <w:t>€ 10.108</w:t>
            </w:r>
          </w:p>
        </w:tc>
        <w:tc>
          <w:tcPr>
            <w:tcW w:w="1201" w:type="dxa"/>
            <w:gridSpan w:val="2"/>
            <w:vAlign w:val="bottom"/>
          </w:tcPr>
          <w:p w:rsidRPr="001F298E" w:rsidR="00F45C92" w:rsidP="006A2B2F" w:rsidRDefault="00F45C92" w14:paraId="0928CD7C"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Pr>
                <w:rFonts w:ascii="Calibri" w:hAnsi="Calibri" w:cs="Calibri"/>
                <w:sz w:val="16"/>
                <w:szCs w:val="16"/>
              </w:rPr>
              <w:t>€ 30.110</w:t>
            </w:r>
          </w:p>
        </w:tc>
        <w:tc>
          <w:tcPr>
            <w:tcW w:w="1229" w:type="dxa"/>
            <w:gridSpan w:val="2"/>
            <w:vAlign w:val="bottom"/>
          </w:tcPr>
          <w:p w:rsidRPr="001F298E" w:rsidR="00F45C92" w:rsidP="006A2B2F" w:rsidRDefault="00F45C92" w14:paraId="7D5FC138"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€ 207.307</w:t>
            </w:r>
          </w:p>
        </w:tc>
      </w:tr>
      <w:tr w:rsidRPr="00CE7510" w:rsidR="00F45C92" w:rsidTr="006A2B2F" w14:paraId="0503B167"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1F298E" w:rsidR="00F45C92" w:rsidP="006A2B2F" w:rsidRDefault="00F45C92" w14:paraId="3FC3C5AC" w14:textId="77777777">
            <w:pPr>
              <w:jc w:val="center"/>
              <w:rPr>
                <w:rFonts w:asciiTheme="minorHAnsi" w:hAnsiTheme="minorHAnsi" w:cstheme="minorHAnsi"/>
                <w:color w:val="000000" w:themeColor="text1"/>
                <w:sz w:val="16"/>
                <w:szCs w:val="16"/>
              </w:rPr>
            </w:pPr>
          </w:p>
        </w:tc>
        <w:tc>
          <w:tcPr>
            <w:tcW w:w="782" w:type="dxa"/>
          </w:tcPr>
          <w:p w:rsidRPr="001F298E" w:rsidR="00F45C92" w:rsidP="006A2B2F" w:rsidRDefault="00F45C92" w14:paraId="54833226"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F298E">
              <w:rPr>
                <w:rFonts w:asciiTheme="minorHAnsi" w:hAnsiTheme="minorHAnsi" w:cstheme="minorHAnsi"/>
                <w:color w:val="000000" w:themeColor="text1"/>
                <w:sz w:val="16"/>
                <w:szCs w:val="16"/>
              </w:rPr>
              <w:t>65</w:t>
            </w:r>
          </w:p>
        </w:tc>
        <w:tc>
          <w:tcPr>
            <w:tcW w:w="1053" w:type="dxa"/>
            <w:vAlign w:val="bottom"/>
          </w:tcPr>
          <w:p w:rsidRPr="001F298E" w:rsidR="00F45C92" w:rsidP="006A2B2F" w:rsidRDefault="00F45C92" w14:paraId="4827AD67"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€ 179</w:t>
            </w:r>
          </w:p>
        </w:tc>
        <w:tc>
          <w:tcPr>
            <w:tcW w:w="1039" w:type="dxa"/>
            <w:vAlign w:val="bottom"/>
          </w:tcPr>
          <w:p w:rsidRPr="001F298E" w:rsidR="00F45C92" w:rsidP="006A2B2F" w:rsidRDefault="00F45C92" w14:paraId="35341AD7"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€ 2.908</w:t>
            </w:r>
          </w:p>
        </w:tc>
        <w:tc>
          <w:tcPr>
            <w:tcW w:w="1042" w:type="dxa"/>
            <w:gridSpan w:val="2"/>
            <w:vAlign w:val="bottom"/>
          </w:tcPr>
          <w:p w:rsidRPr="001F298E" w:rsidR="00F45C92" w:rsidP="006A2B2F" w:rsidRDefault="00F45C92" w14:paraId="2AF67C74"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€ 5.636</w:t>
            </w:r>
          </w:p>
        </w:tc>
        <w:tc>
          <w:tcPr>
            <w:tcW w:w="1046" w:type="dxa"/>
            <w:gridSpan w:val="2"/>
            <w:vAlign w:val="bottom"/>
          </w:tcPr>
          <w:p w:rsidRPr="001F298E" w:rsidR="00F45C92" w:rsidP="006A2B2F" w:rsidRDefault="00F45C92" w14:paraId="4D113985"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€ 8.364</w:t>
            </w:r>
          </w:p>
        </w:tc>
        <w:tc>
          <w:tcPr>
            <w:tcW w:w="1057" w:type="dxa"/>
            <w:gridSpan w:val="2"/>
            <w:vAlign w:val="bottom"/>
          </w:tcPr>
          <w:p w:rsidRPr="001F298E" w:rsidR="00F45C92" w:rsidP="006A2B2F" w:rsidRDefault="00F45C92" w14:paraId="28D872D1"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€ 10.828</w:t>
            </w:r>
          </w:p>
        </w:tc>
        <w:tc>
          <w:tcPr>
            <w:tcW w:w="1201" w:type="dxa"/>
            <w:gridSpan w:val="2"/>
            <w:vAlign w:val="bottom"/>
          </w:tcPr>
          <w:p w:rsidRPr="001F298E" w:rsidR="00F45C92" w:rsidP="006A2B2F" w:rsidRDefault="00F45C92" w14:paraId="12B98B0E"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€ 30.970</w:t>
            </w:r>
          </w:p>
        </w:tc>
        <w:tc>
          <w:tcPr>
            <w:tcW w:w="1229" w:type="dxa"/>
            <w:gridSpan w:val="2"/>
            <w:vAlign w:val="bottom"/>
          </w:tcPr>
          <w:p w:rsidRPr="001F298E" w:rsidR="00F45C92" w:rsidP="006A2B2F" w:rsidRDefault="00F45C92" w14:paraId="7318445E"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€ 194.907</w:t>
            </w:r>
          </w:p>
        </w:tc>
      </w:tr>
      <w:tr w:rsidRPr="00CE7510" w:rsidR="00F45C92" w:rsidTr="006A2B2F" w14:paraId="708D6950"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1F298E" w:rsidR="00F45C92" w:rsidP="006A2B2F" w:rsidRDefault="00F45C92" w14:paraId="79B97B94" w14:textId="77777777">
            <w:pPr>
              <w:jc w:val="center"/>
              <w:rPr>
                <w:rFonts w:asciiTheme="minorHAnsi" w:hAnsiTheme="minorHAnsi" w:cstheme="minorHAnsi"/>
                <w:color w:val="000000" w:themeColor="text1"/>
                <w:sz w:val="16"/>
                <w:szCs w:val="16"/>
              </w:rPr>
            </w:pPr>
          </w:p>
        </w:tc>
        <w:tc>
          <w:tcPr>
            <w:tcW w:w="782" w:type="dxa"/>
          </w:tcPr>
          <w:p w:rsidRPr="001F298E" w:rsidR="00F45C92" w:rsidP="006A2B2F" w:rsidRDefault="00F45C92" w14:paraId="5BC6E1B0"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F298E">
              <w:rPr>
                <w:rFonts w:asciiTheme="minorHAnsi" w:hAnsiTheme="minorHAnsi" w:cstheme="minorHAnsi"/>
                <w:color w:val="000000" w:themeColor="text1"/>
                <w:sz w:val="16"/>
                <w:szCs w:val="16"/>
              </w:rPr>
              <w:t>70</w:t>
            </w:r>
          </w:p>
        </w:tc>
        <w:tc>
          <w:tcPr>
            <w:tcW w:w="1053" w:type="dxa"/>
            <w:vAlign w:val="bottom"/>
          </w:tcPr>
          <w:p w:rsidRPr="001F298E" w:rsidR="00F45C92" w:rsidP="006A2B2F" w:rsidRDefault="00F45C92" w14:paraId="77CCFFC4"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€ 347</w:t>
            </w:r>
          </w:p>
        </w:tc>
        <w:tc>
          <w:tcPr>
            <w:tcW w:w="1039" w:type="dxa"/>
            <w:vAlign w:val="bottom"/>
          </w:tcPr>
          <w:p w:rsidRPr="001F298E" w:rsidR="00F45C92" w:rsidP="006A2B2F" w:rsidRDefault="00F45C92" w14:paraId="0E7CF273"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€ 2.757</w:t>
            </w:r>
          </w:p>
        </w:tc>
        <w:tc>
          <w:tcPr>
            <w:tcW w:w="1042" w:type="dxa"/>
            <w:gridSpan w:val="2"/>
            <w:vAlign w:val="bottom"/>
          </w:tcPr>
          <w:p w:rsidRPr="001F298E" w:rsidR="00F45C92" w:rsidP="006A2B2F" w:rsidRDefault="00F45C92" w14:paraId="6A6DDD26"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€ 4.136</w:t>
            </w:r>
          </w:p>
        </w:tc>
        <w:tc>
          <w:tcPr>
            <w:tcW w:w="1046" w:type="dxa"/>
            <w:gridSpan w:val="2"/>
            <w:vAlign w:val="bottom"/>
          </w:tcPr>
          <w:p w:rsidRPr="001F298E" w:rsidR="00F45C92" w:rsidP="006A2B2F" w:rsidRDefault="00F45C92" w14:paraId="13C9DD90"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€ 5.514</w:t>
            </w:r>
          </w:p>
        </w:tc>
        <w:tc>
          <w:tcPr>
            <w:tcW w:w="1057" w:type="dxa"/>
            <w:gridSpan w:val="2"/>
            <w:vAlign w:val="bottom"/>
          </w:tcPr>
          <w:p w:rsidRPr="001F298E" w:rsidR="00F45C92" w:rsidP="006A2B2F" w:rsidRDefault="00F45C92" w14:paraId="4245A039"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€ 6.892</w:t>
            </w:r>
          </w:p>
        </w:tc>
        <w:tc>
          <w:tcPr>
            <w:tcW w:w="1201" w:type="dxa"/>
            <w:gridSpan w:val="2"/>
            <w:vAlign w:val="bottom"/>
          </w:tcPr>
          <w:p w:rsidRPr="001F298E" w:rsidR="00F45C92" w:rsidP="006A2B2F" w:rsidRDefault="00F45C92" w14:paraId="04208C6B"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€ 24.775</w:t>
            </w:r>
          </w:p>
        </w:tc>
        <w:tc>
          <w:tcPr>
            <w:tcW w:w="1229" w:type="dxa"/>
            <w:gridSpan w:val="2"/>
            <w:vAlign w:val="bottom"/>
          </w:tcPr>
          <w:p w:rsidRPr="001F298E" w:rsidR="00F45C92" w:rsidP="006A2B2F" w:rsidRDefault="00F45C92" w14:paraId="6FB792F3"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€ 124.066</w:t>
            </w:r>
          </w:p>
        </w:tc>
      </w:tr>
      <w:tr w:rsidRPr="00CE7510" w:rsidR="00F45C92" w:rsidTr="006A2B2F" w14:paraId="3C82300B"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1F298E" w:rsidR="00F45C92" w:rsidP="006A2B2F" w:rsidRDefault="00F45C92" w14:paraId="7C0E17C6" w14:textId="77777777">
            <w:pPr>
              <w:jc w:val="center"/>
              <w:rPr>
                <w:rFonts w:asciiTheme="minorHAnsi" w:hAnsiTheme="minorHAnsi" w:cstheme="minorHAnsi"/>
                <w:color w:val="000000" w:themeColor="text1"/>
                <w:sz w:val="16"/>
                <w:szCs w:val="16"/>
              </w:rPr>
            </w:pPr>
          </w:p>
        </w:tc>
        <w:tc>
          <w:tcPr>
            <w:tcW w:w="782" w:type="dxa"/>
          </w:tcPr>
          <w:p w:rsidRPr="001F298E" w:rsidR="00F45C92" w:rsidP="006A2B2F" w:rsidRDefault="00F45C92" w14:paraId="43B2EE8E"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F298E">
              <w:rPr>
                <w:rFonts w:asciiTheme="minorHAnsi" w:hAnsiTheme="minorHAnsi" w:cstheme="minorHAnsi"/>
                <w:color w:val="000000" w:themeColor="text1"/>
                <w:sz w:val="16"/>
                <w:szCs w:val="16"/>
              </w:rPr>
              <w:t>75</w:t>
            </w:r>
          </w:p>
        </w:tc>
        <w:tc>
          <w:tcPr>
            <w:tcW w:w="1053" w:type="dxa"/>
            <w:vAlign w:val="bottom"/>
          </w:tcPr>
          <w:p w:rsidRPr="001F298E" w:rsidR="00F45C92" w:rsidP="006A2B2F" w:rsidRDefault="00F45C92" w14:paraId="42769F84"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€ 484</w:t>
            </w:r>
          </w:p>
        </w:tc>
        <w:tc>
          <w:tcPr>
            <w:tcW w:w="1039" w:type="dxa"/>
            <w:vAlign w:val="bottom"/>
          </w:tcPr>
          <w:p w:rsidRPr="001F298E" w:rsidR="00F45C92" w:rsidP="006A2B2F" w:rsidRDefault="00F45C92" w14:paraId="5BD2744D"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€ 1.693</w:t>
            </w:r>
          </w:p>
        </w:tc>
        <w:tc>
          <w:tcPr>
            <w:tcW w:w="1042" w:type="dxa"/>
            <w:gridSpan w:val="2"/>
            <w:vAlign w:val="bottom"/>
          </w:tcPr>
          <w:p w:rsidRPr="001F298E" w:rsidR="00F45C92" w:rsidP="006A2B2F" w:rsidRDefault="00F45C92" w14:paraId="33C496A6"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€ 2.540</w:t>
            </w:r>
          </w:p>
        </w:tc>
        <w:tc>
          <w:tcPr>
            <w:tcW w:w="1046" w:type="dxa"/>
            <w:gridSpan w:val="2"/>
            <w:vAlign w:val="bottom"/>
          </w:tcPr>
          <w:p w:rsidRPr="001F298E" w:rsidR="00F45C92" w:rsidP="006A2B2F" w:rsidRDefault="00F45C92" w14:paraId="17D42EA1"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€ 3.387</w:t>
            </w:r>
          </w:p>
        </w:tc>
        <w:tc>
          <w:tcPr>
            <w:tcW w:w="1057" w:type="dxa"/>
            <w:gridSpan w:val="2"/>
            <w:vAlign w:val="bottom"/>
          </w:tcPr>
          <w:p w:rsidRPr="001F298E" w:rsidR="00F45C92" w:rsidP="006A2B2F" w:rsidRDefault="00F45C92" w14:paraId="420DA58A"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€ 4.235</w:t>
            </w:r>
          </w:p>
        </w:tc>
        <w:tc>
          <w:tcPr>
            <w:tcW w:w="1201" w:type="dxa"/>
            <w:gridSpan w:val="2"/>
            <w:vAlign w:val="bottom"/>
          </w:tcPr>
          <w:p w:rsidRPr="001F298E" w:rsidR="00F45C92" w:rsidP="006A2B2F" w:rsidRDefault="00F45C92" w14:paraId="20946AD0"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€ 16.937</w:t>
            </w:r>
          </w:p>
        </w:tc>
        <w:tc>
          <w:tcPr>
            <w:tcW w:w="1229" w:type="dxa"/>
            <w:gridSpan w:val="2"/>
            <w:vAlign w:val="bottom"/>
          </w:tcPr>
          <w:p w:rsidRPr="001F298E" w:rsidR="00F45C92" w:rsidP="006A2B2F" w:rsidRDefault="00F45C92" w14:paraId="78D27291"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€ 76.216</w:t>
            </w:r>
          </w:p>
        </w:tc>
      </w:tr>
      <w:tr w:rsidRPr="00CE7510" w:rsidR="00F45C92" w:rsidTr="006A2B2F" w14:paraId="4480CC09"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1F298E" w:rsidR="00F45C92" w:rsidP="006A2B2F" w:rsidRDefault="00F45C92" w14:paraId="6979EA23" w14:textId="77777777">
            <w:pPr>
              <w:jc w:val="center"/>
              <w:rPr>
                <w:rFonts w:asciiTheme="minorHAnsi" w:hAnsiTheme="minorHAnsi" w:cstheme="minorHAnsi"/>
                <w:color w:val="000000" w:themeColor="text1"/>
                <w:sz w:val="16"/>
                <w:szCs w:val="16"/>
              </w:rPr>
            </w:pPr>
          </w:p>
        </w:tc>
        <w:tc>
          <w:tcPr>
            <w:tcW w:w="782" w:type="dxa"/>
          </w:tcPr>
          <w:p w:rsidRPr="001F298E" w:rsidR="00F45C92" w:rsidP="006A2B2F" w:rsidRDefault="00F45C92" w14:paraId="0518403F"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F298E">
              <w:rPr>
                <w:rFonts w:asciiTheme="minorHAnsi" w:hAnsiTheme="minorHAnsi" w:cstheme="minorHAnsi"/>
                <w:color w:val="000000" w:themeColor="text1"/>
                <w:sz w:val="16"/>
                <w:szCs w:val="16"/>
              </w:rPr>
              <w:t>80</w:t>
            </w:r>
          </w:p>
        </w:tc>
        <w:tc>
          <w:tcPr>
            <w:tcW w:w="1053" w:type="dxa"/>
            <w:vAlign w:val="bottom"/>
          </w:tcPr>
          <w:p w:rsidRPr="001F298E" w:rsidR="00F45C92" w:rsidP="006A2B2F" w:rsidRDefault="00F45C92" w14:paraId="0E656A36"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€ 503</w:t>
            </w:r>
          </w:p>
        </w:tc>
        <w:tc>
          <w:tcPr>
            <w:tcW w:w="1039" w:type="dxa"/>
            <w:vAlign w:val="bottom"/>
          </w:tcPr>
          <w:p w:rsidRPr="001F298E" w:rsidR="00F45C92" w:rsidP="006A2B2F" w:rsidRDefault="00F45C92" w14:paraId="63A84B5E"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€ 1.005</w:t>
            </w:r>
          </w:p>
        </w:tc>
        <w:tc>
          <w:tcPr>
            <w:tcW w:w="1042" w:type="dxa"/>
            <w:gridSpan w:val="2"/>
            <w:vAlign w:val="bottom"/>
          </w:tcPr>
          <w:p w:rsidRPr="001F298E" w:rsidR="00F45C92" w:rsidP="006A2B2F" w:rsidRDefault="00F45C92" w14:paraId="4A60465D"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€ 1.508</w:t>
            </w:r>
          </w:p>
        </w:tc>
        <w:tc>
          <w:tcPr>
            <w:tcW w:w="1046" w:type="dxa"/>
            <w:gridSpan w:val="2"/>
            <w:vAlign w:val="bottom"/>
          </w:tcPr>
          <w:p w:rsidRPr="001F298E" w:rsidR="00F45C92" w:rsidP="006A2B2F" w:rsidRDefault="00F45C92" w14:paraId="6A78493B"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€ 2.010</w:t>
            </w:r>
          </w:p>
        </w:tc>
        <w:tc>
          <w:tcPr>
            <w:tcW w:w="1057" w:type="dxa"/>
            <w:gridSpan w:val="2"/>
            <w:vAlign w:val="bottom"/>
          </w:tcPr>
          <w:p w:rsidRPr="001F298E" w:rsidR="00F45C92" w:rsidP="006A2B2F" w:rsidRDefault="00F45C92" w14:paraId="239E4868"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€ 2.513</w:t>
            </w:r>
          </w:p>
        </w:tc>
        <w:tc>
          <w:tcPr>
            <w:tcW w:w="1201" w:type="dxa"/>
            <w:gridSpan w:val="2"/>
            <w:vAlign w:val="bottom"/>
          </w:tcPr>
          <w:p w:rsidRPr="001F298E" w:rsidR="00F45C92" w:rsidP="006A2B2F" w:rsidRDefault="00F45C92" w14:paraId="0A4C8DCF"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€ 10.049</w:t>
            </w:r>
          </w:p>
        </w:tc>
        <w:tc>
          <w:tcPr>
            <w:tcW w:w="1229" w:type="dxa"/>
            <w:gridSpan w:val="2"/>
            <w:vAlign w:val="bottom"/>
          </w:tcPr>
          <w:p w:rsidRPr="001F298E" w:rsidR="00F45C92" w:rsidP="006A2B2F" w:rsidRDefault="00F45C92" w14:paraId="35E8F160"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€ 45.222</w:t>
            </w:r>
          </w:p>
        </w:tc>
      </w:tr>
      <w:tr w:rsidRPr="00CE7510" w:rsidR="00F45C92" w:rsidTr="006A2B2F" w14:paraId="09D442D5"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1F298E" w:rsidR="00F45C92" w:rsidP="006A2B2F" w:rsidRDefault="00F45C92" w14:paraId="1C205F25" w14:textId="77777777">
            <w:pPr>
              <w:jc w:val="center"/>
              <w:rPr>
                <w:rFonts w:asciiTheme="minorHAnsi" w:hAnsiTheme="minorHAnsi" w:cstheme="minorHAnsi"/>
                <w:color w:val="000000" w:themeColor="text1"/>
                <w:sz w:val="16"/>
                <w:szCs w:val="16"/>
              </w:rPr>
            </w:pPr>
          </w:p>
        </w:tc>
        <w:tc>
          <w:tcPr>
            <w:tcW w:w="782" w:type="dxa"/>
          </w:tcPr>
          <w:p w:rsidRPr="001F298E" w:rsidR="00F45C92" w:rsidP="006A2B2F" w:rsidRDefault="00F45C92" w14:paraId="20EEDB2C"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F298E">
              <w:rPr>
                <w:rFonts w:asciiTheme="minorHAnsi" w:hAnsiTheme="minorHAnsi" w:cstheme="minorHAnsi"/>
                <w:color w:val="000000" w:themeColor="text1"/>
                <w:sz w:val="16"/>
                <w:szCs w:val="16"/>
              </w:rPr>
              <w:t>85</w:t>
            </w:r>
          </w:p>
        </w:tc>
        <w:tc>
          <w:tcPr>
            <w:tcW w:w="1053" w:type="dxa"/>
            <w:vAlign w:val="bottom"/>
          </w:tcPr>
          <w:p w:rsidRPr="001F298E" w:rsidR="00F45C92" w:rsidP="006A2B2F" w:rsidRDefault="00F45C92" w14:paraId="065ADA77"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€ 293</w:t>
            </w:r>
          </w:p>
        </w:tc>
        <w:tc>
          <w:tcPr>
            <w:tcW w:w="1039" w:type="dxa"/>
            <w:vAlign w:val="bottom"/>
          </w:tcPr>
          <w:p w:rsidRPr="001F298E" w:rsidR="00F45C92" w:rsidP="006A2B2F" w:rsidRDefault="00F45C92" w14:paraId="667BB289"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€ 586</w:t>
            </w:r>
          </w:p>
        </w:tc>
        <w:tc>
          <w:tcPr>
            <w:tcW w:w="1042" w:type="dxa"/>
            <w:gridSpan w:val="2"/>
            <w:vAlign w:val="bottom"/>
          </w:tcPr>
          <w:p w:rsidRPr="001F298E" w:rsidR="00F45C92" w:rsidP="006A2B2F" w:rsidRDefault="00F45C92" w14:paraId="327D3186"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€ 879</w:t>
            </w:r>
          </w:p>
        </w:tc>
        <w:tc>
          <w:tcPr>
            <w:tcW w:w="1046" w:type="dxa"/>
            <w:gridSpan w:val="2"/>
            <w:vAlign w:val="bottom"/>
          </w:tcPr>
          <w:p w:rsidRPr="001F298E" w:rsidR="00F45C92" w:rsidP="006A2B2F" w:rsidRDefault="00F45C92" w14:paraId="07E1AFE9"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€ 1.172</w:t>
            </w:r>
          </w:p>
        </w:tc>
        <w:tc>
          <w:tcPr>
            <w:tcW w:w="1057" w:type="dxa"/>
            <w:gridSpan w:val="2"/>
            <w:vAlign w:val="bottom"/>
          </w:tcPr>
          <w:p w:rsidRPr="001F298E" w:rsidR="00F45C92" w:rsidP="006A2B2F" w:rsidRDefault="00F45C92" w14:paraId="78262308"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€ 1.465</w:t>
            </w:r>
          </w:p>
        </w:tc>
        <w:tc>
          <w:tcPr>
            <w:tcW w:w="1201" w:type="dxa"/>
            <w:gridSpan w:val="2"/>
            <w:vAlign w:val="bottom"/>
          </w:tcPr>
          <w:p w:rsidRPr="001F298E" w:rsidR="00F45C92" w:rsidP="006A2B2F" w:rsidRDefault="00F45C92" w14:paraId="6A1ADC3F"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€ 5.861</w:t>
            </w:r>
          </w:p>
        </w:tc>
        <w:tc>
          <w:tcPr>
            <w:tcW w:w="1229" w:type="dxa"/>
            <w:gridSpan w:val="2"/>
            <w:vAlign w:val="bottom"/>
          </w:tcPr>
          <w:p w:rsidRPr="001F298E" w:rsidR="00F45C92" w:rsidP="006A2B2F" w:rsidRDefault="00F45C92" w14:paraId="23803DEC"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€ 26.377</w:t>
            </w:r>
          </w:p>
        </w:tc>
      </w:tr>
      <w:tr w:rsidRPr="00CE7510" w:rsidR="00F45C92" w:rsidTr="006A2B2F" w14:paraId="24B24010"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1F298E" w:rsidR="00F45C92" w:rsidP="006A2B2F" w:rsidRDefault="00F45C92" w14:paraId="2F148C6B" w14:textId="77777777">
            <w:pPr>
              <w:jc w:val="center"/>
              <w:rPr>
                <w:rFonts w:asciiTheme="minorHAnsi" w:hAnsiTheme="minorHAnsi" w:cstheme="minorHAnsi"/>
                <w:color w:val="000000" w:themeColor="text1"/>
                <w:sz w:val="16"/>
                <w:szCs w:val="16"/>
              </w:rPr>
            </w:pPr>
          </w:p>
        </w:tc>
        <w:tc>
          <w:tcPr>
            <w:tcW w:w="782" w:type="dxa"/>
          </w:tcPr>
          <w:p w:rsidRPr="001F298E" w:rsidR="00F45C92" w:rsidP="006A2B2F" w:rsidRDefault="00F45C92" w14:paraId="425BB0B3"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F298E">
              <w:rPr>
                <w:rFonts w:asciiTheme="minorHAnsi" w:hAnsiTheme="minorHAnsi" w:cstheme="minorHAnsi"/>
                <w:color w:val="000000" w:themeColor="text1"/>
                <w:sz w:val="16"/>
                <w:szCs w:val="16"/>
              </w:rPr>
              <w:t>90</w:t>
            </w:r>
          </w:p>
        </w:tc>
        <w:tc>
          <w:tcPr>
            <w:tcW w:w="1053" w:type="dxa"/>
            <w:vAlign w:val="bottom"/>
          </w:tcPr>
          <w:p w:rsidRPr="001F298E" w:rsidR="00F45C92" w:rsidP="006A2B2F" w:rsidRDefault="00F45C92" w14:paraId="529695F9"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€ 173</w:t>
            </w:r>
          </w:p>
        </w:tc>
        <w:tc>
          <w:tcPr>
            <w:tcW w:w="1039" w:type="dxa"/>
            <w:vAlign w:val="bottom"/>
          </w:tcPr>
          <w:p w:rsidRPr="001F298E" w:rsidR="00F45C92" w:rsidP="006A2B2F" w:rsidRDefault="00F45C92" w14:paraId="76044E37"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€ 346</w:t>
            </w:r>
          </w:p>
        </w:tc>
        <w:tc>
          <w:tcPr>
            <w:tcW w:w="1042" w:type="dxa"/>
            <w:gridSpan w:val="2"/>
            <w:vAlign w:val="bottom"/>
          </w:tcPr>
          <w:p w:rsidRPr="001F298E" w:rsidR="00F45C92" w:rsidP="006A2B2F" w:rsidRDefault="00F45C92" w14:paraId="1E398F3D"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€ 519</w:t>
            </w:r>
          </w:p>
        </w:tc>
        <w:tc>
          <w:tcPr>
            <w:tcW w:w="1046" w:type="dxa"/>
            <w:gridSpan w:val="2"/>
            <w:vAlign w:val="bottom"/>
          </w:tcPr>
          <w:p w:rsidRPr="001F298E" w:rsidR="00F45C92" w:rsidP="006A2B2F" w:rsidRDefault="00F45C92" w14:paraId="2138E95C"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€ 692</w:t>
            </w:r>
          </w:p>
        </w:tc>
        <w:tc>
          <w:tcPr>
            <w:tcW w:w="1057" w:type="dxa"/>
            <w:gridSpan w:val="2"/>
            <w:vAlign w:val="bottom"/>
          </w:tcPr>
          <w:p w:rsidRPr="001F298E" w:rsidR="00F45C92" w:rsidP="006A2B2F" w:rsidRDefault="00F45C92" w14:paraId="1F5D2BDE"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€ 864</w:t>
            </w:r>
          </w:p>
        </w:tc>
        <w:tc>
          <w:tcPr>
            <w:tcW w:w="1201" w:type="dxa"/>
            <w:gridSpan w:val="2"/>
            <w:vAlign w:val="bottom"/>
          </w:tcPr>
          <w:p w:rsidRPr="001F298E" w:rsidR="00F45C92" w:rsidP="006A2B2F" w:rsidRDefault="00F45C92" w14:paraId="54689506"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€ 3.459</w:t>
            </w:r>
          </w:p>
        </w:tc>
        <w:tc>
          <w:tcPr>
            <w:tcW w:w="1229" w:type="dxa"/>
            <w:gridSpan w:val="2"/>
            <w:vAlign w:val="bottom"/>
          </w:tcPr>
          <w:p w:rsidRPr="001F298E" w:rsidR="00F45C92" w:rsidP="006A2B2F" w:rsidRDefault="00F45C92" w14:paraId="4B29FBEB"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€ 15.566</w:t>
            </w:r>
          </w:p>
        </w:tc>
      </w:tr>
    </w:tbl>
    <w:p w:rsidRPr="00CE7510" w:rsidR="00F45C92" w:rsidP="00F45C92" w:rsidRDefault="00F45C92" w14:paraId="6550698C" w14:textId="77777777">
      <w:pPr>
        <w:spacing w:line="276" w:lineRule="auto"/>
        <w:contextualSpacing/>
        <w:rPr>
          <w:rFonts w:asciiTheme="minorHAnsi" w:hAnsiTheme="minorHAnsi" w:cstheme="minorHAnsi"/>
          <w:sz w:val="20"/>
          <w:szCs w:val="20"/>
        </w:rPr>
      </w:pPr>
    </w:p>
    <w:p w:rsidRPr="00B00EB7" w:rsidR="00F45C92" w:rsidP="00F45C92" w:rsidRDefault="00F45C92" w14:paraId="58EE017D" w14:textId="77777777">
      <w:pPr>
        <w:spacing w:line="276" w:lineRule="auto"/>
        <w:contextualSpacing/>
        <w:rPr>
          <w:rFonts w:asciiTheme="minorHAnsi" w:hAnsiTheme="minorHAnsi" w:cstheme="minorHAnsi"/>
          <w:sz w:val="20"/>
          <w:szCs w:val="20"/>
        </w:rPr>
      </w:pPr>
      <w:r w:rsidRPr="00B00EB7">
        <w:rPr>
          <w:rFonts w:asciiTheme="minorHAnsi" w:hAnsiTheme="minorHAnsi" w:cstheme="minorHAnsi"/>
          <w:sz w:val="20"/>
          <w:szCs w:val="20"/>
        </w:rPr>
        <w:t>Tabel 2.2 Totale mutatie te betalen erfbelasting van kinderen bij overlijden langstlevende partner</w:t>
      </w:r>
    </w:p>
    <w:tbl>
      <w:tblPr>
        <w:tblStyle w:val="Lijsttabel1licht-Accent3"/>
        <w:tblpPr w:leftFromText="141" w:rightFromText="141" w:vertAnchor="text" w:horzAnchor="margin" w:tblpY="116"/>
        <w:tblW w:w="9477" w:type="dxa"/>
        <w:tblLook w:val="04A0" w:firstRow="1" w:lastRow="0" w:firstColumn="1" w:lastColumn="0" w:noHBand="0" w:noVBand="1"/>
      </w:tblPr>
      <w:tblGrid>
        <w:gridCol w:w="1001"/>
        <w:gridCol w:w="782"/>
        <w:gridCol w:w="1053"/>
        <w:gridCol w:w="1039"/>
        <w:gridCol w:w="14"/>
        <w:gridCol w:w="1028"/>
        <w:gridCol w:w="26"/>
        <w:gridCol w:w="1020"/>
        <w:gridCol w:w="34"/>
        <w:gridCol w:w="1023"/>
        <w:gridCol w:w="31"/>
        <w:gridCol w:w="1170"/>
        <w:gridCol w:w="43"/>
        <w:gridCol w:w="1186"/>
        <w:gridCol w:w="27"/>
      </w:tblGrid>
      <w:tr w:rsidRPr="00CE7510" w:rsidR="00F45C92" w:rsidTr="006A2B2F" w14:paraId="047825B5" w14:textId="77777777">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783" w:type="dxa"/>
            <w:gridSpan w:val="2"/>
            <w:tcBorders>
              <w:top w:val="single" w:color="auto" w:sz="4" w:space="0"/>
              <w:bottom w:val="single" w:color="auto" w:sz="4" w:space="0"/>
            </w:tcBorders>
          </w:tcPr>
          <w:p w:rsidRPr="006A1458" w:rsidR="00F45C92" w:rsidP="006A2B2F" w:rsidRDefault="00F45C92" w14:paraId="3DBC0C40" w14:textId="77777777">
            <w:pPr>
              <w:spacing w:line="276" w:lineRule="auto"/>
              <w:contextualSpacing/>
              <w:rPr>
                <w:rFonts w:asciiTheme="minorHAnsi" w:hAnsiTheme="minorHAnsi" w:cstheme="minorHAnsi"/>
                <w:b w:val="0"/>
                <w:bCs w:val="0"/>
                <w:i/>
                <w:iCs/>
                <w:color w:val="000000" w:themeColor="text1"/>
                <w:sz w:val="16"/>
                <w:szCs w:val="16"/>
              </w:rPr>
            </w:pPr>
            <w:r w:rsidRPr="006A1458">
              <w:rPr>
                <w:rFonts w:asciiTheme="minorHAnsi" w:hAnsiTheme="minorHAnsi" w:cstheme="minorHAnsi"/>
                <w:b w:val="0"/>
                <w:bCs w:val="0"/>
                <w:color w:val="000000" w:themeColor="text1"/>
                <w:sz w:val="16"/>
                <w:szCs w:val="16"/>
              </w:rPr>
              <w:t xml:space="preserve">Gemeenschappelijk vermogen ouders </w:t>
            </w:r>
          </w:p>
        </w:tc>
        <w:tc>
          <w:tcPr>
            <w:tcW w:w="1053" w:type="dxa"/>
            <w:tcBorders>
              <w:top w:val="single" w:color="auto" w:sz="4" w:space="0"/>
              <w:bottom w:val="single" w:color="auto" w:sz="4" w:space="0"/>
            </w:tcBorders>
          </w:tcPr>
          <w:p w:rsidRPr="006A1458" w:rsidR="00F45C92" w:rsidP="006A2B2F" w:rsidRDefault="00F45C92" w14:paraId="722EC60B"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sz w:val="16"/>
                <w:szCs w:val="16"/>
              </w:rPr>
            </w:pPr>
            <w:r w:rsidRPr="006A1458">
              <w:rPr>
                <w:rFonts w:asciiTheme="minorHAnsi" w:hAnsiTheme="minorHAnsi" w:cstheme="minorHAnsi"/>
                <w:color w:val="000000" w:themeColor="text1"/>
                <w:sz w:val="16"/>
                <w:szCs w:val="16"/>
              </w:rPr>
              <w:t>€ </w:t>
            </w:r>
            <w:r w:rsidRPr="006A1458">
              <w:rPr>
                <w:rFonts w:asciiTheme="minorHAnsi" w:hAnsiTheme="minorHAnsi" w:cstheme="minorHAnsi"/>
                <w:b w:val="0"/>
                <w:bCs w:val="0"/>
                <w:color w:val="000000" w:themeColor="text1"/>
                <w:sz w:val="16"/>
                <w:szCs w:val="16"/>
              </w:rPr>
              <w:t>100.000</w:t>
            </w:r>
          </w:p>
        </w:tc>
        <w:tc>
          <w:tcPr>
            <w:tcW w:w="1053" w:type="dxa"/>
            <w:gridSpan w:val="2"/>
            <w:tcBorders>
              <w:top w:val="single" w:color="auto" w:sz="4" w:space="0"/>
              <w:bottom w:val="single" w:color="auto" w:sz="4" w:space="0"/>
            </w:tcBorders>
          </w:tcPr>
          <w:p w:rsidRPr="006A1458" w:rsidR="00F45C92" w:rsidP="006A2B2F" w:rsidRDefault="00F45C92" w14:paraId="07708930"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sz w:val="16"/>
                <w:szCs w:val="16"/>
              </w:rPr>
            </w:pPr>
            <w:r w:rsidRPr="006A1458">
              <w:rPr>
                <w:rFonts w:asciiTheme="minorHAnsi" w:hAnsiTheme="minorHAnsi" w:cstheme="minorHAnsi"/>
                <w:color w:val="000000" w:themeColor="text1"/>
                <w:sz w:val="16"/>
                <w:szCs w:val="16"/>
              </w:rPr>
              <w:t>€ </w:t>
            </w:r>
            <w:r w:rsidRPr="006A1458">
              <w:rPr>
                <w:rFonts w:asciiTheme="minorHAnsi" w:hAnsiTheme="minorHAnsi" w:cstheme="minorHAnsi"/>
                <w:b w:val="0"/>
                <w:bCs w:val="0"/>
                <w:color w:val="000000" w:themeColor="text1"/>
                <w:sz w:val="16"/>
                <w:szCs w:val="16"/>
              </w:rPr>
              <w:t>200.000</w:t>
            </w:r>
          </w:p>
        </w:tc>
        <w:tc>
          <w:tcPr>
            <w:tcW w:w="1054" w:type="dxa"/>
            <w:gridSpan w:val="2"/>
            <w:tcBorders>
              <w:top w:val="single" w:color="auto" w:sz="4" w:space="0"/>
              <w:bottom w:val="single" w:color="auto" w:sz="4" w:space="0"/>
            </w:tcBorders>
          </w:tcPr>
          <w:p w:rsidRPr="006A1458" w:rsidR="00F45C92" w:rsidP="006A2B2F" w:rsidRDefault="00F45C92" w14:paraId="034BAD37"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sz w:val="16"/>
                <w:szCs w:val="16"/>
              </w:rPr>
            </w:pPr>
            <w:r w:rsidRPr="006A1458">
              <w:rPr>
                <w:rFonts w:asciiTheme="minorHAnsi" w:hAnsiTheme="minorHAnsi" w:cstheme="minorHAnsi"/>
                <w:color w:val="000000" w:themeColor="text1"/>
                <w:sz w:val="16"/>
                <w:szCs w:val="16"/>
              </w:rPr>
              <w:t>€ </w:t>
            </w:r>
            <w:r w:rsidRPr="006A1458">
              <w:rPr>
                <w:rFonts w:asciiTheme="minorHAnsi" w:hAnsiTheme="minorHAnsi" w:cstheme="minorHAnsi"/>
                <w:b w:val="0"/>
                <w:bCs w:val="0"/>
                <w:color w:val="000000" w:themeColor="text1"/>
                <w:sz w:val="16"/>
                <w:szCs w:val="16"/>
              </w:rPr>
              <w:t>300.000</w:t>
            </w:r>
          </w:p>
        </w:tc>
        <w:tc>
          <w:tcPr>
            <w:tcW w:w="1054" w:type="dxa"/>
            <w:gridSpan w:val="2"/>
            <w:tcBorders>
              <w:top w:val="single" w:color="auto" w:sz="4" w:space="0"/>
              <w:bottom w:val="single" w:color="auto" w:sz="4" w:space="0"/>
            </w:tcBorders>
          </w:tcPr>
          <w:p w:rsidRPr="006A1458" w:rsidR="00F45C92" w:rsidP="006A2B2F" w:rsidRDefault="00F45C92" w14:paraId="0940C1FE"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sz w:val="16"/>
                <w:szCs w:val="16"/>
              </w:rPr>
            </w:pPr>
            <w:r w:rsidRPr="006A1458">
              <w:rPr>
                <w:rFonts w:asciiTheme="minorHAnsi" w:hAnsiTheme="minorHAnsi" w:cstheme="minorHAnsi"/>
                <w:color w:val="000000" w:themeColor="text1"/>
                <w:sz w:val="16"/>
                <w:szCs w:val="16"/>
              </w:rPr>
              <w:t>€ </w:t>
            </w:r>
            <w:r w:rsidRPr="006A1458">
              <w:rPr>
                <w:rFonts w:asciiTheme="minorHAnsi" w:hAnsiTheme="minorHAnsi" w:cstheme="minorHAnsi"/>
                <w:b w:val="0"/>
                <w:bCs w:val="0"/>
                <w:color w:val="000000" w:themeColor="text1"/>
                <w:sz w:val="16"/>
                <w:szCs w:val="16"/>
              </w:rPr>
              <w:t>400.000</w:t>
            </w:r>
          </w:p>
        </w:tc>
        <w:tc>
          <w:tcPr>
            <w:tcW w:w="1054" w:type="dxa"/>
            <w:gridSpan w:val="2"/>
            <w:tcBorders>
              <w:top w:val="single" w:color="auto" w:sz="4" w:space="0"/>
              <w:bottom w:val="single" w:color="auto" w:sz="4" w:space="0"/>
            </w:tcBorders>
          </w:tcPr>
          <w:p w:rsidRPr="004B4A03" w:rsidR="00F45C92" w:rsidP="006A2B2F" w:rsidRDefault="00F45C92" w14:paraId="145EEACB"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sz w:val="16"/>
                <w:szCs w:val="16"/>
              </w:rPr>
            </w:pPr>
            <w:r w:rsidRPr="004B4A03">
              <w:rPr>
                <w:rFonts w:asciiTheme="minorHAnsi" w:hAnsiTheme="minorHAnsi" w:cstheme="minorHAnsi"/>
                <w:color w:val="000000" w:themeColor="text1"/>
                <w:sz w:val="16"/>
                <w:szCs w:val="16"/>
              </w:rPr>
              <w:t>€ </w:t>
            </w:r>
            <w:r w:rsidRPr="004B4A03">
              <w:rPr>
                <w:rFonts w:asciiTheme="minorHAnsi" w:hAnsiTheme="minorHAnsi" w:cstheme="minorHAnsi"/>
                <w:b w:val="0"/>
                <w:bCs w:val="0"/>
                <w:color w:val="000000" w:themeColor="text1"/>
                <w:sz w:val="16"/>
                <w:szCs w:val="16"/>
              </w:rPr>
              <w:t>500.000</w:t>
            </w:r>
          </w:p>
        </w:tc>
        <w:tc>
          <w:tcPr>
            <w:tcW w:w="1213" w:type="dxa"/>
            <w:gridSpan w:val="2"/>
            <w:tcBorders>
              <w:top w:val="single" w:color="auto" w:sz="4" w:space="0"/>
              <w:bottom w:val="single" w:color="auto" w:sz="4" w:space="0"/>
            </w:tcBorders>
          </w:tcPr>
          <w:p w:rsidRPr="004B4A03" w:rsidR="00F45C92" w:rsidP="006A2B2F" w:rsidRDefault="00F45C92" w14:paraId="18623D17"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sz w:val="16"/>
                <w:szCs w:val="16"/>
              </w:rPr>
            </w:pPr>
            <w:r w:rsidRPr="004B4A03">
              <w:rPr>
                <w:rFonts w:asciiTheme="minorHAnsi" w:hAnsiTheme="minorHAnsi" w:cstheme="minorHAnsi"/>
                <w:color w:val="000000" w:themeColor="text1"/>
                <w:sz w:val="16"/>
                <w:szCs w:val="16"/>
              </w:rPr>
              <w:t>€ </w:t>
            </w:r>
            <w:r w:rsidRPr="004B4A03">
              <w:rPr>
                <w:rFonts w:asciiTheme="minorHAnsi" w:hAnsiTheme="minorHAnsi" w:cstheme="minorHAnsi"/>
                <w:b w:val="0"/>
                <w:bCs w:val="0"/>
                <w:color w:val="000000" w:themeColor="text1"/>
                <w:sz w:val="16"/>
                <w:szCs w:val="16"/>
              </w:rPr>
              <w:t>1.000.000</w:t>
            </w:r>
          </w:p>
        </w:tc>
        <w:tc>
          <w:tcPr>
            <w:tcW w:w="1213" w:type="dxa"/>
            <w:gridSpan w:val="2"/>
            <w:tcBorders>
              <w:top w:val="single" w:color="auto" w:sz="4" w:space="0"/>
              <w:bottom w:val="single" w:color="auto" w:sz="4" w:space="0"/>
            </w:tcBorders>
          </w:tcPr>
          <w:p w:rsidRPr="004B4A03" w:rsidR="00F45C92" w:rsidP="006A2B2F" w:rsidRDefault="00F45C92" w14:paraId="0BCE4D4C"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sz w:val="16"/>
                <w:szCs w:val="16"/>
              </w:rPr>
            </w:pPr>
            <w:r w:rsidRPr="004B4A03">
              <w:rPr>
                <w:rFonts w:asciiTheme="minorHAnsi" w:hAnsiTheme="minorHAnsi" w:cstheme="minorHAnsi"/>
                <w:color w:val="000000" w:themeColor="text1"/>
                <w:sz w:val="16"/>
                <w:szCs w:val="16"/>
              </w:rPr>
              <w:t>€ 4</w:t>
            </w:r>
            <w:r w:rsidRPr="004B4A03">
              <w:rPr>
                <w:rFonts w:asciiTheme="minorHAnsi" w:hAnsiTheme="minorHAnsi" w:cstheme="minorHAnsi"/>
                <w:b w:val="0"/>
                <w:bCs w:val="0"/>
                <w:color w:val="000000" w:themeColor="text1"/>
                <w:sz w:val="16"/>
                <w:szCs w:val="16"/>
              </w:rPr>
              <w:t>.500.000</w:t>
            </w:r>
          </w:p>
        </w:tc>
      </w:tr>
      <w:tr w:rsidRPr="00CE7510" w:rsidR="00F45C92" w:rsidTr="006A2B2F" w14:paraId="7A419A41"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783" w:type="dxa"/>
            <w:gridSpan w:val="2"/>
            <w:tcBorders>
              <w:top w:val="single" w:color="auto" w:sz="4" w:space="0"/>
              <w:bottom w:val="single" w:color="auto" w:sz="4" w:space="0"/>
            </w:tcBorders>
          </w:tcPr>
          <w:p w:rsidRPr="0070488C" w:rsidR="00F45C92" w:rsidP="006A2B2F" w:rsidRDefault="00F45C92" w14:paraId="104B385B" w14:textId="77777777">
            <w:pPr>
              <w:spacing w:line="276" w:lineRule="auto"/>
              <w:contextualSpacing/>
              <w:rPr>
                <w:rFonts w:asciiTheme="minorHAnsi" w:hAnsiTheme="minorHAnsi" w:cstheme="minorHAnsi"/>
                <w:b w:val="0"/>
                <w:bCs w:val="0"/>
                <w:color w:val="000000" w:themeColor="text1"/>
                <w:sz w:val="16"/>
                <w:szCs w:val="16"/>
              </w:rPr>
            </w:pPr>
            <w:r w:rsidRPr="0070488C">
              <w:rPr>
                <w:rFonts w:asciiTheme="minorHAnsi" w:hAnsiTheme="minorHAnsi" w:cstheme="minorHAnsi"/>
                <w:b w:val="0"/>
                <w:bCs w:val="0"/>
                <w:color w:val="000000" w:themeColor="text1"/>
                <w:sz w:val="16"/>
                <w:szCs w:val="16"/>
              </w:rPr>
              <w:t xml:space="preserve">Erfenis per verkrijger </w:t>
            </w:r>
          </w:p>
        </w:tc>
        <w:tc>
          <w:tcPr>
            <w:tcW w:w="1053" w:type="dxa"/>
            <w:tcBorders>
              <w:top w:val="single" w:color="auto" w:sz="4" w:space="0"/>
              <w:bottom w:val="single" w:color="auto" w:sz="4" w:space="0"/>
            </w:tcBorders>
          </w:tcPr>
          <w:p w:rsidRPr="006A1458" w:rsidR="00F45C92" w:rsidP="006A2B2F" w:rsidRDefault="00F45C92" w14:paraId="30BDC19B"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6A1458">
              <w:rPr>
                <w:rFonts w:asciiTheme="minorHAnsi" w:hAnsiTheme="minorHAnsi" w:cstheme="minorHAnsi"/>
                <w:color w:val="000000" w:themeColor="text1"/>
                <w:sz w:val="16"/>
                <w:szCs w:val="16"/>
              </w:rPr>
              <w:t>€ 16.667</w:t>
            </w:r>
          </w:p>
        </w:tc>
        <w:tc>
          <w:tcPr>
            <w:tcW w:w="1039" w:type="dxa"/>
            <w:tcBorders>
              <w:top w:val="single" w:color="auto" w:sz="4" w:space="0"/>
              <w:bottom w:val="single" w:color="auto" w:sz="4" w:space="0"/>
            </w:tcBorders>
          </w:tcPr>
          <w:p w:rsidRPr="006A1458" w:rsidR="00F45C92" w:rsidP="006A2B2F" w:rsidRDefault="00F45C92" w14:paraId="7AB91E86"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6A1458">
              <w:rPr>
                <w:rFonts w:asciiTheme="minorHAnsi" w:hAnsiTheme="minorHAnsi" w:cstheme="minorHAnsi"/>
                <w:color w:val="000000" w:themeColor="text1"/>
                <w:sz w:val="16"/>
                <w:szCs w:val="16"/>
              </w:rPr>
              <w:t>€ 33.333</w:t>
            </w:r>
          </w:p>
        </w:tc>
        <w:tc>
          <w:tcPr>
            <w:tcW w:w="1042" w:type="dxa"/>
            <w:gridSpan w:val="2"/>
            <w:tcBorders>
              <w:top w:val="single" w:color="auto" w:sz="4" w:space="0"/>
              <w:bottom w:val="single" w:color="auto" w:sz="4" w:space="0"/>
            </w:tcBorders>
          </w:tcPr>
          <w:p w:rsidRPr="006A1458" w:rsidR="00F45C92" w:rsidP="006A2B2F" w:rsidRDefault="00F45C92" w14:paraId="2AD5009E"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6A1458">
              <w:rPr>
                <w:rFonts w:asciiTheme="minorHAnsi" w:hAnsiTheme="minorHAnsi" w:cstheme="minorHAnsi"/>
                <w:color w:val="000000" w:themeColor="text1"/>
                <w:sz w:val="16"/>
                <w:szCs w:val="16"/>
              </w:rPr>
              <w:t>€ 50.000</w:t>
            </w:r>
          </w:p>
        </w:tc>
        <w:tc>
          <w:tcPr>
            <w:tcW w:w="1046" w:type="dxa"/>
            <w:gridSpan w:val="2"/>
            <w:tcBorders>
              <w:top w:val="single" w:color="auto" w:sz="4" w:space="0"/>
              <w:bottom w:val="single" w:color="auto" w:sz="4" w:space="0"/>
            </w:tcBorders>
          </w:tcPr>
          <w:p w:rsidRPr="006A1458" w:rsidR="00F45C92" w:rsidP="006A2B2F" w:rsidRDefault="00F45C92" w14:paraId="488567EB"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6A1458">
              <w:rPr>
                <w:rFonts w:asciiTheme="minorHAnsi" w:hAnsiTheme="minorHAnsi" w:cstheme="minorHAnsi"/>
                <w:color w:val="000000" w:themeColor="text1"/>
                <w:sz w:val="16"/>
                <w:szCs w:val="16"/>
              </w:rPr>
              <w:t>€ 66.667</w:t>
            </w:r>
          </w:p>
        </w:tc>
        <w:tc>
          <w:tcPr>
            <w:tcW w:w="1057" w:type="dxa"/>
            <w:gridSpan w:val="2"/>
            <w:tcBorders>
              <w:top w:val="single" w:color="auto" w:sz="4" w:space="0"/>
              <w:bottom w:val="single" w:color="auto" w:sz="4" w:space="0"/>
            </w:tcBorders>
          </w:tcPr>
          <w:p w:rsidRPr="004B4A03" w:rsidR="00F45C92" w:rsidP="006A2B2F" w:rsidRDefault="00F45C92" w14:paraId="40F076E4"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B4A03">
              <w:rPr>
                <w:rFonts w:asciiTheme="minorHAnsi" w:hAnsiTheme="minorHAnsi" w:cstheme="minorHAnsi"/>
                <w:color w:val="000000" w:themeColor="text1"/>
                <w:sz w:val="16"/>
                <w:szCs w:val="16"/>
              </w:rPr>
              <w:t>€ 83.333</w:t>
            </w:r>
          </w:p>
        </w:tc>
        <w:tc>
          <w:tcPr>
            <w:tcW w:w="1201" w:type="dxa"/>
            <w:gridSpan w:val="2"/>
            <w:tcBorders>
              <w:top w:val="single" w:color="auto" w:sz="4" w:space="0"/>
              <w:bottom w:val="single" w:color="auto" w:sz="4" w:space="0"/>
            </w:tcBorders>
          </w:tcPr>
          <w:p w:rsidRPr="004B4A03" w:rsidR="00F45C92" w:rsidP="006A2B2F" w:rsidRDefault="00F45C92" w14:paraId="640DDE78"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B4A03">
              <w:rPr>
                <w:rFonts w:asciiTheme="minorHAnsi" w:hAnsiTheme="minorHAnsi" w:cstheme="minorHAnsi"/>
                <w:color w:val="000000" w:themeColor="text1"/>
                <w:sz w:val="16"/>
                <w:szCs w:val="16"/>
              </w:rPr>
              <w:t>€ 166.667</w:t>
            </w:r>
          </w:p>
        </w:tc>
        <w:tc>
          <w:tcPr>
            <w:tcW w:w="1229" w:type="dxa"/>
            <w:gridSpan w:val="2"/>
            <w:tcBorders>
              <w:top w:val="single" w:color="auto" w:sz="4" w:space="0"/>
              <w:bottom w:val="single" w:color="auto" w:sz="4" w:space="0"/>
            </w:tcBorders>
          </w:tcPr>
          <w:p w:rsidRPr="004B4A03" w:rsidR="00F45C92" w:rsidP="006A2B2F" w:rsidRDefault="00F45C92" w14:paraId="031C930A"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B4A03">
              <w:rPr>
                <w:rFonts w:asciiTheme="minorHAnsi" w:hAnsiTheme="minorHAnsi" w:cstheme="minorHAnsi"/>
                <w:color w:val="000000" w:themeColor="text1"/>
                <w:sz w:val="16"/>
                <w:szCs w:val="16"/>
              </w:rPr>
              <w:t>€ 750.000</w:t>
            </w:r>
          </w:p>
        </w:tc>
      </w:tr>
      <w:tr w:rsidRPr="00CE7510" w:rsidR="00F45C92" w:rsidTr="006A2B2F" w14:paraId="62DB66FE" w14:textId="77777777">
        <w:trPr>
          <w:gridAfter w:val="1"/>
          <w:wAfter w:w="27" w:type="dxa"/>
          <w:trHeight w:val="280"/>
        </w:trPr>
        <w:tc>
          <w:tcPr>
            <w:cnfStyle w:val="001000000000" w:firstRow="0" w:lastRow="0" w:firstColumn="1" w:lastColumn="0" w:oddVBand="0" w:evenVBand="0" w:oddHBand="0" w:evenHBand="0" w:firstRowFirstColumn="0" w:firstRowLastColumn="0" w:lastRowFirstColumn="0" w:lastRowLastColumn="0"/>
            <w:tcW w:w="1001" w:type="dxa"/>
            <w:vMerge w:val="restart"/>
            <w:tcBorders>
              <w:top w:val="single" w:color="auto" w:sz="4" w:space="0"/>
            </w:tcBorders>
            <w:textDirection w:val="btLr"/>
          </w:tcPr>
          <w:p w:rsidRPr="006A1458" w:rsidR="00F45C92" w:rsidP="006A2B2F" w:rsidRDefault="00F45C92" w14:paraId="41C7B596" w14:textId="77777777">
            <w:pPr>
              <w:ind w:left="113" w:right="113"/>
              <w:jc w:val="center"/>
              <w:rPr>
                <w:rFonts w:asciiTheme="minorHAnsi" w:hAnsiTheme="minorHAnsi" w:cstheme="minorHAnsi"/>
                <w:b w:val="0"/>
                <w:bCs w:val="0"/>
                <w:color w:val="000000" w:themeColor="text1"/>
                <w:sz w:val="16"/>
                <w:szCs w:val="16"/>
              </w:rPr>
            </w:pPr>
            <w:r w:rsidRPr="006A1458">
              <w:rPr>
                <w:rFonts w:asciiTheme="minorHAnsi" w:hAnsiTheme="minorHAnsi" w:cstheme="minorHAnsi"/>
                <w:b w:val="0"/>
                <w:bCs w:val="0"/>
                <w:color w:val="000000" w:themeColor="text1"/>
                <w:sz w:val="16"/>
                <w:szCs w:val="16"/>
              </w:rPr>
              <w:t xml:space="preserve">Leeftijd langstlevende partner bij overlijden </w:t>
            </w:r>
            <w:proofErr w:type="spellStart"/>
            <w:r w:rsidRPr="006A1458">
              <w:rPr>
                <w:rFonts w:asciiTheme="minorHAnsi" w:hAnsiTheme="minorHAnsi" w:cstheme="minorHAnsi"/>
                <w:b w:val="0"/>
                <w:bCs w:val="0"/>
                <w:color w:val="000000" w:themeColor="text1"/>
                <w:sz w:val="16"/>
                <w:szCs w:val="16"/>
              </w:rPr>
              <w:t>kortstlevende</w:t>
            </w:r>
            <w:proofErr w:type="spellEnd"/>
            <w:r w:rsidRPr="006A1458">
              <w:rPr>
                <w:rFonts w:asciiTheme="minorHAnsi" w:hAnsiTheme="minorHAnsi" w:cstheme="minorHAnsi"/>
                <w:b w:val="0"/>
                <w:bCs w:val="0"/>
                <w:color w:val="000000" w:themeColor="text1"/>
                <w:sz w:val="16"/>
                <w:szCs w:val="16"/>
              </w:rPr>
              <w:t xml:space="preserve"> partner</w:t>
            </w:r>
          </w:p>
        </w:tc>
        <w:tc>
          <w:tcPr>
            <w:tcW w:w="782" w:type="dxa"/>
            <w:tcBorders>
              <w:top w:val="single" w:color="auto" w:sz="4" w:space="0"/>
            </w:tcBorders>
          </w:tcPr>
          <w:p w:rsidRPr="006A1458" w:rsidR="00F45C92" w:rsidP="006A2B2F" w:rsidRDefault="00F45C92" w14:paraId="258E23B8"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6A1458">
              <w:rPr>
                <w:rFonts w:asciiTheme="minorHAnsi" w:hAnsiTheme="minorHAnsi" w:cstheme="minorHAnsi"/>
                <w:color w:val="000000" w:themeColor="text1"/>
                <w:sz w:val="16"/>
                <w:szCs w:val="16"/>
              </w:rPr>
              <w:t>50</w:t>
            </w:r>
          </w:p>
        </w:tc>
        <w:tc>
          <w:tcPr>
            <w:tcW w:w="1053" w:type="dxa"/>
            <w:tcBorders>
              <w:top w:val="single" w:color="auto" w:sz="4" w:space="0"/>
            </w:tcBorders>
            <w:vAlign w:val="bottom"/>
          </w:tcPr>
          <w:p w:rsidRPr="006A1458" w:rsidR="00F45C92" w:rsidP="006A2B2F" w:rsidRDefault="00F45C92" w14:paraId="58FD16B8"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Pr>
                <w:rFonts w:ascii="Calibri" w:hAnsi="Calibri" w:cs="Calibri"/>
                <w:sz w:val="16"/>
                <w:szCs w:val="16"/>
              </w:rPr>
              <w:t>€ 0</w:t>
            </w:r>
          </w:p>
        </w:tc>
        <w:tc>
          <w:tcPr>
            <w:tcW w:w="1039" w:type="dxa"/>
            <w:tcBorders>
              <w:top w:val="single" w:color="auto" w:sz="4" w:space="0"/>
            </w:tcBorders>
            <w:vAlign w:val="bottom"/>
          </w:tcPr>
          <w:p w:rsidRPr="006A1458" w:rsidR="00F45C92" w:rsidP="006A2B2F" w:rsidRDefault="00F45C92" w14:paraId="005D78A0"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Pr>
                <w:rFonts w:ascii="Calibri" w:hAnsi="Calibri" w:cs="Calibri"/>
                <w:sz w:val="16"/>
                <w:szCs w:val="16"/>
              </w:rPr>
              <w:t>€ 3.076</w:t>
            </w:r>
          </w:p>
        </w:tc>
        <w:tc>
          <w:tcPr>
            <w:tcW w:w="1042" w:type="dxa"/>
            <w:gridSpan w:val="2"/>
            <w:tcBorders>
              <w:top w:val="single" w:color="auto" w:sz="4" w:space="0"/>
            </w:tcBorders>
            <w:vAlign w:val="bottom"/>
          </w:tcPr>
          <w:p w:rsidRPr="006A1458" w:rsidR="00F45C92" w:rsidP="006A2B2F" w:rsidRDefault="00F45C92" w14:paraId="1CE93532"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Pr>
                <w:rFonts w:ascii="Calibri" w:hAnsi="Calibri" w:cs="Calibri"/>
                <w:sz w:val="16"/>
                <w:szCs w:val="16"/>
              </w:rPr>
              <w:t>€ 7.162</w:t>
            </w:r>
          </w:p>
        </w:tc>
        <w:tc>
          <w:tcPr>
            <w:tcW w:w="1046" w:type="dxa"/>
            <w:gridSpan w:val="2"/>
            <w:tcBorders>
              <w:top w:val="single" w:color="auto" w:sz="4" w:space="0"/>
            </w:tcBorders>
            <w:vAlign w:val="bottom"/>
          </w:tcPr>
          <w:p w:rsidRPr="006A1458" w:rsidR="00F45C92" w:rsidP="006A2B2F" w:rsidRDefault="00F45C92" w14:paraId="39AA72F1"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Pr>
                <w:rFonts w:ascii="Calibri" w:hAnsi="Calibri" w:cs="Calibri"/>
                <w:sz w:val="16"/>
                <w:szCs w:val="16"/>
              </w:rPr>
              <w:t>€ 11.250</w:t>
            </w:r>
          </w:p>
        </w:tc>
        <w:tc>
          <w:tcPr>
            <w:tcW w:w="1057" w:type="dxa"/>
            <w:gridSpan w:val="2"/>
            <w:tcBorders>
              <w:top w:val="single" w:color="auto" w:sz="4" w:space="0"/>
            </w:tcBorders>
            <w:vAlign w:val="bottom"/>
          </w:tcPr>
          <w:p w:rsidRPr="006A1458" w:rsidR="00F45C92" w:rsidP="006A2B2F" w:rsidRDefault="00F45C92" w14:paraId="5B085D1E"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Pr>
                <w:rFonts w:ascii="Calibri" w:hAnsi="Calibri" w:cs="Calibri"/>
                <w:sz w:val="16"/>
                <w:szCs w:val="16"/>
              </w:rPr>
              <w:t>€ 15.336</w:t>
            </w:r>
          </w:p>
        </w:tc>
        <w:tc>
          <w:tcPr>
            <w:tcW w:w="1201" w:type="dxa"/>
            <w:gridSpan w:val="2"/>
            <w:tcBorders>
              <w:top w:val="single" w:color="auto" w:sz="4" w:space="0"/>
            </w:tcBorders>
            <w:vAlign w:val="bottom"/>
          </w:tcPr>
          <w:p w:rsidRPr="006A1458" w:rsidR="00F45C92" w:rsidP="006A2B2F" w:rsidRDefault="00F45C92" w14:paraId="6AE9325F"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Pr>
                <w:rFonts w:ascii="Calibri" w:hAnsi="Calibri" w:cs="Calibri"/>
                <w:sz w:val="16"/>
                <w:szCs w:val="16"/>
              </w:rPr>
              <w:t>€ 40.702</w:t>
            </w:r>
          </w:p>
        </w:tc>
        <w:tc>
          <w:tcPr>
            <w:tcW w:w="1229" w:type="dxa"/>
            <w:gridSpan w:val="2"/>
            <w:tcBorders>
              <w:top w:val="single" w:color="auto" w:sz="4" w:space="0"/>
            </w:tcBorders>
            <w:vAlign w:val="bottom"/>
          </w:tcPr>
          <w:p w:rsidRPr="006A1458" w:rsidR="00F45C92" w:rsidP="006A2B2F" w:rsidRDefault="00F45C92" w14:paraId="0F3E44A0"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€ 326.786</w:t>
            </w:r>
          </w:p>
        </w:tc>
      </w:tr>
      <w:tr w:rsidRPr="00CE7510" w:rsidR="00F45C92" w:rsidTr="006A2B2F" w14:paraId="36248972"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6A1458" w:rsidR="00F45C92" w:rsidP="006A2B2F" w:rsidRDefault="00F45C92" w14:paraId="160B194F" w14:textId="77777777">
            <w:pPr>
              <w:jc w:val="center"/>
              <w:rPr>
                <w:rFonts w:asciiTheme="minorHAnsi" w:hAnsiTheme="minorHAnsi" w:cstheme="minorHAnsi"/>
                <w:color w:val="000000" w:themeColor="text1"/>
                <w:sz w:val="16"/>
                <w:szCs w:val="16"/>
              </w:rPr>
            </w:pPr>
          </w:p>
        </w:tc>
        <w:tc>
          <w:tcPr>
            <w:tcW w:w="782" w:type="dxa"/>
          </w:tcPr>
          <w:p w:rsidRPr="006A1458" w:rsidR="00F45C92" w:rsidP="006A2B2F" w:rsidRDefault="00F45C92" w14:paraId="42D6A8EA"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6A1458">
              <w:rPr>
                <w:rFonts w:asciiTheme="minorHAnsi" w:hAnsiTheme="minorHAnsi" w:cstheme="minorHAnsi"/>
                <w:color w:val="000000" w:themeColor="text1"/>
                <w:sz w:val="16"/>
                <w:szCs w:val="16"/>
              </w:rPr>
              <w:t>55</w:t>
            </w:r>
          </w:p>
        </w:tc>
        <w:tc>
          <w:tcPr>
            <w:tcW w:w="1053" w:type="dxa"/>
            <w:vAlign w:val="bottom"/>
          </w:tcPr>
          <w:p w:rsidRPr="006A1458" w:rsidR="00F45C92" w:rsidP="006A2B2F" w:rsidRDefault="00F45C92" w14:paraId="401B0235"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Pr>
                <w:rFonts w:ascii="Calibri" w:hAnsi="Calibri" w:cs="Calibri"/>
                <w:sz w:val="16"/>
                <w:szCs w:val="16"/>
              </w:rPr>
              <w:t>€ 0</w:t>
            </w:r>
          </w:p>
        </w:tc>
        <w:tc>
          <w:tcPr>
            <w:tcW w:w="1039" w:type="dxa"/>
            <w:vAlign w:val="bottom"/>
          </w:tcPr>
          <w:p w:rsidRPr="006A1458" w:rsidR="00F45C92" w:rsidP="006A2B2F" w:rsidRDefault="00F45C92" w14:paraId="673085FD"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Pr>
                <w:rFonts w:ascii="Calibri" w:hAnsi="Calibri" w:cs="Calibri"/>
                <w:sz w:val="16"/>
                <w:szCs w:val="16"/>
              </w:rPr>
              <w:t>€ 4.118</w:t>
            </w:r>
          </w:p>
        </w:tc>
        <w:tc>
          <w:tcPr>
            <w:tcW w:w="1042" w:type="dxa"/>
            <w:gridSpan w:val="2"/>
            <w:vAlign w:val="bottom"/>
          </w:tcPr>
          <w:p w:rsidRPr="006A1458" w:rsidR="00F45C92" w:rsidP="006A2B2F" w:rsidRDefault="00F45C92" w14:paraId="4B9139D7"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Pr>
                <w:rFonts w:ascii="Calibri" w:hAnsi="Calibri" w:cs="Calibri"/>
                <w:sz w:val="16"/>
                <w:szCs w:val="16"/>
              </w:rPr>
              <w:t>€ 8.726</w:t>
            </w:r>
          </w:p>
        </w:tc>
        <w:tc>
          <w:tcPr>
            <w:tcW w:w="1046" w:type="dxa"/>
            <w:gridSpan w:val="2"/>
            <w:vAlign w:val="bottom"/>
          </w:tcPr>
          <w:p w:rsidRPr="006A1458" w:rsidR="00F45C92" w:rsidP="006A2B2F" w:rsidRDefault="00F45C92" w14:paraId="1D64BB68"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Pr>
                <w:rFonts w:ascii="Calibri" w:hAnsi="Calibri" w:cs="Calibri"/>
                <w:sz w:val="16"/>
                <w:szCs w:val="16"/>
              </w:rPr>
              <w:t>€ 13.334</w:t>
            </w:r>
          </w:p>
        </w:tc>
        <w:tc>
          <w:tcPr>
            <w:tcW w:w="1057" w:type="dxa"/>
            <w:gridSpan w:val="2"/>
            <w:vAlign w:val="bottom"/>
          </w:tcPr>
          <w:p w:rsidRPr="006A1458" w:rsidR="00F45C92" w:rsidP="006A2B2F" w:rsidRDefault="00F45C92" w14:paraId="3C765781"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Pr>
                <w:rFonts w:ascii="Calibri" w:hAnsi="Calibri" w:cs="Calibri"/>
                <w:sz w:val="16"/>
                <w:szCs w:val="16"/>
              </w:rPr>
              <w:t>€ 17.944</w:t>
            </w:r>
          </w:p>
        </w:tc>
        <w:tc>
          <w:tcPr>
            <w:tcW w:w="1201" w:type="dxa"/>
            <w:gridSpan w:val="2"/>
            <w:vAlign w:val="bottom"/>
          </w:tcPr>
          <w:p w:rsidRPr="006A1458" w:rsidR="00F45C92" w:rsidP="006A2B2F" w:rsidRDefault="00F45C92" w14:paraId="2307B7B9"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Pr>
                <w:rFonts w:ascii="Calibri" w:hAnsi="Calibri" w:cs="Calibri"/>
                <w:sz w:val="16"/>
                <w:szCs w:val="16"/>
              </w:rPr>
              <w:t>€ 51.130</w:t>
            </w:r>
          </w:p>
        </w:tc>
        <w:tc>
          <w:tcPr>
            <w:tcW w:w="1229" w:type="dxa"/>
            <w:gridSpan w:val="2"/>
            <w:vAlign w:val="bottom"/>
          </w:tcPr>
          <w:p w:rsidRPr="006A1458" w:rsidR="00F45C92" w:rsidP="006A2B2F" w:rsidRDefault="00F45C92" w14:paraId="7A1FEF19"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€ 373.706</w:t>
            </w:r>
          </w:p>
        </w:tc>
      </w:tr>
      <w:tr w:rsidRPr="00CE7510" w:rsidR="00F45C92" w:rsidTr="006A2B2F" w14:paraId="65075B87"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6A1458" w:rsidR="00F45C92" w:rsidP="006A2B2F" w:rsidRDefault="00F45C92" w14:paraId="32B99B87" w14:textId="77777777">
            <w:pPr>
              <w:jc w:val="center"/>
              <w:rPr>
                <w:rFonts w:asciiTheme="minorHAnsi" w:hAnsiTheme="minorHAnsi" w:cstheme="minorHAnsi"/>
                <w:color w:val="000000" w:themeColor="text1"/>
                <w:sz w:val="16"/>
                <w:szCs w:val="16"/>
              </w:rPr>
            </w:pPr>
          </w:p>
        </w:tc>
        <w:tc>
          <w:tcPr>
            <w:tcW w:w="782" w:type="dxa"/>
          </w:tcPr>
          <w:p w:rsidRPr="006A1458" w:rsidR="00F45C92" w:rsidP="006A2B2F" w:rsidRDefault="00F45C92" w14:paraId="15905DF7"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6A1458">
              <w:rPr>
                <w:rFonts w:asciiTheme="minorHAnsi" w:hAnsiTheme="minorHAnsi" w:cstheme="minorHAnsi"/>
                <w:color w:val="000000" w:themeColor="text1"/>
                <w:sz w:val="16"/>
                <w:szCs w:val="16"/>
              </w:rPr>
              <w:t>60</w:t>
            </w:r>
          </w:p>
        </w:tc>
        <w:tc>
          <w:tcPr>
            <w:tcW w:w="1053" w:type="dxa"/>
            <w:vAlign w:val="bottom"/>
          </w:tcPr>
          <w:p w:rsidRPr="006A1458" w:rsidR="00F45C92" w:rsidP="006A2B2F" w:rsidRDefault="00F45C92" w14:paraId="5E7190FD"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Pr>
                <w:rFonts w:ascii="Calibri" w:hAnsi="Calibri" w:cs="Calibri"/>
                <w:sz w:val="16"/>
                <w:szCs w:val="16"/>
              </w:rPr>
              <w:t>€ 0</w:t>
            </w:r>
          </w:p>
        </w:tc>
        <w:tc>
          <w:tcPr>
            <w:tcW w:w="1039" w:type="dxa"/>
            <w:vAlign w:val="bottom"/>
          </w:tcPr>
          <w:p w:rsidRPr="006A1458" w:rsidR="00F45C92" w:rsidP="006A2B2F" w:rsidRDefault="00F45C92" w14:paraId="45D425F5"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Pr>
                <w:rFonts w:ascii="Calibri" w:hAnsi="Calibri" w:cs="Calibri"/>
                <w:sz w:val="16"/>
                <w:szCs w:val="16"/>
              </w:rPr>
              <w:t>€ 5.028</w:t>
            </w:r>
          </w:p>
        </w:tc>
        <w:tc>
          <w:tcPr>
            <w:tcW w:w="1042" w:type="dxa"/>
            <w:gridSpan w:val="2"/>
            <w:vAlign w:val="bottom"/>
          </w:tcPr>
          <w:p w:rsidRPr="006A1458" w:rsidR="00F45C92" w:rsidP="006A2B2F" w:rsidRDefault="00F45C92" w14:paraId="76C0FEFE"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Pr>
                <w:rFonts w:ascii="Calibri" w:hAnsi="Calibri" w:cs="Calibri"/>
                <w:sz w:val="16"/>
                <w:szCs w:val="16"/>
              </w:rPr>
              <w:t>€ 10.090</w:t>
            </w:r>
          </w:p>
        </w:tc>
        <w:tc>
          <w:tcPr>
            <w:tcW w:w="1046" w:type="dxa"/>
            <w:gridSpan w:val="2"/>
            <w:vAlign w:val="bottom"/>
          </w:tcPr>
          <w:p w:rsidRPr="006A1458" w:rsidR="00F45C92" w:rsidP="006A2B2F" w:rsidRDefault="00F45C92" w14:paraId="6503520E"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Pr>
                <w:rFonts w:ascii="Calibri" w:hAnsi="Calibri" w:cs="Calibri"/>
                <w:sz w:val="16"/>
                <w:szCs w:val="16"/>
              </w:rPr>
              <w:t>€ 15.154</w:t>
            </w:r>
          </w:p>
        </w:tc>
        <w:tc>
          <w:tcPr>
            <w:tcW w:w="1057" w:type="dxa"/>
            <w:gridSpan w:val="2"/>
            <w:vAlign w:val="bottom"/>
          </w:tcPr>
          <w:p w:rsidRPr="006A1458" w:rsidR="00F45C92" w:rsidP="006A2B2F" w:rsidRDefault="00F45C92" w14:paraId="4B6FBF9F"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Pr>
                <w:rFonts w:ascii="Calibri" w:hAnsi="Calibri" w:cs="Calibri"/>
                <w:sz w:val="16"/>
                <w:szCs w:val="16"/>
              </w:rPr>
              <w:t>€ 20.216</w:t>
            </w:r>
          </w:p>
        </w:tc>
        <w:tc>
          <w:tcPr>
            <w:tcW w:w="1201" w:type="dxa"/>
            <w:gridSpan w:val="2"/>
            <w:vAlign w:val="bottom"/>
          </w:tcPr>
          <w:p w:rsidRPr="006A1458" w:rsidR="00F45C92" w:rsidP="006A2B2F" w:rsidRDefault="00F45C92" w14:paraId="19171D1E"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Pr>
                <w:rFonts w:ascii="Calibri" w:hAnsi="Calibri" w:cs="Calibri"/>
                <w:sz w:val="16"/>
                <w:szCs w:val="16"/>
              </w:rPr>
              <w:t>€ 60.220</w:t>
            </w:r>
          </w:p>
        </w:tc>
        <w:tc>
          <w:tcPr>
            <w:tcW w:w="1229" w:type="dxa"/>
            <w:gridSpan w:val="2"/>
            <w:vAlign w:val="bottom"/>
          </w:tcPr>
          <w:p w:rsidRPr="006A1458" w:rsidR="00F45C92" w:rsidP="006A2B2F" w:rsidRDefault="00F45C92" w14:paraId="26C4C006"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€ 414.614</w:t>
            </w:r>
          </w:p>
        </w:tc>
      </w:tr>
      <w:tr w:rsidRPr="00CE7510" w:rsidR="00F45C92" w:rsidTr="006A2B2F" w14:paraId="66BBAB4D"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6A1458" w:rsidR="00F45C92" w:rsidP="006A2B2F" w:rsidRDefault="00F45C92" w14:paraId="664F3078" w14:textId="77777777">
            <w:pPr>
              <w:jc w:val="center"/>
              <w:rPr>
                <w:rFonts w:asciiTheme="minorHAnsi" w:hAnsiTheme="minorHAnsi" w:cstheme="minorHAnsi"/>
                <w:color w:val="000000" w:themeColor="text1"/>
                <w:sz w:val="16"/>
                <w:szCs w:val="16"/>
              </w:rPr>
            </w:pPr>
          </w:p>
        </w:tc>
        <w:tc>
          <w:tcPr>
            <w:tcW w:w="782" w:type="dxa"/>
          </w:tcPr>
          <w:p w:rsidRPr="006A1458" w:rsidR="00F45C92" w:rsidP="006A2B2F" w:rsidRDefault="00F45C92" w14:paraId="0703510D"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6A1458">
              <w:rPr>
                <w:rFonts w:asciiTheme="minorHAnsi" w:hAnsiTheme="minorHAnsi" w:cstheme="minorHAnsi"/>
                <w:color w:val="000000" w:themeColor="text1"/>
                <w:sz w:val="16"/>
                <w:szCs w:val="16"/>
              </w:rPr>
              <w:t>65</w:t>
            </w:r>
          </w:p>
        </w:tc>
        <w:tc>
          <w:tcPr>
            <w:tcW w:w="1053" w:type="dxa"/>
            <w:vAlign w:val="bottom"/>
          </w:tcPr>
          <w:p w:rsidRPr="006A1458" w:rsidR="00F45C92" w:rsidP="006A2B2F" w:rsidRDefault="00F45C92" w14:paraId="254910F4"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€ 358</w:t>
            </w:r>
          </w:p>
        </w:tc>
        <w:tc>
          <w:tcPr>
            <w:tcW w:w="1039" w:type="dxa"/>
            <w:vAlign w:val="bottom"/>
          </w:tcPr>
          <w:p w:rsidRPr="006A1458" w:rsidR="00F45C92" w:rsidP="006A2B2F" w:rsidRDefault="00F45C92" w14:paraId="7F1C2113"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€ 5.816</w:t>
            </w:r>
          </w:p>
        </w:tc>
        <w:tc>
          <w:tcPr>
            <w:tcW w:w="1042" w:type="dxa"/>
            <w:gridSpan w:val="2"/>
            <w:vAlign w:val="bottom"/>
          </w:tcPr>
          <w:p w:rsidRPr="006A1458" w:rsidR="00F45C92" w:rsidP="006A2B2F" w:rsidRDefault="00F45C92" w14:paraId="752DDE32"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€ 11.272</w:t>
            </w:r>
          </w:p>
        </w:tc>
        <w:tc>
          <w:tcPr>
            <w:tcW w:w="1046" w:type="dxa"/>
            <w:gridSpan w:val="2"/>
            <w:vAlign w:val="bottom"/>
          </w:tcPr>
          <w:p w:rsidRPr="006A1458" w:rsidR="00F45C92" w:rsidP="006A2B2F" w:rsidRDefault="00F45C92" w14:paraId="7BB20D96"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€ 16.728</w:t>
            </w:r>
          </w:p>
        </w:tc>
        <w:tc>
          <w:tcPr>
            <w:tcW w:w="1057" w:type="dxa"/>
            <w:gridSpan w:val="2"/>
            <w:vAlign w:val="bottom"/>
          </w:tcPr>
          <w:p w:rsidRPr="006A1458" w:rsidR="00F45C92" w:rsidP="006A2B2F" w:rsidRDefault="00F45C92" w14:paraId="78C02335"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€ 21.656</w:t>
            </w:r>
          </w:p>
        </w:tc>
        <w:tc>
          <w:tcPr>
            <w:tcW w:w="1201" w:type="dxa"/>
            <w:gridSpan w:val="2"/>
            <w:vAlign w:val="bottom"/>
          </w:tcPr>
          <w:p w:rsidRPr="006A1458" w:rsidR="00F45C92" w:rsidP="006A2B2F" w:rsidRDefault="00F45C92" w14:paraId="7E13A1DC"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€ 61.940</w:t>
            </w:r>
          </w:p>
        </w:tc>
        <w:tc>
          <w:tcPr>
            <w:tcW w:w="1229" w:type="dxa"/>
            <w:gridSpan w:val="2"/>
            <w:vAlign w:val="bottom"/>
          </w:tcPr>
          <w:p w:rsidRPr="006A1458" w:rsidR="00F45C92" w:rsidP="006A2B2F" w:rsidRDefault="00F45C92" w14:paraId="52356DA1"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€ 389.814</w:t>
            </w:r>
          </w:p>
        </w:tc>
      </w:tr>
      <w:tr w:rsidRPr="00CE7510" w:rsidR="00F45C92" w:rsidTr="006A2B2F" w14:paraId="127AB642"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6A1458" w:rsidR="00F45C92" w:rsidP="006A2B2F" w:rsidRDefault="00F45C92" w14:paraId="48A7A5CE" w14:textId="77777777">
            <w:pPr>
              <w:jc w:val="center"/>
              <w:rPr>
                <w:rFonts w:asciiTheme="minorHAnsi" w:hAnsiTheme="minorHAnsi" w:cstheme="minorHAnsi"/>
                <w:color w:val="000000" w:themeColor="text1"/>
                <w:sz w:val="16"/>
                <w:szCs w:val="16"/>
              </w:rPr>
            </w:pPr>
          </w:p>
        </w:tc>
        <w:tc>
          <w:tcPr>
            <w:tcW w:w="782" w:type="dxa"/>
          </w:tcPr>
          <w:p w:rsidRPr="006A1458" w:rsidR="00F45C92" w:rsidP="006A2B2F" w:rsidRDefault="00F45C92" w14:paraId="62909AD6"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6A1458">
              <w:rPr>
                <w:rFonts w:asciiTheme="minorHAnsi" w:hAnsiTheme="minorHAnsi" w:cstheme="minorHAnsi"/>
                <w:color w:val="000000" w:themeColor="text1"/>
                <w:sz w:val="16"/>
                <w:szCs w:val="16"/>
              </w:rPr>
              <w:t>70</w:t>
            </w:r>
          </w:p>
        </w:tc>
        <w:tc>
          <w:tcPr>
            <w:tcW w:w="1053" w:type="dxa"/>
            <w:vAlign w:val="bottom"/>
          </w:tcPr>
          <w:p w:rsidRPr="006A1458" w:rsidR="00F45C92" w:rsidP="006A2B2F" w:rsidRDefault="00F45C92" w14:paraId="6090FD20"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€ 694</w:t>
            </w:r>
          </w:p>
        </w:tc>
        <w:tc>
          <w:tcPr>
            <w:tcW w:w="1039" w:type="dxa"/>
            <w:vAlign w:val="bottom"/>
          </w:tcPr>
          <w:p w:rsidRPr="006A1458" w:rsidR="00F45C92" w:rsidP="006A2B2F" w:rsidRDefault="00F45C92" w14:paraId="354B985B"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€ 5.514</w:t>
            </w:r>
          </w:p>
        </w:tc>
        <w:tc>
          <w:tcPr>
            <w:tcW w:w="1042" w:type="dxa"/>
            <w:gridSpan w:val="2"/>
            <w:vAlign w:val="bottom"/>
          </w:tcPr>
          <w:p w:rsidRPr="006A1458" w:rsidR="00F45C92" w:rsidP="006A2B2F" w:rsidRDefault="00F45C92" w14:paraId="3020ABD5"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€ 8.272</w:t>
            </w:r>
          </w:p>
        </w:tc>
        <w:tc>
          <w:tcPr>
            <w:tcW w:w="1046" w:type="dxa"/>
            <w:gridSpan w:val="2"/>
            <w:vAlign w:val="bottom"/>
          </w:tcPr>
          <w:p w:rsidRPr="006A1458" w:rsidR="00F45C92" w:rsidP="006A2B2F" w:rsidRDefault="00F45C92" w14:paraId="706CDCDF"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€ 11.028</w:t>
            </w:r>
          </w:p>
        </w:tc>
        <w:tc>
          <w:tcPr>
            <w:tcW w:w="1057" w:type="dxa"/>
            <w:gridSpan w:val="2"/>
            <w:vAlign w:val="bottom"/>
          </w:tcPr>
          <w:p w:rsidRPr="006A1458" w:rsidR="00F45C92" w:rsidP="006A2B2F" w:rsidRDefault="00F45C92" w14:paraId="1B6256B1"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€ 13.784</w:t>
            </w:r>
          </w:p>
        </w:tc>
        <w:tc>
          <w:tcPr>
            <w:tcW w:w="1201" w:type="dxa"/>
            <w:gridSpan w:val="2"/>
            <w:vAlign w:val="bottom"/>
          </w:tcPr>
          <w:p w:rsidRPr="006A1458" w:rsidR="00F45C92" w:rsidP="006A2B2F" w:rsidRDefault="00F45C92" w14:paraId="26A48B8F"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€ 49.550</w:t>
            </w:r>
          </w:p>
        </w:tc>
        <w:tc>
          <w:tcPr>
            <w:tcW w:w="1229" w:type="dxa"/>
            <w:gridSpan w:val="2"/>
            <w:vAlign w:val="bottom"/>
          </w:tcPr>
          <w:p w:rsidRPr="006A1458" w:rsidR="00F45C92" w:rsidP="006A2B2F" w:rsidRDefault="00F45C92" w14:paraId="118ABCD3"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€ 248.132</w:t>
            </w:r>
          </w:p>
        </w:tc>
      </w:tr>
      <w:tr w:rsidRPr="00CE7510" w:rsidR="00F45C92" w:rsidTr="006A2B2F" w14:paraId="21877D4C"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6A1458" w:rsidR="00F45C92" w:rsidP="006A2B2F" w:rsidRDefault="00F45C92" w14:paraId="08AEC005" w14:textId="77777777">
            <w:pPr>
              <w:jc w:val="center"/>
              <w:rPr>
                <w:rFonts w:asciiTheme="minorHAnsi" w:hAnsiTheme="minorHAnsi" w:cstheme="minorHAnsi"/>
                <w:color w:val="000000" w:themeColor="text1"/>
                <w:sz w:val="16"/>
                <w:szCs w:val="16"/>
              </w:rPr>
            </w:pPr>
          </w:p>
        </w:tc>
        <w:tc>
          <w:tcPr>
            <w:tcW w:w="782" w:type="dxa"/>
          </w:tcPr>
          <w:p w:rsidRPr="006A1458" w:rsidR="00F45C92" w:rsidP="006A2B2F" w:rsidRDefault="00F45C92" w14:paraId="33094294"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6A1458">
              <w:rPr>
                <w:rFonts w:asciiTheme="minorHAnsi" w:hAnsiTheme="minorHAnsi" w:cstheme="minorHAnsi"/>
                <w:color w:val="000000" w:themeColor="text1"/>
                <w:sz w:val="16"/>
                <w:szCs w:val="16"/>
              </w:rPr>
              <w:t>75</w:t>
            </w:r>
          </w:p>
        </w:tc>
        <w:tc>
          <w:tcPr>
            <w:tcW w:w="1053" w:type="dxa"/>
            <w:vAlign w:val="bottom"/>
          </w:tcPr>
          <w:p w:rsidRPr="006A1458" w:rsidR="00F45C92" w:rsidP="006A2B2F" w:rsidRDefault="00F45C92" w14:paraId="054BFB8A"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€ 968</w:t>
            </w:r>
          </w:p>
        </w:tc>
        <w:tc>
          <w:tcPr>
            <w:tcW w:w="1039" w:type="dxa"/>
            <w:vAlign w:val="bottom"/>
          </w:tcPr>
          <w:p w:rsidRPr="006A1458" w:rsidR="00F45C92" w:rsidP="006A2B2F" w:rsidRDefault="00F45C92" w14:paraId="4EFD9375"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€ 3.386</w:t>
            </w:r>
          </w:p>
        </w:tc>
        <w:tc>
          <w:tcPr>
            <w:tcW w:w="1042" w:type="dxa"/>
            <w:gridSpan w:val="2"/>
            <w:vAlign w:val="bottom"/>
          </w:tcPr>
          <w:p w:rsidRPr="006A1458" w:rsidR="00F45C92" w:rsidP="006A2B2F" w:rsidRDefault="00F45C92" w14:paraId="710EBD6D"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€ 5.080</w:t>
            </w:r>
          </w:p>
        </w:tc>
        <w:tc>
          <w:tcPr>
            <w:tcW w:w="1046" w:type="dxa"/>
            <w:gridSpan w:val="2"/>
            <w:vAlign w:val="bottom"/>
          </w:tcPr>
          <w:p w:rsidRPr="006A1458" w:rsidR="00F45C92" w:rsidP="006A2B2F" w:rsidRDefault="00F45C92" w14:paraId="5D85FB34"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€ 6.774</w:t>
            </w:r>
          </w:p>
        </w:tc>
        <w:tc>
          <w:tcPr>
            <w:tcW w:w="1057" w:type="dxa"/>
            <w:gridSpan w:val="2"/>
            <w:vAlign w:val="bottom"/>
          </w:tcPr>
          <w:p w:rsidRPr="006A1458" w:rsidR="00F45C92" w:rsidP="006A2B2F" w:rsidRDefault="00F45C92" w14:paraId="7802D66D"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€ 8.470</w:t>
            </w:r>
          </w:p>
        </w:tc>
        <w:tc>
          <w:tcPr>
            <w:tcW w:w="1201" w:type="dxa"/>
            <w:gridSpan w:val="2"/>
            <w:vAlign w:val="bottom"/>
          </w:tcPr>
          <w:p w:rsidRPr="006A1458" w:rsidR="00F45C92" w:rsidP="006A2B2F" w:rsidRDefault="00F45C92" w14:paraId="1FE8F9F4"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€ 33.874</w:t>
            </w:r>
          </w:p>
        </w:tc>
        <w:tc>
          <w:tcPr>
            <w:tcW w:w="1229" w:type="dxa"/>
            <w:gridSpan w:val="2"/>
            <w:vAlign w:val="bottom"/>
          </w:tcPr>
          <w:p w:rsidRPr="006A1458" w:rsidR="00F45C92" w:rsidP="006A2B2F" w:rsidRDefault="00F45C92" w14:paraId="47C9BDE9"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€ 152.432</w:t>
            </w:r>
          </w:p>
        </w:tc>
      </w:tr>
      <w:tr w:rsidRPr="00CE7510" w:rsidR="00F45C92" w:rsidTr="006A2B2F" w14:paraId="1AF6824C"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6A1458" w:rsidR="00F45C92" w:rsidP="006A2B2F" w:rsidRDefault="00F45C92" w14:paraId="65DE846E" w14:textId="77777777">
            <w:pPr>
              <w:jc w:val="center"/>
              <w:rPr>
                <w:rFonts w:asciiTheme="minorHAnsi" w:hAnsiTheme="minorHAnsi" w:cstheme="minorHAnsi"/>
                <w:color w:val="000000" w:themeColor="text1"/>
                <w:sz w:val="16"/>
                <w:szCs w:val="16"/>
              </w:rPr>
            </w:pPr>
          </w:p>
        </w:tc>
        <w:tc>
          <w:tcPr>
            <w:tcW w:w="782" w:type="dxa"/>
          </w:tcPr>
          <w:p w:rsidRPr="006A1458" w:rsidR="00F45C92" w:rsidP="006A2B2F" w:rsidRDefault="00F45C92" w14:paraId="248B562A"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6A1458">
              <w:rPr>
                <w:rFonts w:asciiTheme="minorHAnsi" w:hAnsiTheme="minorHAnsi" w:cstheme="minorHAnsi"/>
                <w:color w:val="000000" w:themeColor="text1"/>
                <w:sz w:val="16"/>
                <w:szCs w:val="16"/>
              </w:rPr>
              <w:t>80</w:t>
            </w:r>
          </w:p>
        </w:tc>
        <w:tc>
          <w:tcPr>
            <w:tcW w:w="1053" w:type="dxa"/>
            <w:vAlign w:val="bottom"/>
          </w:tcPr>
          <w:p w:rsidRPr="006A1458" w:rsidR="00F45C92" w:rsidP="006A2B2F" w:rsidRDefault="00F45C92" w14:paraId="107559CF"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€ 1.006</w:t>
            </w:r>
          </w:p>
        </w:tc>
        <w:tc>
          <w:tcPr>
            <w:tcW w:w="1039" w:type="dxa"/>
            <w:vAlign w:val="bottom"/>
          </w:tcPr>
          <w:p w:rsidRPr="006A1458" w:rsidR="00F45C92" w:rsidP="006A2B2F" w:rsidRDefault="00F45C92" w14:paraId="010317CB"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€ 2.010</w:t>
            </w:r>
          </w:p>
        </w:tc>
        <w:tc>
          <w:tcPr>
            <w:tcW w:w="1042" w:type="dxa"/>
            <w:gridSpan w:val="2"/>
            <w:vAlign w:val="bottom"/>
          </w:tcPr>
          <w:p w:rsidRPr="006A1458" w:rsidR="00F45C92" w:rsidP="006A2B2F" w:rsidRDefault="00F45C92" w14:paraId="6EB4860F"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€ 3.016</w:t>
            </w:r>
          </w:p>
        </w:tc>
        <w:tc>
          <w:tcPr>
            <w:tcW w:w="1046" w:type="dxa"/>
            <w:gridSpan w:val="2"/>
            <w:vAlign w:val="bottom"/>
          </w:tcPr>
          <w:p w:rsidRPr="006A1458" w:rsidR="00F45C92" w:rsidP="006A2B2F" w:rsidRDefault="00F45C92" w14:paraId="1E87D9F3"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€ 4.020</w:t>
            </w:r>
          </w:p>
        </w:tc>
        <w:tc>
          <w:tcPr>
            <w:tcW w:w="1057" w:type="dxa"/>
            <w:gridSpan w:val="2"/>
            <w:vAlign w:val="bottom"/>
          </w:tcPr>
          <w:p w:rsidRPr="006A1458" w:rsidR="00F45C92" w:rsidP="006A2B2F" w:rsidRDefault="00F45C92" w14:paraId="5CC0FEE4"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€ 5.026</w:t>
            </w:r>
          </w:p>
        </w:tc>
        <w:tc>
          <w:tcPr>
            <w:tcW w:w="1201" w:type="dxa"/>
            <w:gridSpan w:val="2"/>
            <w:vAlign w:val="bottom"/>
          </w:tcPr>
          <w:p w:rsidRPr="006A1458" w:rsidR="00F45C92" w:rsidP="006A2B2F" w:rsidRDefault="00F45C92" w14:paraId="72FF52D5"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€ 20.098</w:t>
            </w:r>
          </w:p>
        </w:tc>
        <w:tc>
          <w:tcPr>
            <w:tcW w:w="1229" w:type="dxa"/>
            <w:gridSpan w:val="2"/>
            <w:vAlign w:val="bottom"/>
          </w:tcPr>
          <w:p w:rsidRPr="006A1458" w:rsidR="00F45C92" w:rsidP="006A2B2F" w:rsidRDefault="00F45C92" w14:paraId="4819A5B2"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€ 90.444</w:t>
            </w:r>
          </w:p>
        </w:tc>
      </w:tr>
      <w:tr w:rsidRPr="00CE7510" w:rsidR="00F45C92" w:rsidTr="006A2B2F" w14:paraId="694C2008"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6A1458" w:rsidR="00F45C92" w:rsidP="006A2B2F" w:rsidRDefault="00F45C92" w14:paraId="7DF14EE9" w14:textId="77777777">
            <w:pPr>
              <w:jc w:val="center"/>
              <w:rPr>
                <w:rFonts w:asciiTheme="minorHAnsi" w:hAnsiTheme="minorHAnsi" w:cstheme="minorHAnsi"/>
                <w:color w:val="000000" w:themeColor="text1"/>
                <w:sz w:val="16"/>
                <w:szCs w:val="16"/>
              </w:rPr>
            </w:pPr>
          </w:p>
        </w:tc>
        <w:tc>
          <w:tcPr>
            <w:tcW w:w="782" w:type="dxa"/>
          </w:tcPr>
          <w:p w:rsidRPr="006A1458" w:rsidR="00F45C92" w:rsidP="006A2B2F" w:rsidRDefault="00F45C92" w14:paraId="2D6D2E6A"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6A1458">
              <w:rPr>
                <w:rFonts w:asciiTheme="minorHAnsi" w:hAnsiTheme="minorHAnsi" w:cstheme="minorHAnsi"/>
                <w:color w:val="000000" w:themeColor="text1"/>
                <w:sz w:val="16"/>
                <w:szCs w:val="16"/>
              </w:rPr>
              <w:t>85</w:t>
            </w:r>
          </w:p>
        </w:tc>
        <w:tc>
          <w:tcPr>
            <w:tcW w:w="1053" w:type="dxa"/>
            <w:vAlign w:val="bottom"/>
          </w:tcPr>
          <w:p w:rsidRPr="006A1458" w:rsidR="00F45C92" w:rsidP="006A2B2F" w:rsidRDefault="00F45C92" w14:paraId="509A7664"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€ 586</w:t>
            </w:r>
          </w:p>
        </w:tc>
        <w:tc>
          <w:tcPr>
            <w:tcW w:w="1039" w:type="dxa"/>
            <w:vAlign w:val="bottom"/>
          </w:tcPr>
          <w:p w:rsidRPr="006A1458" w:rsidR="00F45C92" w:rsidP="006A2B2F" w:rsidRDefault="00F45C92" w14:paraId="50BCCB05"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€ 1.172</w:t>
            </w:r>
          </w:p>
        </w:tc>
        <w:tc>
          <w:tcPr>
            <w:tcW w:w="1042" w:type="dxa"/>
            <w:gridSpan w:val="2"/>
            <w:vAlign w:val="bottom"/>
          </w:tcPr>
          <w:p w:rsidRPr="006A1458" w:rsidR="00F45C92" w:rsidP="006A2B2F" w:rsidRDefault="00F45C92" w14:paraId="75C55FD8"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€ 1.758</w:t>
            </w:r>
          </w:p>
        </w:tc>
        <w:tc>
          <w:tcPr>
            <w:tcW w:w="1046" w:type="dxa"/>
            <w:gridSpan w:val="2"/>
            <w:vAlign w:val="bottom"/>
          </w:tcPr>
          <w:p w:rsidRPr="006A1458" w:rsidR="00F45C92" w:rsidP="006A2B2F" w:rsidRDefault="00F45C92" w14:paraId="2FFAEA4A"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€ 2.344</w:t>
            </w:r>
          </w:p>
        </w:tc>
        <w:tc>
          <w:tcPr>
            <w:tcW w:w="1057" w:type="dxa"/>
            <w:gridSpan w:val="2"/>
            <w:vAlign w:val="bottom"/>
          </w:tcPr>
          <w:p w:rsidRPr="006A1458" w:rsidR="00F45C92" w:rsidP="006A2B2F" w:rsidRDefault="00F45C92" w14:paraId="47FAE66F"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€ 2.930</w:t>
            </w:r>
          </w:p>
        </w:tc>
        <w:tc>
          <w:tcPr>
            <w:tcW w:w="1201" w:type="dxa"/>
            <w:gridSpan w:val="2"/>
            <w:vAlign w:val="bottom"/>
          </w:tcPr>
          <w:p w:rsidRPr="006A1458" w:rsidR="00F45C92" w:rsidP="006A2B2F" w:rsidRDefault="00F45C92" w14:paraId="7F670A16"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€ 11.722</w:t>
            </w:r>
          </w:p>
        </w:tc>
        <w:tc>
          <w:tcPr>
            <w:tcW w:w="1229" w:type="dxa"/>
            <w:gridSpan w:val="2"/>
            <w:vAlign w:val="bottom"/>
          </w:tcPr>
          <w:p w:rsidRPr="006A1458" w:rsidR="00F45C92" w:rsidP="006A2B2F" w:rsidRDefault="00F45C92" w14:paraId="2EFADF0F"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€ 52.754</w:t>
            </w:r>
          </w:p>
        </w:tc>
      </w:tr>
      <w:tr w:rsidRPr="00CE7510" w:rsidR="00F45C92" w:rsidTr="006A2B2F" w14:paraId="0239596E"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6A1458" w:rsidR="00F45C92" w:rsidP="006A2B2F" w:rsidRDefault="00F45C92" w14:paraId="2875CE17" w14:textId="77777777">
            <w:pPr>
              <w:jc w:val="center"/>
              <w:rPr>
                <w:rFonts w:asciiTheme="minorHAnsi" w:hAnsiTheme="minorHAnsi" w:cstheme="minorHAnsi"/>
                <w:color w:val="000000" w:themeColor="text1"/>
                <w:sz w:val="16"/>
                <w:szCs w:val="16"/>
              </w:rPr>
            </w:pPr>
          </w:p>
        </w:tc>
        <w:tc>
          <w:tcPr>
            <w:tcW w:w="782" w:type="dxa"/>
          </w:tcPr>
          <w:p w:rsidRPr="006A1458" w:rsidR="00F45C92" w:rsidP="006A2B2F" w:rsidRDefault="00F45C92" w14:paraId="4A701382"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6A1458">
              <w:rPr>
                <w:rFonts w:asciiTheme="minorHAnsi" w:hAnsiTheme="minorHAnsi" w:cstheme="minorHAnsi"/>
                <w:color w:val="000000" w:themeColor="text1"/>
                <w:sz w:val="16"/>
                <w:szCs w:val="16"/>
              </w:rPr>
              <w:t>90</w:t>
            </w:r>
          </w:p>
        </w:tc>
        <w:tc>
          <w:tcPr>
            <w:tcW w:w="1053" w:type="dxa"/>
            <w:vAlign w:val="bottom"/>
          </w:tcPr>
          <w:p w:rsidRPr="006A1458" w:rsidR="00F45C92" w:rsidP="006A2B2F" w:rsidRDefault="00F45C92" w14:paraId="48A9432F"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€ 346</w:t>
            </w:r>
          </w:p>
        </w:tc>
        <w:tc>
          <w:tcPr>
            <w:tcW w:w="1039" w:type="dxa"/>
            <w:vAlign w:val="bottom"/>
          </w:tcPr>
          <w:p w:rsidRPr="006A1458" w:rsidR="00F45C92" w:rsidP="006A2B2F" w:rsidRDefault="00F45C92" w14:paraId="20833D90"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€ 692</w:t>
            </w:r>
          </w:p>
        </w:tc>
        <w:tc>
          <w:tcPr>
            <w:tcW w:w="1042" w:type="dxa"/>
            <w:gridSpan w:val="2"/>
            <w:vAlign w:val="bottom"/>
          </w:tcPr>
          <w:p w:rsidRPr="006A1458" w:rsidR="00F45C92" w:rsidP="006A2B2F" w:rsidRDefault="00F45C92" w14:paraId="65DD8ED5"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€ 1.038</w:t>
            </w:r>
          </w:p>
        </w:tc>
        <w:tc>
          <w:tcPr>
            <w:tcW w:w="1046" w:type="dxa"/>
            <w:gridSpan w:val="2"/>
            <w:vAlign w:val="bottom"/>
          </w:tcPr>
          <w:p w:rsidRPr="006A1458" w:rsidR="00F45C92" w:rsidP="006A2B2F" w:rsidRDefault="00F45C92" w14:paraId="7FBD7331"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€ 1.384</w:t>
            </w:r>
          </w:p>
        </w:tc>
        <w:tc>
          <w:tcPr>
            <w:tcW w:w="1057" w:type="dxa"/>
            <w:gridSpan w:val="2"/>
            <w:vAlign w:val="bottom"/>
          </w:tcPr>
          <w:p w:rsidRPr="006A1458" w:rsidR="00F45C92" w:rsidP="006A2B2F" w:rsidRDefault="00F45C92" w14:paraId="21F91BA2"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€ 1.728</w:t>
            </w:r>
          </w:p>
        </w:tc>
        <w:tc>
          <w:tcPr>
            <w:tcW w:w="1201" w:type="dxa"/>
            <w:gridSpan w:val="2"/>
            <w:vAlign w:val="bottom"/>
          </w:tcPr>
          <w:p w:rsidRPr="006A1458" w:rsidR="00F45C92" w:rsidP="006A2B2F" w:rsidRDefault="00F45C92" w14:paraId="6CA5E101"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€ 6.918</w:t>
            </w:r>
          </w:p>
        </w:tc>
        <w:tc>
          <w:tcPr>
            <w:tcW w:w="1229" w:type="dxa"/>
            <w:gridSpan w:val="2"/>
            <w:vAlign w:val="bottom"/>
          </w:tcPr>
          <w:p w:rsidRPr="006A1458" w:rsidR="00F45C92" w:rsidP="006A2B2F" w:rsidRDefault="00F45C92" w14:paraId="32B5C452"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Calibri" w:hAnsi="Calibri" w:cs="Calibri"/>
                <w:sz w:val="16"/>
                <w:szCs w:val="16"/>
              </w:rPr>
              <w:t>€ 31.132</w:t>
            </w:r>
          </w:p>
        </w:tc>
      </w:tr>
    </w:tbl>
    <w:p w:rsidRPr="00CE7510" w:rsidR="00F45C92" w:rsidP="00F45C92" w:rsidRDefault="00F45C92" w14:paraId="6D288A0E" w14:textId="77777777">
      <w:pPr>
        <w:spacing w:line="276" w:lineRule="auto"/>
        <w:contextualSpacing/>
        <w:rPr>
          <w:rFonts w:asciiTheme="minorHAnsi" w:hAnsiTheme="minorHAnsi" w:cstheme="minorHAnsi"/>
          <w:sz w:val="20"/>
          <w:szCs w:val="20"/>
        </w:rPr>
      </w:pPr>
    </w:p>
    <w:p w:rsidRPr="00CE7510" w:rsidR="00F45C92" w:rsidP="00F45C92" w:rsidRDefault="00F45C92" w14:paraId="474524AA" w14:textId="77777777">
      <w:pPr>
        <w:spacing w:line="276" w:lineRule="auto"/>
        <w:contextualSpacing/>
        <w:rPr>
          <w:rFonts w:asciiTheme="minorHAnsi" w:hAnsiTheme="minorHAnsi" w:cstheme="minorHAnsi"/>
          <w:sz w:val="20"/>
          <w:szCs w:val="20"/>
        </w:rPr>
      </w:pPr>
    </w:p>
    <w:p w:rsidRPr="00771263" w:rsidR="00F45C92" w:rsidP="00F45C92" w:rsidRDefault="00F45C92" w14:paraId="429C559D" w14:textId="77777777">
      <w:pPr>
        <w:spacing w:line="240" w:lineRule="auto"/>
      </w:pPr>
    </w:p>
    <w:p w:rsidRPr="00771263" w:rsidR="00F45C92" w:rsidP="00F45C92" w:rsidRDefault="00F45C92" w14:paraId="028D494C" w14:textId="77777777">
      <w:pPr>
        <w:spacing w:line="240" w:lineRule="auto"/>
      </w:pPr>
    </w:p>
    <w:p w:rsidR="00B07060" w:rsidP="00F45C92" w:rsidRDefault="00B07060" w14:paraId="0141933F" w14:textId="77777777">
      <w:pPr>
        <w:spacing w:line="276" w:lineRule="auto"/>
        <w:contextualSpacing/>
      </w:pPr>
    </w:p>
    <w:sectPr w:rsidR="00B07060">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AA70C" w14:textId="77777777" w:rsidR="004C7C0F" w:rsidRDefault="004C7C0F">
      <w:pPr>
        <w:spacing w:line="240" w:lineRule="auto"/>
      </w:pPr>
      <w:r>
        <w:separator/>
      </w:r>
    </w:p>
  </w:endnote>
  <w:endnote w:type="continuationSeparator" w:id="0">
    <w:p w14:paraId="516EE976" w14:textId="77777777" w:rsidR="004C7C0F" w:rsidRDefault="004C7C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KALO M+ Univers">
    <w:altName w:val="Univers"/>
    <w:panose1 w:val="00000000000000000000"/>
    <w:charset w:val="00"/>
    <w:family w:val="swiss"/>
    <w:notTrueType/>
    <w:pitch w:val="default"/>
    <w:sig w:usb0="00000003" w:usb1="00000000" w:usb2="00000000" w:usb3="00000000" w:csb0="00000001" w:csb1="00000000"/>
  </w:font>
  <w:font w:name="BHKNI C+ Univers">
    <w:altName w:val="Univer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88EEE" w14:textId="77777777" w:rsidR="004C7C0F" w:rsidRDefault="004C7C0F">
      <w:pPr>
        <w:spacing w:line="240" w:lineRule="auto"/>
      </w:pPr>
      <w:r>
        <w:separator/>
      </w:r>
    </w:p>
  </w:footnote>
  <w:footnote w:type="continuationSeparator" w:id="0">
    <w:p w14:paraId="76548C4B" w14:textId="77777777" w:rsidR="004C7C0F" w:rsidRDefault="004C7C0F">
      <w:pPr>
        <w:spacing w:line="240" w:lineRule="auto"/>
      </w:pPr>
      <w:r>
        <w:continuationSeparator/>
      </w:r>
    </w:p>
  </w:footnote>
  <w:footnote w:id="1">
    <w:p w14:paraId="5A74E772" w14:textId="77777777" w:rsidR="00B42A7F" w:rsidRPr="00CE2245" w:rsidRDefault="00B42A7F" w:rsidP="00B42A7F">
      <w:pPr>
        <w:pStyle w:val="Voetnoottekst"/>
        <w:contextualSpacing/>
        <w:rPr>
          <w:sz w:val="13"/>
          <w:szCs w:val="13"/>
          <w:lang w:val="nl-NL"/>
        </w:rPr>
      </w:pPr>
      <w:r w:rsidRPr="00CE2245">
        <w:rPr>
          <w:rStyle w:val="Voetnootmarkering"/>
          <w:sz w:val="13"/>
          <w:szCs w:val="13"/>
        </w:rPr>
        <w:footnoteRef/>
      </w:r>
      <w:r w:rsidRPr="00CE2245">
        <w:rPr>
          <w:sz w:val="13"/>
          <w:szCs w:val="13"/>
          <w:lang w:val="nl-NL"/>
        </w:rPr>
        <w:t xml:space="preserve"> Forfaits in het belastingstelsel. Den Haag: Algemene Rekenkamer (2019). </w:t>
      </w:r>
      <w:r w:rsidRPr="00CE2245">
        <w:rPr>
          <w:rFonts w:cs="BHKNI C+ Univers"/>
          <w:color w:val="211D1F"/>
          <w:kern w:val="0"/>
          <w:sz w:val="13"/>
          <w:szCs w:val="13"/>
          <w:lang w:val="nl-NL"/>
        </w:rPr>
        <w:t>Kamerstukken II 2018/19, 32140, nr. 53.</w:t>
      </w:r>
    </w:p>
  </w:footnote>
  <w:footnote w:id="2">
    <w:p w14:paraId="51DFEE68" w14:textId="77777777" w:rsidR="00DE6F9C" w:rsidRPr="00CE2245" w:rsidRDefault="00DE6F9C" w:rsidP="00FA4766">
      <w:pPr>
        <w:pStyle w:val="Voetnoottekst"/>
        <w:contextualSpacing/>
        <w:rPr>
          <w:sz w:val="13"/>
          <w:szCs w:val="13"/>
          <w:lang w:val="nl-NL"/>
        </w:rPr>
      </w:pPr>
      <w:r w:rsidRPr="00CE2245">
        <w:rPr>
          <w:rStyle w:val="Voetnootmarkering"/>
          <w:sz w:val="13"/>
          <w:szCs w:val="13"/>
        </w:rPr>
        <w:footnoteRef/>
      </w:r>
      <w:r w:rsidRPr="00CE2245">
        <w:rPr>
          <w:sz w:val="13"/>
          <w:szCs w:val="13"/>
          <w:lang w:val="nl-NL"/>
        </w:rPr>
        <w:t xml:space="preserve"> Kamerstukken II </w:t>
      </w:r>
      <w:r w:rsidRPr="00CE2245">
        <w:rPr>
          <w:color w:val="211D1F"/>
          <w:sz w:val="13"/>
          <w:szCs w:val="13"/>
          <w:lang w:val="nl-NL"/>
        </w:rPr>
        <w:t>2020</w:t>
      </w:r>
      <w:r w:rsidR="00307E69" w:rsidRPr="00CE2245">
        <w:rPr>
          <w:color w:val="211D1F"/>
          <w:sz w:val="13"/>
          <w:szCs w:val="13"/>
          <w:lang w:val="nl-NL"/>
        </w:rPr>
        <w:t>/</w:t>
      </w:r>
      <w:r w:rsidRPr="00CE2245">
        <w:rPr>
          <w:color w:val="211D1F"/>
          <w:sz w:val="13"/>
          <w:szCs w:val="13"/>
          <w:lang w:val="nl-NL"/>
        </w:rPr>
        <w:t>21, 35570 IX, nr. 45, p.</w:t>
      </w:r>
      <w:r w:rsidR="00307E69" w:rsidRPr="00CE2245">
        <w:rPr>
          <w:color w:val="211D1F"/>
          <w:sz w:val="13"/>
          <w:szCs w:val="13"/>
          <w:lang w:val="nl-NL"/>
        </w:rPr>
        <w:t xml:space="preserve"> 15 en 16</w:t>
      </w:r>
      <w:r w:rsidRPr="00CE2245">
        <w:rPr>
          <w:color w:val="211D1F"/>
          <w:sz w:val="13"/>
          <w:szCs w:val="13"/>
          <w:lang w:val="nl-NL"/>
        </w:rPr>
        <w:t>.</w:t>
      </w:r>
    </w:p>
  </w:footnote>
  <w:footnote w:id="3">
    <w:p w14:paraId="16C9FE80" w14:textId="77777777" w:rsidR="00A969EE" w:rsidRPr="00625EEA" w:rsidRDefault="00A969EE" w:rsidP="00FA4766">
      <w:pPr>
        <w:pStyle w:val="Voetnoottekst"/>
        <w:contextualSpacing/>
        <w:rPr>
          <w:sz w:val="13"/>
          <w:szCs w:val="13"/>
          <w:lang w:val="nl-NL"/>
        </w:rPr>
      </w:pPr>
      <w:r w:rsidRPr="00625EEA">
        <w:rPr>
          <w:rStyle w:val="Voetnootmarkering"/>
          <w:color w:val="000000" w:themeColor="text1"/>
          <w:sz w:val="13"/>
          <w:szCs w:val="13"/>
        </w:rPr>
        <w:footnoteRef/>
      </w:r>
      <w:r w:rsidRPr="00625EEA">
        <w:rPr>
          <w:color w:val="000000" w:themeColor="text1"/>
          <w:sz w:val="13"/>
          <w:szCs w:val="13"/>
          <w:lang w:val="nl-NL"/>
        </w:rPr>
        <w:t xml:space="preserve"> </w:t>
      </w:r>
      <w:r w:rsidRPr="00625EEA">
        <w:rPr>
          <w:rFonts w:cs="Arial"/>
          <w:color w:val="000000" w:themeColor="text1"/>
          <w:sz w:val="13"/>
          <w:szCs w:val="13"/>
          <w:shd w:val="clear" w:color="auto" w:fill="FFFFFF"/>
          <w:lang w:val="nl-NL"/>
        </w:rPr>
        <w:t>Kamerstukken I 2022/2023, </w:t>
      </w:r>
      <w:hyperlink r:id="rId1" w:tooltip="link naar publicatie kst-36067-A" w:history="1">
        <w:r w:rsidRPr="00625EEA">
          <w:rPr>
            <w:rStyle w:val="Hyperlink"/>
            <w:rFonts w:cs="Arial"/>
            <w:color w:val="000000" w:themeColor="text1"/>
            <w:sz w:val="13"/>
            <w:szCs w:val="13"/>
            <w:u w:val="none"/>
            <w:shd w:val="clear" w:color="auto" w:fill="FFFFFF"/>
            <w:lang w:val="nl-NL"/>
          </w:rPr>
          <w:t>36 </w:t>
        </w:r>
        <w:proofErr w:type="gramStart"/>
        <w:r w:rsidRPr="00625EEA">
          <w:rPr>
            <w:rStyle w:val="Hyperlink"/>
            <w:rFonts w:cs="Arial"/>
            <w:color w:val="000000" w:themeColor="text1"/>
            <w:sz w:val="13"/>
            <w:szCs w:val="13"/>
            <w:u w:val="none"/>
            <w:shd w:val="clear" w:color="auto" w:fill="FFFFFF"/>
            <w:lang w:val="nl-NL"/>
          </w:rPr>
          <w:t>067 /</w:t>
        </w:r>
        <w:proofErr w:type="gramEnd"/>
        <w:r w:rsidRPr="00625EEA">
          <w:rPr>
            <w:rStyle w:val="Hyperlink"/>
            <w:rFonts w:cs="Arial"/>
            <w:color w:val="000000" w:themeColor="text1"/>
            <w:sz w:val="13"/>
            <w:szCs w:val="13"/>
            <w:u w:val="none"/>
            <w:shd w:val="clear" w:color="auto" w:fill="FFFFFF"/>
            <w:lang w:val="nl-NL"/>
          </w:rPr>
          <w:t xml:space="preserve"> 32 043, A</w:t>
        </w:r>
      </w:hyperlink>
      <w:r w:rsidRPr="00625EEA">
        <w:rPr>
          <w:rFonts w:cs="Arial"/>
          <w:color w:val="000000" w:themeColor="text1"/>
          <w:sz w:val="13"/>
          <w:szCs w:val="13"/>
          <w:shd w:val="clear" w:color="auto" w:fill="FFFFFF"/>
          <w:lang w:val="nl-NL"/>
        </w:rPr>
        <w:t>.</w:t>
      </w:r>
    </w:p>
  </w:footnote>
  <w:footnote w:id="4">
    <w:p w14:paraId="5E352B7F" w14:textId="77777777" w:rsidR="005F2E33" w:rsidRPr="00625EEA" w:rsidRDefault="005F2E33" w:rsidP="00625EEA">
      <w:pPr>
        <w:spacing w:line="240" w:lineRule="auto"/>
        <w:contextualSpacing/>
        <w:rPr>
          <w:sz w:val="13"/>
          <w:szCs w:val="13"/>
        </w:rPr>
      </w:pPr>
      <w:r w:rsidRPr="00625EEA">
        <w:rPr>
          <w:rStyle w:val="Voetnootmarkering"/>
          <w:sz w:val="13"/>
          <w:szCs w:val="13"/>
        </w:rPr>
        <w:footnoteRef/>
      </w:r>
      <w:r w:rsidRPr="00625EEA">
        <w:rPr>
          <w:sz w:val="13"/>
          <w:szCs w:val="13"/>
        </w:rPr>
        <w:t xml:space="preserve"> Voor het rendement van vruchtgebruik met vervreemdings- en verteringsbevoegdheid hebben de onderzoekers twee alternatieven onderzocht:</w:t>
      </w:r>
    </w:p>
    <w:p w14:paraId="38D28D6A" w14:textId="77777777" w:rsidR="005F2E33" w:rsidRPr="00625EEA" w:rsidRDefault="005F2E33" w:rsidP="00625EEA">
      <w:pPr>
        <w:pStyle w:val="Lijstalinea"/>
        <w:numPr>
          <w:ilvl w:val="0"/>
          <w:numId w:val="16"/>
        </w:numPr>
        <w:autoSpaceDN/>
        <w:spacing w:beforeLines="20" w:before="48" w:afterLines="20" w:after="48" w:line="240" w:lineRule="auto"/>
        <w:textAlignment w:val="auto"/>
        <w:rPr>
          <w:sz w:val="13"/>
          <w:szCs w:val="13"/>
        </w:rPr>
      </w:pPr>
      <w:r w:rsidRPr="00625EEA">
        <w:rPr>
          <w:sz w:val="13"/>
          <w:szCs w:val="13"/>
        </w:rPr>
        <w:t>Het rendement gebaseerd op het advies van de Commissie Parameters.</w:t>
      </w:r>
    </w:p>
    <w:p w14:paraId="0087F307" w14:textId="77777777" w:rsidR="005F2E33" w:rsidRPr="00625EEA" w:rsidRDefault="00A969EE" w:rsidP="00625EEA">
      <w:pPr>
        <w:autoSpaceDN/>
        <w:spacing w:beforeLines="20" w:before="48" w:afterLines="20" w:after="48" w:line="240" w:lineRule="auto"/>
        <w:contextualSpacing/>
        <w:textAlignment w:val="auto"/>
        <w:rPr>
          <w:sz w:val="13"/>
          <w:szCs w:val="13"/>
        </w:rPr>
      </w:pPr>
      <w:r w:rsidRPr="00CE2245">
        <w:rPr>
          <w:sz w:val="13"/>
          <w:szCs w:val="13"/>
        </w:rPr>
        <w:t xml:space="preserve">2.     </w:t>
      </w:r>
      <w:r w:rsidR="005F2E33" w:rsidRPr="00625EEA">
        <w:rPr>
          <w:sz w:val="13"/>
          <w:szCs w:val="13"/>
        </w:rPr>
        <w:t>Het rendement gebaseerd op de huidige rendementspercentages in box 3 voor de categorie ‘overige bezittingen’ en voor de categorie ‘banktegoeden’.</w:t>
      </w:r>
    </w:p>
  </w:footnote>
  <w:footnote w:id="5">
    <w:p w14:paraId="7A830D02" w14:textId="77777777" w:rsidR="003E08D4" w:rsidRPr="00CE2245" w:rsidRDefault="003E08D4" w:rsidP="00625EEA">
      <w:pPr>
        <w:pStyle w:val="Voetnoottekst"/>
        <w:contextualSpacing/>
        <w:rPr>
          <w:sz w:val="13"/>
          <w:szCs w:val="13"/>
          <w:lang w:val="nl-NL"/>
        </w:rPr>
      </w:pPr>
      <w:r w:rsidRPr="00CE2245">
        <w:rPr>
          <w:rStyle w:val="Voetnootmarkering"/>
          <w:sz w:val="13"/>
          <w:szCs w:val="13"/>
        </w:rPr>
        <w:footnoteRef/>
      </w:r>
      <w:r w:rsidRPr="00CE2245">
        <w:rPr>
          <w:sz w:val="13"/>
          <w:szCs w:val="13"/>
          <w:lang w:val="nl-NL"/>
        </w:rPr>
        <w:t xml:space="preserve"> Dit betreft een niet uitputtende lijst.</w:t>
      </w:r>
    </w:p>
  </w:footnote>
  <w:footnote w:id="6">
    <w:p w14:paraId="10971226" w14:textId="77777777" w:rsidR="00F45C92" w:rsidRPr="007E268C" w:rsidRDefault="00F45C92" w:rsidP="00F45C92">
      <w:pPr>
        <w:pStyle w:val="Voetnoottekst"/>
        <w:rPr>
          <w:rFonts w:cstheme="minorHAnsi"/>
          <w:sz w:val="13"/>
          <w:szCs w:val="13"/>
          <w:lang w:val="nl-NL"/>
        </w:rPr>
      </w:pPr>
      <w:r w:rsidRPr="007E268C">
        <w:rPr>
          <w:rStyle w:val="Voetnootmarkering"/>
          <w:rFonts w:cstheme="minorHAnsi"/>
          <w:sz w:val="13"/>
          <w:szCs w:val="13"/>
        </w:rPr>
        <w:footnoteRef/>
      </w:r>
      <w:r w:rsidRPr="007E268C">
        <w:rPr>
          <w:rFonts w:cstheme="minorHAnsi"/>
          <w:sz w:val="13"/>
          <w:szCs w:val="13"/>
          <w:lang w:val="nl-NL"/>
        </w:rPr>
        <w:t xml:space="preserve"> Fictieve opbrengst vruchtgebruik.</w:t>
      </w:r>
    </w:p>
  </w:footnote>
  <w:footnote w:id="7">
    <w:p w14:paraId="0E9FE398" w14:textId="77777777" w:rsidR="00F45C92" w:rsidRPr="007E268C" w:rsidRDefault="00F45C92" w:rsidP="00F45C92">
      <w:pPr>
        <w:pStyle w:val="Voetnoottekst"/>
        <w:rPr>
          <w:rFonts w:cstheme="minorHAnsi"/>
          <w:sz w:val="13"/>
          <w:szCs w:val="13"/>
          <w:lang w:val="nl-NL"/>
        </w:rPr>
      </w:pPr>
      <w:r w:rsidRPr="007E268C">
        <w:rPr>
          <w:rStyle w:val="Voetnootmarkering"/>
          <w:rFonts w:cstheme="minorHAnsi"/>
          <w:sz w:val="13"/>
          <w:szCs w:val="13"/>
        </w:rPr>
        <w:footnoteRef/>
      </w:r>
      <w:r w:rsidRPr="007E268C">
        <w:rPr>
          <w:rFonts w:cstheme="minorHAnsi"/>
          <w:sz w:val="13"/>
          <w:szCs w:val="13"/>
          <w:lang w:val="nl-NL"/>
        </w:rPr>
        <w:t xml:space="preserve"> Factor om waarde van het vruchtgebruik over de looptijd van de vordering netto contant te maken.</w:t>
      </w:r>
    </w:p>
  </w:footnote>
  <w:footnote w:id="8">
    <w:p w14:paraId="26EB0301" w14:textId="77777777" w:rsidR="00F45C92" w:rsidRPr="007E268C" w:rsidRDefault="00F45C92" w:rsidP="00F45C92">
      <w:pPr>
        <w:pStyle w:val="Voetnoottekst"/>
        <w:rPr>
          <w:rFonts w:cstheme="minorHAnsi"/>
          <w:sz w:val="13"/>
          <w:szCs w:val="13"/>
          <w:lang w:val="nl-NL"/>
        </w:rPr>
      </w:pPr>
      <w:r w:rsidRPr="007E268C">
        <w:rPr>
          <w:rStyle w:val="Voetnootmarkering"/>
          <w:rFonts w:cstheme="minorHAnsi"/>
          <w:sz w:val="13"/>
          <w:szCs w:val="13"/>
        </w:rPr>
        <w:footnoteRef/>
      </w:r>
      <w:r w:rsidRPr="007E268C">
        <w:rPr>
          <w:rFonts w:cstheme="minorHAnsi"/>
          <w:sz w:val="13"/>
          <w:szCs w:val="13"/>
          <w:lang w:val="nl-NL"/>
        </w:rPr>
        <w:t xml:space="preserve"> </w:t>
      </w:r>
      <w:r w:rsidRPr="007E268C">
        <w:rPr>
          <w:rFonts w:cstheme="minorHAnsi"/>
          <w:color w:val="000000"/>
          <w:sz w:val="13"/>
          <w:szCs w:val="13"/>
          <w:shd w:val="clear" w:color="auto" w:fill="FFFFFF"/>
          <w:lang w:val="nl-NL"/>
        </w:rPr>
        <w:t>Als er een rente wordt afgesproken die hoger is dan een samengestelde rente van 6%, dan wordt dit alsnog bij het overlijden van de langstlevende fictief belast. Er wordt dan een bijtelling toegepast op de verkrijging van de kinderen.</w:t>
      </w:r>
    </w:p>
  </w:footnote>
  <w:footnote w:id="9">
    <w:p w14:paraId="20DF0D77" w14:textId="77777777" w:rsidR="00F45C92" w:rsidRPr="007E268C" w:rsidRDefault="00F45C92" w:rsidP="00F45C92">
      <w:pPr>
        <w:pStyle w:val="Voetnoottekst"/>
        <w:rPr>
          <w:sz w:val="13"/>
          <w:szCs w:val="13"/>
          <w:lang w:val="nl-NL"/>
        </w:rPr>
      </w:pPr>
      <w:r w:rsidRPr="007E268C">
        <w:rPr>
          <w:rStyle w:val="Voetnootmarkering"/>
          <w:sz w:val="13"/>
          <w:szCs w:val="13"/>
        </w:rPr>
        <w:footnoteRef/>
      </w:r>
      <w:r w:rsidRPr="007E268C">
        <w:rPr>
          <w:sz w:val="13"/>
          <w:szCs w:val="13"/>
          <w:lang w:val="nl-NL"/>
        </w:rPr>
        <w:t xml:space="preserve"> 400.000*(1,</w:t>
      </w:r>
      <w:proofErr w:type="gramStart"/>
      <w:r w:rsidRPr="007E268C">
        <w:rPr>
          <w:sz w:val="13"/>
          <w:szCs w:val="13"/>
          <w:lang w:val="nl-NL"/>
        </w:rPr>
        <w:t>06)^</w:t>
      </w:r>
      <w:proofErr w:type="gramEnd"/>
      <w:r w:rsidRPr="007E268C">
        <w:rPr>
          <w:sz w:val="13"/>
          <w:szCs w:val="13"/>
          <w:lang w:val="nl-NL"/>
        </w:rPr>
        <w:t>10 – 400.000</w:t>
      </w:r>
    </w:p>
  </w:footnote>
  <w:footnote w:id="10">
    <w:p w14:paraId="28144860" w14:textId="77777777" w:rsidR="00F45C92" w:rsidRPr="007E268C" w:rsidRDefault="00F45C92" w:rsidP="00F45C92">
      <w:pPr>
        <w:pStyle w:val="Voetnoottekst"/>
        <w:rPr>
          <w:sz w:val="13"/>
          <w:szCs w:val="13"/>
          <w:lang w:val="nl-NL"/>
        </w:rPr>
      </w:pPr>
      <w:r w:rsidRPr="007E268C">
        <w:rPr>
          <w:rStyle w:val="Voetnootmarkering"/>
          <w:sz w:val="13"/>
          <w:szCs w:val="13"/>
        </w:rPr>
        <w:footnoteRef/>
      </w:r>
      <w:r w:rsidRPr="007E268C">
        <w:rPr>
          <w:sz w:val="13"/>
          <w:szCs w:val="13"/>
          <w:lang w:val="nl-NL"/>
        </w:rPr>
        <w:t xml:space="preserve"> De te betalen erfbelasting bij het overlijden van de langstlevende partner wijzigt in deze voorbeelden niet bij actualisatie van de forfaits.</w:t>
      </w:r>
    </w:p>
  </w:footnote>
  <w:footnote w:id="11">
    <w:p w14:paraId="2D2962EB" w14:textId="77777777" w:rsidR="00F45C92" w:rsidRPr="007E268C" w:rsidRDefault="00F45C92" w:rsidP="00F45C92">
      <w:pPr>
        <w:pStyle w:val="Voetnoottekst"/>
        <w:rPr>
          <w:sz w:val="13"/>
          <w:szCs w:val="13"/>
          <w:lang w:val="nl-NL"/>
        </w:rPr>
      </w:pPr>
      <w:r w:rsidRPr="007E268C">
        <w:rPr>
          <w:rStyle w:val="Voetnootmarkering"/>
          <w:sz w:val="13"/>
          <w:szCs w:val="13"/>
        </w:rPr>
        <w:footnoteRef/>
      </w:r>
      <w:r w:rsidRPr="007E268C">
        <w:rPr>
          <w:sz w:val="13"/>
          <w:szCs w:val="13"/>
          <w:lang w:val="nl-NL"/>
        </w:rPr>
        <w:t xml:space="preserve"> In de voorbeelden is </w:t>
      </w:r>
      <w:proofErr w:type="gramStart"/>
      <w:r w:rsidRPr="007E268C">
        <w:rPr>
          <w:sz w:val="13"/>
          <w:szCs w:val="13"/>
          <w:lang w:val="nl-NL"/>
        </w:rPr>
        <w:t>er vanuit</w:t>
      </w:r>
      <w:proofErr w:type="gramEnd"/>
      <w:r w:rsidRPr="007E268C">
        <w:rPr>
          <w:sz w:val="13"/>
          <w:szCs w:val="13"/>
          <w:lang w:val="nl-NL"/>
        </w:rPr>
        <w:t xml:space="preserve"> gegaan dat de samengestelde rente gelijk is aan het (nieuwe) forfaitaire percentage voor het vruchtgebruik. Dit zorgt voor maximale ‘uitholling’ en voorkomt tegelijkertijd een fictieve bijtelling in de vorm van een bovenmatige rente.</w:t>
      </w:r>
    </w:p>
  </w:footnote>
  <w:footnote w:id="12">
    <w:p w14:paraId="27C49542" w14:textId="77777777" w:rsidR="00F45C92" w:rsidRPr="007E268C" w:rsidRDefault="00F45C92" w:rsidP="00F45C92">
      <w:pPr>
        <w:pStyle w:val="Voetnoottekst"/>
        <w:rPr>
          <w:sz w:val="13"/>
          <w:szCs w:val="13"/>
          <w:lang w:val="nl-NL"/>
        </w:rPr>
      </w:pPr>
      <w:r w:rsidRPr="007E268C">
        <w:rPr>
          <w:rStyle w:val="Voetnootmarkering"/>
          <w:sz w:val="13"/>
          <w:szCs w:val="13"/>
        </w:rPr>
        <w:footnoteRef/>
      </w:r>
      <w:r w:rsidRPr="007E268C">
        <w:rPr>
          <w:sz w:val="13"/>
          <w:szCs w:val="13"/>
          <w:lang w:val="nl-NL"/>
        </w:rPr>
        <w:t xml:space="preserve"> De looptijd van de vorderingen is gebaseerd op de resterende levensverwachting volgend uit de prognosetafels van het Actuarieel Genootschap uit 2024.</w:t>
      </w:r>
    </w:p>
  </w:footnote>
  <w:footnote w:id="13">
    <w:p w14:paraId="3B9ECE2F" w14:textId="77777777" w:rsidR="00F45C92" w:rsidRPr="007E268C" w:rsidRDefault="00F45C92" w:rsidP="00F45C92">
      <w:pPr>
        <w:pStyle w:val="Voetnoottekst"/>
        <w:rPr>
          <w:sz w:val="13"/>
          <w:szCs w:val="13"/>
          <w:lang w:val="nl-NL"/>
        </w:rPr>
      </w:pPr>
      <w:r w:rsidRPr="007E268C">
        <w:rPr>
          <w:rStyle w:val="Voetnootmarkering"/>
          <w:sz w:val="13"/>
          <w:szCs w:val="13"/>
        </w:rPr>
        <w:footnoteRef/>
      </w:r>
      <w:r w:rsidRPr="007E268C">
        <w:rPr>
          <w:sz w:val="13"/>
          <w:szCs w:val="13"/>
          <w:lang w:val="nl-NL"/>
        </w:rPr>
        <w:t xml:space="preserve"> De te betalen erfbelasting bij het overlijden van de kortst levende partner wijzigt in deze voorbeelden niet bij actualisatie van de forfaits.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E7CE" w14:textId="77777777" w:rsidR="00B07060" w:rsidRDefault="001F4ED1">
    <w:r>
      <w:rPr>
        <w:noProof/>
      </w:rPr>
      <mc:AlternateContent>
        <mc:Choice Requires="wps">
          <w:drawing>
            <wp:anchor distT="0" distB="0" distL="0" distR="0" simplePos="0" relativeHeight="251652096" behindDoc="0" locked="1" layoutInCell="1" allowOverlap="1" wp14:anchorId="47EA7123" wp14:editId="08032B07">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1F0F83F" w14:textId="77777777" w:rsidR="00B07060" w:rsidRDefault="001F4ED1">
                          <w:pPr>
                            <w:pStyle w:val="StandaardReferentiegegevensKop"/>
                          </w:pPr>
                          <w:r>
                            <w:t>Directie Directe Belastingen &amp; Toeslagen</w:t>
                          </w:r>
                        </w:p>
                        <w:p w14:paraId="347050AB" w14:textId="77777777" w:rsidR="00B07060" w:rsidRDefault="00B07060">
                          <w:pPr>
                            <w:pStyle w:val="WitregelW1"/>
                          </w:pPr>
                        </w:p>
                        <w:p w14:paraId="53D38A69" w14:textId="77777777" w:rsidR="00B07060" w:rsidRDefault="001F4ED1">
                          <w:pPr>
                            <w:pStyle w:val="StandaardReferentiegegevensKop"/>
                          </w:pPr>
                          <w:r>
                            <w:t>Ons kenmerk</w:t>
                          </w:r>
                        </w:p>
                        <w:p w14:paraId="7571B343" w14:textId="77777777" w:rsidR="00270B1E" w:rsidRDefault="00ED66B9">
                          <w:pPr>
                            <w:pStyle w:val="StandaardReferentiegegevens"/>
                          </w:pPr>
                          <w:r>
                            <w:fldChar w:fldCharType="begin"/>
                          </w:r>
                          <w:r>
                            <w:instrText xml:space="preserve"> DOCPROPERTY  "Kenmerk"  \* MERGEFORMAT </w:instrText>
                          </w:r>
                          <w:r>
                            <w:fldChar w:fldCharType="separate"/>
                          </w:r>
                          <w:r>
                            <w:t>2025-0000017197</w:t>
                          </w:r>
                          <w:r>
                            <w:fldChar w:fldCharType="end"/>
                          </w:r>
                        </w:p>
                      </w:txbxContent>
                    </wps:txbx>
                    <wps:bodyPr vert="horz" wrap="square" lIns="0" tIns="0" rIns="0" bIns="0" anchor="t" anchorCtr="0"/>
                  </wps:wsp>
                </a:graphicData>
              </a:graphic>
            </wp:anchor>
          </w:drawing>
        </mc:Choice>
        <mc:Fallback>
          <w:pict>
            <v:shapetype w14:anchorId="47EA7123"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1F0F83F" w14:textId="77777777" w:rsidR="00B07060" w:rsidRDefault="001F4ED1">
                    <w:pPr>
                      <w:pStyle w:val="StandaardReferentiegegevensKop"/>
                    </w:pPr>
                    <w:r>
                      <w:t>Directie Directe Belastingen &amp; Toeslagen</w:t>
                    </w:r>
                  </w:p>
                  <w:p w14:paraId="347050AB" w14:textId="77777777" w:rsidR="00B07060" w:rsidRDefault="00B07060">
                    <w:pPr>
                      <w:pStyle w:val="WitregelW1"/>
                    </w:pPr>
                  </w:p>
                  <w:p w14:paraId="53D38A69" w14:textId="77777777" w:rsidR="00B07060" w:rsidRDefault="001F4ED1">
                    <w:pPr>
                      <w:pStyle w:val="StandaardReferentiegegevensKop"/>
                    </w:pPr>
                    <w:r>
                      <w:t>Ons kenmerk</w:t>
                    </w:r>
                  </w:p>
                  <w:p w14:paraId="7571B343" w14:textId="77777777" w:rsidR="00270B1E" w:rsidRDefault="00ED66B9">
                    <w:pPr>
                      <w:pStyle w:val="StandaardReferentiegegevens"/>
                    </w:pPr>
                    <w:r>
                      <w:fldChar w:fldCharType="begin"/>
                    </w:r>
                    <w:r>
                      <w:instrText xml:space="preserve"> DOCPROPERTY  "Kenmerk"  \* MERGEFORMAT </w:instrText>
                    </w:r>
                    <w:r>
                      <w:fldChar w:fldCharType="separate"/>
                    </w:r>
                    <w:r>
                      <w:t>2025-0000017197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C9660D0" wp14:editId="300D1163">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EA2FEB3" w14:textId="77777777" w:rsidR="00270B1E" w:rsidRDefault="00ED66B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C9660D0"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EA2FEB3" w14:textId="77777777" w:rsidR="00270B1E" w:rsidRDefault="00ED66B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060C654" wp14:editId="1BA5434F">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D635114" w14:textId="77777777" w:rsidR="00270B1E" w:rsidRDefault="00ED66B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060C654"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D635114" w14:textId="77777777" w:rsidR="00270B1E" w:rsidRDefault="00ED66B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EB55" w14:textId="77777777" w:rsidR="00B07060" w:rsidRDefault="001F4ED1">
    <w:pPr>
      <w:spacing w:after="7029" w:line="14" w:lineRule="exact"/>
    </w:pPr>
    <w:r>
      <w:rPr>
        <w:noProof/>
      </w:rPr>
      <mc:AlternateContent>
        <mc:Choice Requires="wps">
          <w:drawing>
            <wp:anchor distT="0" distB="0" distL="0" distR="0" simplePos="0" relativeHeight="251655168" behindDoc="0" locked="1" layoutInCell="1" allowOverlap="1" wp14:anchorId="2E13E96C" wp14:editId="4CEE8D2E">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BDC4D7F" w14:textId="77777777" w:rsidR="00B07060" w:rsidRDefault="001F4ED1">
                          <w:pPr>
                            <w:spacing w:line="240" w:lineRule="auto"/>
                          </w:pPr>
                          <w:r>
                            <w:rPr>
                              <w:noProof/>
                            </w:rPr>
                            <w:drawing>
                              <wp:inline distT="0" distB="0" distL="0" distR="0" wp14:anchorId="46EE0120" wp14:editId="33ADFC3F">
                                <wp:extent cx="2339975" cy="1582834"/>
                                <wp:effectExtent l="0" t="0" r="0" b="0"/>
                                <wp:docPr id="709576331"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E13E96C"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BDC4D7F" w14:textId="77777777" w:rsidR="00B07060" w:rsidRDefault="001F4ED1">
                    <w:pPr>
                      <w:spacing w:line="240" w:lineRule="auto"/>
                    </w:pPr>
                    <w:r>
                      <w:rPr>
                        <w:noProof/>
                      </w:rPr>
                      <w:drawing>
                        <wp:inline distT="0" distB="0" distL="0" distR="0" wp14:anchorId="46EE0120" wp14:editId="33ADFC3F">
                          <wp:extent cx="2339975" cy="1582834"/>
                          <wp:effectExtent l="0" t="0" r="0" b="0"/>
                          <wp:docPr id="709576331"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6AAF958" wp14:editId="182CAACB">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4A04CCD" w14:textId="77777777" w:rsidR="001F4ED1" w:rsidRDefault="001F4ED1"/>
                      </w:txbxContent>
                    </wps:txbx>
                    <wps:bodyPr vert="horz" wrap="square" lIns="0" tIns="0" rIns="0" bIns="0" anchor="t" anchorCtr="0"/>
                  </wps:wsp>
                </a:graphicData>
              </a:graphic>
            </wp:anchor>
          </w:drawing>
        </mc:Choice>
        <mc:Fallback>
          <w:pict>
            <v:shape w14:anchorId="76AAF958"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4A04CCD" w14:textId="77777777" w:rsidR="001F4ED1" w:rsidRDefault="001F4ED1"/>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4A0F11C" wp14:editId="2D4E7DF7">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E45F39B" w14:textId="77777777" w:rsidR="00B07060" w:rsidRDefault="001F4ED1">
                          <w:pPr>
                            <w:pStyle w:val="StandaardReferentiegegevensKop"/>
                          </w:pPr>
                          <w:r>
                            <w:t>Directie Directe Belastingen &amp; Toeslagen</w:t>
                          </w:r>
                        </w:p>
                        <w:p w14:paraId="6C9F6842" w14:textId="77777777" w:rsidR="00B07060" w:rsidRDefault="00B07060">
                          <w:pPr>
                            <w:pStyle w:val="WitregelW1"/>
                          </w:pPr>
                        </w:p>
                        <w:p w14:paraId="3A6F9BD8" w14:textId="77777777" w:rsidR="00B07060" w:rsidRDefault="001F4ED1">
                          <w:pPr>
                            <w:pStyle w:val="StandaardReferentiegegevens"/>
                          </w:pPr>
                          <w:r>
                            <w:t>Korte Voorhout 7</w:t>
                          </w:r>
                        </w:p>
                        <w:p w14:paraId="66BA8EA6" w14:textId="77777777" w:rsidR="00B07060" w:rsidRDefault="001F4ED1">
                          <w:pPr>
                            <w:pStyle w:val="StandaardReferentiegegevens"/>
                          </w:pPr>
                          <w:r>
                            <w:t>2511 CW  'S-GRAVENHAGE</w:t>
                          </w:r>
                        </w:p>
                        <w:p w14:paraId="1DFF66B3" w14:textId="77777777" w:rsidR="00B07060" w:rsidRDefault="001F4ED1">
                          <w:pPr>
                            <w:pStyle w:val="StandaardReferentiegegevens"/>
                          </w:pPr>
                          <w:r>
                            <w:t>POSTBUS 20201</w:t>
                          </w:r>
                        </w:p>
                        <w:p w14:paraId="6A13A62F" w14:textId="77777777" w:rsidR="00B07060" w:rsidRDefault="001F4ED1">
                          <w:pPr>
                            <w:pStyle w:val="StandaardReferentiegegevens"/>
                          </w:pPr>
                          <w:r>
                            <w:t>2500 EE  'S-GRAVENHAGE</w:t>
                          </w:r>
                        </w:p>
                        <w:p w14:paraId="0EDB4C04" w14:textId="77777777" w:rsidR="00B07060" w:rsidRDefault="001F4ED1">
                          <w:pPr>
                            <w:pStyle w:val="StandaardReferentiegegevens"/>
                          </w:pPr>
                          <w:proofErr w:type="gramStart"/>
                          <w:r>
                            <w:t>www.rijksoverheid.nl/fin</w:t>
                          </w:r>
                          <w:proofErr w:type="gramEnd"/>
                        </w:p>
                        <w:p w14:paraId="0E00015C" w14:textId="77777777" w:rsidR="00B07060" w:rsidRDefault="00B07060">
                          <w:pPr>
                            <w:pStyle w:val="WitregelW2"/>
                          </w:pPr>
                        </w:p>
                        <w:p w14:paraId="3140D9F9" w14:textId="77777777" w:rsidR="00B07060" w:rsidRDefault="001F4ED1">
                          <w:pPr>
                            <w:pStyle w:val="StandaardReferentiegegevensKop"/>
                          </w:pPr>
                          <w:r>
                            <w:t>Ons kenmerk</w:t>
                          </w:r>
                        </w:p>
                        <w:p w14:paraId="1FF6FE19" w14:textId="77777777" w:rsidR="00270B1E" w:rsidRDefault="00ED66B9">
                          <w:pPr>
                            <w:pStyle w:val="StandaardReferentiegegevens"/>
                          </w:pPr>
                          <w:r>
                            <w:fldChar w:fldCharType="begin"/>
                          </w:r>
                          <w:r>
                            <w:instrText xml:space="preserve"> DOCPROPERTY  "Kenmerk"  \* MERGEFORMAT </w:instrText>
                          </w:r>
                          <w:r>
                            <w:fldChar w:fldCharType="separate"/>
                          </w:r>
                          <w:r>
                            <w:t>2025-0000017197</w:t>
                          </w:r>
                          <w:r>
                            <w:fldChar w:fldCharType="end"/>
                          </w:r>
                        </w:p>
                        <w:p w14:paraId="617EDA59" w14:textId="77777777" w:rsidR="00B07060" w:rsidRDefault="00B07060">
                          <w:pPr>
                            <w:pStyle w:val="WitregelW1"/>
                          </w:pPr>
                        </w:p>
                        <w:p w14:paraId="5A8B7D4B" w14:textId="77777777" w:rsidR="00B07060" w:rsidRDefault="001F4ED1">
                          <w:pPr>
                            <w:pStyle w:val="StandaardReferentiegegevensKop"/>
                          </w:pPr>
                          <w:r>
                            <w:t>Uw brief (kenmerk)</w:t>
                          </w:r>
                        </w:p>
                        <w:p w14:paraId="345294D7" w14:textId="77777777" w:rsidR="00270B1E" w:rsidRDefault="00ED66B9">
                          <w:pPr>
                            <w:pStyle w:val="StandaardReferentiegegevens"/>
                          </w:pPr>
                          <w:r>
                            <w:fldChar w:fldCharType="begin"/>
                          </w:r>
                          <w:r>
                            <w:instrText xml:space="preserve"> DOCPROPERTY  "UwKenmerk"  \* MERGEFORMAT </w:instrText>
                          </w:r>
                          <w:r>
                            <w:fldChar w:fldCharType="end"/>
                          </w:r>
                        </w:p>
                        <w:p w14:paraId="5F24D9D7" w14:textId="77777777" w:rsidR="00B07060" w:rsidRDefault="00B07060">
                          <w:pPr>
                            <w:pStyle w:val="WitregelW1"/>
                          </w:pPr>
                        </w:p>
                        <w:p w14:paraId="23C5EFDD" w14:textId="77777777" w:rsidR="00B07060" w:rsidRDefault="001F4ED1">
                          <w:pPr>
                            <w:pStyle w:val="StandaardReferentiegegevensKop"/>
                          </w:pPr>
                          <w:r>
                            <w:t>Bijlagen</w:t>
                          </w:r>
                        </w:p>
                        <w:p w14:paraId="7B8FB431" w14:textId="77777777" w:rsidR="00B07060" w:rsidRDefault="001F4ED1">
                          <w:pPr>
                            <w:pStyle w:val="StandaardReferentiegegevens"/>
                          </w:pPr>
                          <w:r>
                            <w:t>1. Onderzoek Deloitte naar het actualiseren van rekenforfaits voor de schenk- en erfbelasting, inkomstenbelasting, overdrachtsbelasting en omzetbelasting</w:t>
                          </w:r>
                        </w:p>
                      </w:txbxContent>
                    </wps:txbx>
                    <wps:bodyPr vert="horz" wrap="square" lIns="0" tIns="0" rIns="0" bIns="0" anchor="t" anchorCtr="0"/>
                  </wps:wsp>
                </a:graphicData>
              </a:graphic>
            </wp:anchor>
          </w:drawing>
        </mc:Choice>
        <mc:Fallback>
          <w:pict>
            <v:shape w14:anchorId="04A0F11C"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E45F39B" w14:textId="77777777" w:rsidR="00B07060" w:rsidRDefault="001F4ED1">
                    <w:pPr>
                      <w:pStyle w:val="StandaardReferentiegegevensKop"/>
                    </w:pPr>
                    <w:r>
                      <w:t>Directie Directe Belastingen &amp; Toeslagen</w:t>
                    </w:r>
                  </w:p>
                  <w:p w14:paraId="6C9F6842" w14:textId="77777777" w:rsidR="00B07060" w:rsidRDefault="00B07060">
                    <w:pPr>
                      <w:pStyle w:val="WitregelW1"/>
                    </w:pPr>
                  </w:p>
                  <w:p w14:paraId="3A6F9BD8" w14:textId="77777777" w:rsidR="00B07060" w:rsidRDefault="001F4ED1">
                    <w:pPr>
                      <w:pStyle w:val="StandaardReferentiegegevens"/>
                    </w:pPr>
                    <w:r>
                      <w:t>Korte Voorhout 7</w:t>
                    </w:r>
                  </w:p>
                  <w:p w14:paraId="66BA8EA6" w14:textId="77777777" w:rsidR="00B07060" w:rsidRDefault="001F4ED1">
                    <w:pPr>
                      <w:pStyle w:val="StandaardReferentiegegevens"/>
                    </w:pPr>
                    <w:r>
                      <w:t>2511 CW  'S-GRAVENHAGE</w:t>
                    </w:r>
                  </w:p>
                  <w:p w14:paraId="1DFF66B3" w14:textId="77777777" w:rsidR="00B07060" w:rsidRDefault="001F4ED1">
                    <w:pPr>
                      <w:pStyle w:val="StandaardReferentiegegevens"/>
                    </w:pPr>
                    <w:r>
                      <w:t>POSTBUS 20201</w:t>
                    </w:r>
                  </w:p>
                  <w:p w14:paraId="6A13A62F" w14:textId="77777777" w:rsidR="00B07060" w:rsidRDefault="001F4ED1">
                    <w:pPr>
                      <w:pStyle w:val="StandaardReferentiegegevens"/>
                    </w:pPr>
                    <w:r>
                      <w:t>2500 EE  'S-GRAVENHAGE</w:t>
                    </w:r>
                  </w:p>
                  <w:p w14:paraId="0EDB4C04" w14:textId="77777777" w:rsidR="00B07060" w:rsidRDefault="001F4ED1">
                    <w:pPr>
                      <w:pStyle w:val="StandaardReferentiegegevens"/>
                    </w:pPr>
                    <w:proofErr w:type="gramStart"/>
                    <w:r>
                      <w:t>www.rijksoverheid.nl/fin</w:t>
                    </w:r>
                    <w:proofErr w:type="gramEnd"/>
                  </w:p>
                  <w:p w14:paraId="0E00015C" w14:textId="77777777" w:rsidR="00B07060" w:rsidRDefault="00B07060">
                    <w:pPr>
                      <w:pStyle w:val="WitregelW2"/>
                    </w:pPr>
                  </w:p>
                  <w:p w14:paraId="3140D9F9" w14:textId="77777777" w:rsidR="00B07060" w:rsidRDefault="001F4ED1">
                    <w:pPr>
                      <w:pStyle w:val="StandaardReferentiegegevensKop"/>
                    </w:pPr>
                    <w:r>
                      <w:t>Ons kenmerk</w:t>
                    </w:r>
                  </w:p>
                  <w:p w14:paraId="1FF6FE19" w14:textId="77777777" w:rsidR="00270B1E" w:rsidRDefault="00ED66B9">
                    <w:pPr>
                      <w:pStyle w:val="StandaardReferentiegegevens"/>
                    </w:pPr>
                    <w:r>
                      <w:fldChar w:fldCharType="begin"/>
                    </w:r>
                    <w:r>
                      <w:instrText xml:space="preserve"> DOCPROPERTY  "Kenmerk"  \* MERGEFORMAT </w:instrText>
                    </w:r>
                    <w:r>
                      <w:fldChar w:fldCharType="separate"/>
                    </w:r>
                    <w:r>
                      <w:t>2025-0000017197</w:t>
                    </w:r>
                    <w:r>
                      <w:fldChar w:fldCharType="end"/>
                    </w:r>
                  </w:p>
                  <w:p w14:paraId="617EDA59" w14:textId="77777777" w:rsidR="00B07060" w:rsidRDefault="00B07060">
                    <w:pPr>
                      <w:pStyle w:val="WitregelW1"/>
                    </w:pPr>
                  </w:p>
                  <w:p w14:paraId="5A8B7D4B" w14:textId="77777777" w:rsidR="00B07060" w:rsidRDefault="001F4ED1">
                    <w:pPr>
                      <w:pStyle w:val="StandaardReferentiegegevensKop"/>
                    </w:pPr>
                    <w:r>
                      <w:t>Uw brief (kenmerk)</w:t>
                    </w:r>
                  </w:p>
                  <w:p w14:paraId="345294D7" w14:textId="77777777" w:rsidR="00270B1E" w:rsidRDefault="00ED66B9">
                    <w:pPr>
                      <w:pStyle w:val="StandaardReferentiegegevens"/>
                    </w:pPr>
                    <w:r>
                      <w:fldChar w:fldCharType="begin"/>
                    </w:r>
                    <w:r>
                      <w:instrText xml:space="preserve"> DOCPROPERTY  "UwKenmerk"  \* MERGEFORMAT </w:instrText>
                    </w:r>
                    <w:r>
                      <w:fldChar w:fldCharType="end"/>
                    </w:r>
                  </w:p>
                  <w:p w14:paraId="5F24D9D7" w14:textId="77777777" w:rsidR="00B07060" w:rsidRDefault="00B07060">
                    <w:pPr>
                      <w:pStyle w:val="WitregelW1"/>
                    </w:pPr>
                  </w:p>
                  <w:p w14:paraId="23C5EFDD" w14:textId="77777777" w:rsidR="00B07060" w:rsidRDefault="001F4ED1">
                    <w:pPr>
                      <w:pStyle w:val="StandaardReferentiegegevensKop"/>
                    </w:pPr>
                    <w:r>
                      <w:t>Bijlagen</w:t>
                    </w:r>
                  </w:p>
                  <w:p w14:paraId="7B8FB431" w14:textId="77777777" w:rsidR="00B07060" w:rsidRDefault="001F4ED1">
                    <w:pPr>
                      <w:pStyle w:val="StandaardReferentiegegevens"/>
                    </w:pPr>
                    <w:r>
                      <w:t>1. Onderzoek Deloitte naar het actualiseren van rekenforfaits voor de schenk- en erfbelasting, inkomstenbelasting, overdrachtsbelasting en omzetbelasting</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7432873" wp14:editId="267394B4">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F671674" w14:textId="77777777" w:rsidR="00B07060" w:rsidRDefault="001F4ED1">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37432873"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F671674" w14:textId="77777777" w:rsidR="00B07060" w:rsidRDefault="001F4ED1">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B1C7776" wp14:editId="4E1FBAF0">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633194E9" w14:textId="77777777" w:rsidR="00270B1E" w:rsidRDefault="00ED66B9">
                          <w:pPr>
                            <w:pStyle w:val="Rubricering"/>
                          </w:pPr>
                          <w:r>
                            <w:fldChar w:fldCharType="begin"/>
                          </w:r>
                          <w:r>
                            <w:instrText xml:space="preserve"> DOCPROPERTY  "Rubricering"  \* MERGEFORMAT </w:instrText>
                          </w:r>
                          <w:r>
                            <w:fldChar w:fldCharType="end"/>
                          </w:r>
                        </w:p>
                        <w:p w14:paraId="002A8843" w14:textId="77777777" w:rsidR="00B07060" w:rsidRDefault="001F4ED1">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3B1C7776"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633194E9" w14:textId="77777777" w:rsidR="00270B1E" w:rsidRDefault="00ED66B9">
                    <w:pPr>
                      <w:pStyle w:val="Rubricering"/>
                    </w:pPr>
                    <w:r>
                      <w:fldChar w:fldCharType="begin"/>
                    </w:r>
                    <w:r>
                      <w:instrText xml:space="preserve"> DOCPROPERTY  "Rubricering"  \* MERGEFORMAT </w:instrText>
                    </w:r>
                    <w:r>
                      <w:fldChar w:fldCharType="end"/>
                    </w:r>
                  </w:p>
                  <w:p w14:paraId="002A8843" w14:textId="77777777" w:rsidR="00B07060" w:rsidRDefault="001F4ED1">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253778F" wp14:editId="471E71C8">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3AE0490" w14:textId="77777777" w:rsidR="00270B1E" w:rsidRDefault="00ED66B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253778F"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53AE0490" w14:textId="77777777" w:rsidR="00270B1E" w:rsidRDefault="00ED66B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5FFCE69" wp14:editId="719E7A4B">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07060" w14:paraId="7F4902D2" w14:textId="77777777">
                            <w:trPr>
                              <w:trHeight w:val="200"/>
                            </w:trPr>
                            <w:tc>
                              <w:tcPr>
                                <w:tcW w:w="1140" w:type="dxa"/>
                              </w:tcPr>
                              <w:p w14:paraId="3BBD00FF" w14:textId="77777777" w:rsidR="00B07060" w:rsidRDefault="00B07060"/>
                            </w:tc>
                            <w:tc>
                              <w:tcPr>
                                <w:tcW w:w="5400" w:type="dxa"/>
                              </w:tcPr>
                              <w:p w14:paraId="5CDC0217" w14:textId="77777777" w:rsidR="00B07060" w:rsidRDefault="00B07060"/>
                            </w:tc>
                          </w:tr>
                          <w:tr w:rsidR="00B07060" w14:paraId="3E403153" w14:textId="77777777">
                            <w:trPr>
                              <w:trHeight w:val="240"/>
                            </w:trPr>
                            <w:tc>
                              <w:tcPr>
                                <w:tcW w:w="1140" w:type="dxa"/>
                              </w:tcPr>
                              <w:p w14:paraId="2EFE23A8" w14:textId="77777777" w:rsidR="00B07060" w:rsidRDefault="001F4ED1">
                                <w:r>
                                  <w:t>Datum</w:t>
                                </w:r>
                              </w:p>
                            </w:tc>
                            <w:tc>
                              <w:tcPr>
                                <w:tcW w:w="5400" w:type="dxa"/>
                              </w:tcPr>
                              <w:p w14:paraId="66AAB720" w14:textId="750BB772" w:rsidR="00B07060" w:rsidRDefault="00ED66B9">
                                <w:r>
                                  <w:t>5 februari 2025</w:t>
                                </w:r>
                              </w:p>
                            </w:tc>
                          </w:tr>
                          <w:tr w:rsidR="00B07060" w14:paraId="62F2538C" w14:textId="77777777">
                            <w:trPr>
                              <w:trHeight w:val="240"/>
                            </w:trPr>
                            <w:tc>
                              <w:tcPr>
                                <w:tcW w:w="1140" w:type="dxa"/>
                              </w:tcPr>
                              <w:p w14:paraId="3FB109CE" w14:textId="77777777" w:rsidR="00B07060" w:rsidRDefault="001F4ED1">
                                <w:r>
                                  <w:t>Betreft</w:t>
                                </w:r>
                              </w:p>
                            </w:tc>
                            <w:tc>
                              <w:tcPr>
                                <w:tcW w:w="5400" w:type="dxa"/>
                              </w:tcPr>
                              <w:p w14:paraId="05D1F6B6" w14:textId="77777777" w:rsidR="00270B1E" w:rsidRDefault="00ED66B9">
                                <w:r>
                                  <w:fldChar w:fldCharType="begin"/>
                                </w:r>
                                <w:r>
                                  <w:instrText xml:space="preserve"> DOCPROPERTY  "Onderwerp"  \* MERGEFORMAT </w:instrText>
                                </w:r>
                                <w:r>
                                  <w:fldChar w:fldCharType="separate"/>
                                </w:r>
                                <w:r>
                                  <w:t>Aanbieding onderzoek actualisatie rekenforfaits gebaseerd op de levensverwachting en rente</w:t>
                                </w:r>
                                <w:r>
                                  <w:fldChar w:fldCharType="end"/>
                                </w:r>
                              </w:p>
                            </w:tc>
                          </w:tr>
                          <w:tr w:rsidR="00B07060" w14:paraId="3986C69F" w14:textId="77777777">
                            <w:trPr>
                              <w:trHeight w:val="200"/>
                            </w:trPr>
                            <w:tc>
                              <w:tcPr>
                                <w:tcW w:w="1140" w:type="dxa"/>
                              </w:tcPr>
                              <w:p w14:paraId="057BFAE1" w14:textId="77777777" w:rsidR="00B07060" w:rsidRDefault="00B07060"/>
                            </w:tc>
                            <w:tc>
                              <w:tcPr>
                                <w:tcW w:w="4738" w:type="dxa"/>
                              </w:tcPr>
                              <w:p w14:paraId="00543520" w14:textId="77777777" w:rsidR="00B07060" w:rsidRDefault="00B07060"/>
                            </w:tc>
                          </w:tr>
                        </w:tbl>
                        <w:p w14:paraId="027E8BDF" w14:textId="77777777" w:rsidR="001F4ED1" w:rsidRDefault="001F4ED1"/>
                      </w:txbxContent>
                    </wps:txbx>
                    <wps:bodyPr vert="horz" wrap="square" lIns="0" tIns="0" rIns="0" bIns="0" anchor="t" anchorCtr="0"/>
                  </wps:wsp>
                </a:graphicData>
              </a:graphic>
            </wp:anchor>
          </w:drawing>
        </mc:Choice>
        <mc:Fallback>
          <w:pict>
            <v:shape w14:anchorId="75FFCE69"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B07060" w14:paraId="7F4902D2" w14:textId="77777777">
                      <w:trPr>
                        <w:trHeight w:val="200"/>
                      </w:trPr>
                      <w:tc>
                        <w:tcPr>
                          <w:tcW w:w="1140" w:type="dxa"/>
                        </w:tcPr>
                        <w:p w14:paraId="3BBD00FF" w14:textId="77777777" w:rsidR="00B07060" w:rsidRDefault="00B07060"/>
                      </w:tc>
                      <w:tc>
                        <w:tcPr>
                          <w:tcW w:w="5400" w:type="dxa"/>
                        </w:tcPr>
                        <w:p w14:paraId="5CDC0217" w14:textId="77777777" w:rsidR="00B07060" w:rsidRDefault="00B07060"/>
                      </w:tc>
                    </w:tr>
                    <w:tr w:rsidR="00B07060" w14:paraId="3E403153" w14:textId="77777777">
                      <w:trPr>
                        <w:trHeight w:val="240"/>
                      </w:trPr>
                      <w:tc>
                        <w:tcPr>
                          <w:tcW w:w="1140" w:type="dxa"/>
                        </w:tcPr>
                        <w:p w14:paraId="2EFE23A8" w14:textId="77777777" w:rsidR="00B07060" w:rsidRDefault="001F4ED1">
                          <w:r>
                            <w:t>Datum</w:t>
                          </w:r>
                        </w:p>
                      </w:tc>
                      <w:tc>
                        <w:tcPr>
                          <w:tcW w:w="5400" w:type="dxa"/>
                        </w:tcPr>
                        <w:p w14:paraId="66AAB720" w14:textId="750BB772" w:rsidR="00B07060" w:rsidRDefault="00ED66B9">
                          <w:r>
                            <w:t>5 februari 2025</w:t>
                          </w:r>
                        </w:p>
                      </w:tc>
                    </w:tr>
                    <w:tr w:rsidR="00B07060" w14:paraId="62F2538C" w14:textId="77777777">
                      <w:trPr>
                        <w:trHeight w:val="240"/>
                      </w:trPr>
                      <w:tc>
                        <w:tcPr>
                          <w:tcW w:w="1140" w:type="dxa"/>
                        </w:tcPr>
                        <w:p w14:paraId="3FB109CE" w14:textId="77777777" w:rsidR="00B07060" w:rsidRDefault="001F4ED1">
                          <w:r>
                            <w:t>Betreft</w:t>
                          </w:r>
                        </w:p>
                      </w:tc>
                      <w:tc>
                        <w:tcPr>
                          <w:tcW w:w="5400" w:type="dxa"/>
                        </w:tcPr>
                        <w:p w14:paraId="05D1F6B6" w14:textId="77777777" w:rsidR="00270B1E" w:rsidRDefault="00ED66B9">
                          <w:r>
                            <w:fldChar w:fldCharType="begin"/>
                          </w:r>
                          <w:r>
                            <w:instrText xml:space="preserve"> DOCPROPERTY  "Onderwerp"  \* MERGEFORMAT </w:instrText>
                          </w:r>
                          <w:r>
                            <w:fldChar w:fldCharType="separate"/>
                          </w:r>
                          <w:r>
                            <w:t>Aanbieding onderzoek actualisatie rekenforfaits gebaseerd op de levensverwachting en rente</w:t>
                          </w:r>
                          <w:r>
                            <w:fldChar w:fldCharType="end"/>
                          </w:r>
                        </w:p>
                      </w:tc>
                    </w:tr>
                    <w:tr w:rsidR="00B07060" w14:paraId="3986C69F" w14:textId="77777777">
                      <w:trPr>
                        <w:trHeight w:val="200"/>
                      </w:trPr>
                      <w:tc>
                        <w:tcPr>
                          <w:tcW w:w="1140" w:type="dxa"/>
                        </w:tcPr>
                        <w:p w14:paraId="057BFAE1" w14:textId="77777777" w:rsidR="00B07060" w:rsidRDefault="00B07060"/>
                      </w:tc>
                      <w:tc>
                        <w:tcPr>
                          <w:tcW w:w="4738" w:type="dxa"/>
                        </w:tcPr>
                        <w:p w14:paraId="00543520" w14:textId="77777777" w:rsidR="00B07060" w:rsidRDefault="00B07060"/>
                      </w:tc>
                    </w:tr>
                  </w:tbl>
                  <w:p w14:paraId="027E8BDF" w14:textId="77777777" w:rsidR="001F4ED1" w:rsidRDefault="001F4ED1"/>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7C67BAA" wp14:editId="448322AB">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6A6874EB" w14:textId="77777777" w:rsidR="00270B1E" w:rsidRDefault="00ED66B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7C67BAA"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6A6874EB" w14:textId="77777777" w:rsidR="00270B1E" w:rsidRDefault="00ED66B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5D5C1E6" wp14:editId="247C9535">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574A412A" w14:textId="77777777" w:rsidR="001F4ED1" w:rsidRDefault="001F4ED1"/>
                      </w:txbxContent>
                    </wps:txbx>
                    <wps:bodyPr vert="horz" wrap="square" lIns="0" tIns="0" rIns="0" bIns="0" anchor="t" anchorCtr="0"/>
                  </wps:wsp>
                </a:graphicData>
              </a:graphic>
            </wp:anchor>
          </w:drawing>
        </mc:Choice>
        <mc:Fallback>
          <w:pict>
            <v:shape w14:anchorId="75D5C1E6"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574A412A" w14:textId="77777777" w:rsidR="001F4ED1" w:rsidRDefault="001F4ED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0B18AB"/>
    <w:multiLevelType w:val="multilevel"/>
    <w:tmpl w:val="F2A6121C"/>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6FFDB8"/>
    <w:multiLevelType w:val="multilevel"/>
    <w:tmpl w:val="28F23F70"/>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2A630E"/>
    <w:multiLevelType w:val="hybridMultilevel"/>
    <w:tmpl w:val="464C2CC0"/>
    <w:lvl w:ilvl="0" w:tplc="26BAF60C">
      <w:start w:val="1"/>
      <w:numFmt w:val="decimal"/>
      <w:lvlText w:val="%1."/>
      <w:lvlJc w:val="left"/>
      <w:pPr>
        <w:ind w:left="360" w:hanging="360"/>
      </w:pPr>
      <w:rPr>
        <w:rFonts w:ascii="Verdana" w:eastAsia="DejaVu Sans" w:hAnsi="Verdana" w:cs="Lohit Hind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645CBD1"/>
    <w:multiLevelType w:val="multilevel"/>
    <w:tmpl w:val="4E44F8F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23085A49"/>
    <w:multiLevelType w:val="multilevel"/>
    <w:tmpl w:val="1587B0E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153EB2"/>
    <w:multiLevelType w:val="hybridMultilevel"/>
    <w:tmpl w:val="74B485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A47B9E"/>
    <w:multiLevelType w:val="hybridMultilevel"/>
    <w:tmpl w:val="48B492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90F0111"/>
    <w:multiLevelType w:val="hybridMultilevel"/>
    <w:tmpl w:val="C660D2B4"/>
    <w:lvl w:ilvl="0" w:tplc="0413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CB6247A"/>
    <w:multiLevelType w:val="hybridMultilevel"/>
    <w:tmpl w:val="D76CD28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0657759"/>
    <w:multiLevelType w:val="hybridMultilevel"/>
    <w:tmpl w:val="B220FD90"/>
    <w:lvl w:ilvl="0" w:tplc="9956FFB6">
      <w:start w:val="4"/>
      <w:numFmt w:val="bullet"/>
      <w:lvlText w:val="-"/>
      <w:lvlJc w:val="left"/>
      <w:pPr>
        <w:ind w:left="1080" w:hanging="360"/>
      </w:pPr>
      <w:rPr>
        <w:rFonts w:ascii="Verdana" w:eastAsia="DejaVu Sans" w:hAnsi="Verdana" w:cs="Lohit Hin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51224E03"/>
    <w:multiLevelType w:val="hybridMultilevel"/>
    <w:tmpl w:val="958450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1DAF7A4"/>
    <w:multiLevelType w:val="multilevel"/>
    <w:tmpl w:val="01C6D64B"/>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6906F0"/>
    <w:multiLevelType w:val="hybridMultilevel"/>
    <w:tmpl w:val="6A84B2E6"/>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60244F5"/>
    <w:multiLevelType w:val="hybridMultilevel"/>
    <w:tmpl w:val="8504693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934670C"/>
    <w:multiLevelType w:val="hybridMultilevel"/>
    <w:tmpl w:val="862246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FA21984"/>
    <w:multiLevelType w:val="hybridMultilevel"/>
    <w:tmpl w:val="7CE4B694"/>
    <w:lvl w:ilvl="0" w:tplc="FFFFFFFF">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5E83728"/>
    <w:multiLevelType w:val="hybridMultilevel"/>
    <w:tmpl w:val="72E09DD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60F9170"/>
    <w:multiLevelType w:val="multilevel"/>
    <w:tmpl w:val="615294A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678D53EC"/>
    <w:multiLevelType w:val="hybridMultilevel"/>
    <w:tmpl w:val="93267C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9092338"/>
    <w:multiLevelType w:val="multilevel"/>
    <w:tmpl w:val="291A582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899248040">
    <w:abstractNumId w:val="1"/>
  </w:num>
  <w:num w:numId="2" w16cid:durableId="1416433181">
    <w:abstractNumId w:val="0"/>
  </w:num>
  <w:num w:numId="3" w16cid:durableId="1126000986">
    <w:abstractNumId w:val="3"/>
  </w:num>
  <w:num w:numId="4" w16cid:durableId="1681930331">
    <w:abstractNumId w:val="17"/>
  </w:num>
  <w:num w:numId="5" w16cid:durableId="1339578680">
    <w:abstractNumId w:val="11"/>
  </w:num>
  <w:num w:numId="6" w16cid:durableId="829633246">
    <w:abstractNumId w:val="4"/>
  </w:num>
  <w:num w:numId="7" w16cid:durableId="1218201931">
    <w:abstractNumId w:val="10"/>
  </w:num>
  <w:num w:numId="8" w16cid:durableId="1947342493">
    <w:abstractNumId w:val="6"/>
  </w:num>
  <w:num w:numId="9" w16cid:durableId="1194340168">
    <w:abstractNumId w:val="13"/>
  </w:num>
  <w:num w:numId="10" w16cid:durableId="242030576">
    <w:abstractNumId w:val="18"/>
  </w:num>
  <w:num w:numId="11" w16cid:durableId="2073114635">
    <w:abstractNumId w:val="19"/>
  </w:num>
  <w:num w:numId="12" w16cid:durableId="1130200077">
    <w:abstractNumId w:val="9"/>
  </w:num>
  <w:num w:numId="13" w16cid:durableId="1679625029">
    <w:abstractNumId w:val="5"/>
  </w:num>
  <w:num w:numId="14" w16cid:durableId="1879121403">
    <w:abstractNumId w:val="8"/>
  </w:num>
  <w:num w:numId="15" w16cid:durableId="413934675">
    <w:abstractNumId w:val="14"/>
  </w:num>
  <w:num w:numId="16" w16cid:durableId="450438220">
    <w:abstractNumId w:val="2"/>
  </w:num>
  <w:num w:numId="17" w16cid:durableId="570627678">
    <w:abstractNumId w:val="15"/>
  </w:num>
  <w:num w:numId="18" w16cid:durableId="1591936008">
    <w:abstractNumId w:val="7"/>
  </w:num>
  <w:num w:numId="19" w16cid:durableId="525485149">
    <w:abstractNumId w:val="16"/>
  </w:num>
  <w:num w:numId="20" w16cid:durableId="5209756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060"/>
    <w:rsid w:val="00021D8D"/>
    <w:rsid w:val="00032679"/>
    <w:rsid w:val="00045E60"/>
    <w:rsid w:val="000606E0"/>
    <w:rsid w:val="00087480"/>
    <w:rsid w:val="00091621"/>
    <w:rsid w:val="000E09B2"/>
    <w:rsid w:val="000E2394"/>
    <w:rsid w:val="00146B78"/>
    <w:rsid w:val="00164E9B"/>
    <w:rsid w:val="00166610"/>
    <w:rsid w:val="0018548C"/>
    <w:rsid w:val="0019116B"/>
    <w:rsid w:val="001A027B"/>
    <w:rsid w:val="001A7186"/>
    <w:rsid w:val="001F4ED1"/>
    <w:rsid w:val="00237918"/>
    <w:rsid w:val="00246D1C"/>
    <w:rsid w:val="00270B1E"/>
    <w:rsid w:val="00283F1E"/>
    <w:rsid w:val="00295A1B"/>
    <w:rsid w:val="002A6124"/>
    <w:rsid w:val="002E0204"/>
    <w:rsid w:val="002E1019"/>
    <w:rsid w:val="00304404"/>
    <w:rsid w:val="00307E69"/>
    <w:rsid w:val="00317B44"/>
    <w:rsid w:val="00352F74"/>
    <w:rsid w:val="003570E0"/>
    <w:rsid w:val="00375163"/>
    <w:rsid w:val="00377151"/>
    <w:rsid w:val="00396DE9"/>
    <w:rsid w:val="003A3F36"/>
    <w:rsid w:val="003A5DD6"/>
    <w:rsid w:val="003A66E8"/>
    <w:rsid w:val="003D20BA"/>
    <w:rsid w:val="003E08D4"/>
    <w:rsid w:val="00450D74"/>
    <w:rsid w:val="00457EEC"/>
    <w:rsid w:val="004612BF"/>
    <w:rsid w:val="004A4B02"/>
    <w:rsid w:val="004A4D7B"/>
    <w:rsid w:val="004C7C0F"/>
    <w:rsid w:val="004F117D"/>
    <w:rsid w:val="005117F3"/>
    <w:rsid w:val="005136C4"/>
    <w:rsid w:val="00516C66"/>
    <w:rsid w:val="00567E42"/>
    <w:rsid w:val="00586FD8"/>
    <w:rsid w:val="005E112F"/>
    <w:rsid w:val="005F2E33"/>
    <w:rsid w:val="00625EEA"/>
    <w:rsid w:val="00627061"/>
    <w:rsid w:val="006345E8"/>
    <w:rsid w:val="00647B40"/>
    <w:rsid w:val="006764A4"/>
    <w:rsid w:val="00676E2B"/>
    <w:rsid w:val="00682ED7"/>
    <w:rsid w:val="0068427D"/>
    <w:rsid w:val="006A0E04"/>
    <w:rsid w:val="006E34C8"/>
    <w:rsid w:val="00704545"/>
    <w:rsid w:val="007059B8"/>
    <w:rsid w:val="007443AD"/>
    <w:rsid w:val="00767D5A"/>
    <w:rsid w:val="007C251D"/>
    <w:rsid w:val="007D3D8F"/>
    <w:rsid w:val="007F7F16"/>
    <w:rsid w:val="00820E30"/>
    <w:rsid w:val="00856E74"/>
    <w:rsid w:val="008829A7"/>
    <w:rsid w:val="008F63F9"/>
    <w:rsid w:val="00921948"/>
    <w:rsid w:val="009504E7"/>
    <w:rsid w:val="0095058F"/>
    <w:rsid w:val="00997C64"/>
    <w:rsid w:val="009B5492"/>
    <w:rsid w:val="009D59DD"/>
    <w:rsid w:val="009E0143"/>
    <w:rsid w:val="009F6562"/>
    <w:rsid w:val="009F7B61"/>
    <w:rsid w:val="00A049EC"/>
    <w:rsid w:val="00A551DA"/>
    <w:rsid w:val="00A63A33"/>
    <w:rsid w:val="00A8740E"/>
    <w:rsid w:val="00A966AA"/>
    <w:rsid w:val="00A969EE"/>
    <w:rsid w:val="00AB273C"/>
    <w:rsid w:val="00B0631E"/>
    <w:rsid w:val="00B07060"/>
    <w:rsid w:val="00B16C30"/>
    <w:rsid w:val="00B42A7F"/>
    <w:rsid w:val="00B5021B"/>
    <w:rsid w:val="00B73DA0"/>
    <w:rsid w:val="00BC3906"/>
    <w:rsid w:val="00BC6B49"/>
    <w:rsid w:val="00BD79AE"/>
    <w:rsid w:val="00BD7AC3"/>
    <w:rsid w:val="00C00560"/>
    <w:rsid w:val="00C54E3F"/>
    <w:rsid w:val="00CA1990"/>
    <w:rsid w:val="00CB4CFD"/>
    <w:rsid w:val="00CE2245"/>
    <w:rsid w:val="00D94866"/>
    <w:rsid w:val="00DA35F8"/>
    <w:rsid w:val="00DE6F9C"/>
    <w:rsid w:val="00E015F8"/>
    <w:rsid w:val="00E0419C"/>
    <w:rsid w:val="00E05D44"/>
    <w:rsid w:val="00E0686E"/>
    <w:rsid w:val="00E319C8"/>
    <w:rsid w:val="00E550E5"/>
    <w:rsid w:val="00E66BEC"/>
    <w:rsid w:val="00E678DE"/>
    <w:rsid w:val="00E878D9"/>
    <w:rsid w:val="00EA0AFB"/>
    <w:rsid w:val="00EA71B7"/>
    <w:rsid w:val="00ED66B9"/>
    <w:rsid w:val="00EF0BC8"/>
    <w:rsid w:val="00EF120F"/>
    <w:rsid w:val="00F026DC"/>
    <w:rsid w:val="00F45C92"/>
    <w:rsid w:val="00F735DC"/>
    <w:rsid w:val="00FA4766"/>
    <w:rsid w:val="00FD59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73F18"/>
  <w15:docId w15:val="{F1D8AC00-937C-454B-90E6-68AC43DD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1" w:qFormat="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paragraph" w:styleId="Kop1">
    <w:name w:val="heading 1"/>
    <w:basedOn w:val="Standaard"/>
    <w:next w:val="Standaard"/>
    <w:link w:val="Kop1Char"/>
    <w:uiPriority w:val="1"/>
    <w:qFormat/>
    <w:rsid w:val="00087480"/>
    <w:pPr>
      <w:spacing w:before="240" w:line="240" w:lineRule="exact"/>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F4ED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F4ED1"/>
    <w:rPr>
      <w:rFonts w:ascii="Verdana" w:hAnsi="Verdana"/>
      <w:color w:val="000000"/>
      <w:sz w:val="18"/>
      <w:szCs w:val="18"/>
    </w:rPr>
  </w:style>
  <w:style w:type="paragraph" w:styleId="Voettekst">
    <w:name w:val="footer"/>
    <w:basedOn w:val="Standaard"/>
    <w:link w:val="VoettekstChar"/>
    <w:uiPriority w:val="99"/>
    <w:unhideWhenUsed/>
    <w:rsid w:val="001F4ED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F4ED1"/>
    <w:rPr>
      <w:rFonts w:ascii="Verdana" w:hAnsi="Verdana"/>
      <w:color w:val="000000"/>
      <w:sz w:val="18"/>
      <w:szCs w:val="18"/>
    </w:rPr>
  </w:style>
  <w:style w:type="character" w:customStyle="1" w:styleId="Kop1Char">
    <w:name w:val="Kop 1 Char"/>
    <w:basedOn w:val="Standaardalinea-lettertype"/>
    <w:link w:val="Kop1"/>
    <w:uiPriority w:val="1"/>
    <w:rsid w:val="00087480"/>
    <w:rPr>
      <w:rFonts w:ascii="Verdana" w:hAnsi="Verdana"/>
      <w:b/>
      <w:color w:val="000000"/>
      <w:sz w:val="18"/>
      <w:szCs w:val="18"/>
    </w:rPr>
  </w:style>
  <w:style w:type="paragraph" w:styleId="Voetnoottekst">
    <w:name w:val="footnote text"/>
    <w:basedOn w:val="Standaard"/>
    <w:link w:val="VoetnoottekstChar"/>
    <w:uiPriority w:val="99"/>
    <w:unhideWhenUsed/>
    <w:rsid w:val="00087480"/>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rsid w:val="00087480"/>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087480"/>
    <w:rPr>
      <w:vertAlign w:val="superscript"/>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087480"/>
    <w:pPr>
      <w:spacing w:line="240" w:lineRule="exact"/>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1"/>
    <w:qFormat/>
    <w:locked/>
    <w:rsid w:val="00087480"/>
    <w:rPr>
      <w:rFonts w:ascii="Verdana" w:hAnsi="Verdana"/>
      <w:color w:val="000000"/>
      <w:sz w:val="18"/>
      <w:szCs w:val="18"/>
    </w:rPr>
  </w:style>
  <w:style w:type="table" w:styleId="Rastertabel4-Accent5">
    <w:name w:val="Grid Table 4 Accent 5"/>
    <w:basedOn w:val="Standaardtabel"/>
    <w:uiPriority w:val="49"/>
    <w:rsid w:val="00087480"/>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Verwijzingopmerking">
    <w:name w:val="annotation reference"/>
    <w:basedOn w:val="Standaardalinea-lettertype"/>
    <w:uiPriority w:val="99"/>
    <w:semiHidden/>
    <w:unhideWhenUsed/>
    <w:rsid w:val="00087480"/>
    <w:rPr>
      <w:sz w:val="16"/>
      <w:szCs w:val="16"/>
    </w:rPr>
  </w:style>
  <w:style w:type="paragraph" w:styleId="Tekstopmerking">
    <w:name w:val="annotation text"/>
    <w:basedOn w:val="Standaard"/>
    <w:link w:val="TekstopmerkingChar"/>
    <w:uiPriority w:val="99"/>
    <w:unhideWhenUsed/>
    <w:rsid w:val="00087480"/>
    <w:pPr>
      <w:spacing w:line="240" w:lineRule="auto"/>
    </w:pPr>
    <w:rPr>
      <w:sz w:val="20"/>
      <w:szCs w:val="20"/>
    </w:rPr>
  </w:style>
  <w:style w:type="character" w:customStyle="1" w:styleId="TekstopmerkingChar">
    <w:name w:val="Tekst opmerking Char"/>
    <w:basedOn w:val="Standaardalinea-lettertype"/>
    <w:link w:val="Tekstopmerking"/>
    <w:uiPriority w:val="99"/>
    <w:rsid w:val="00087480"/>
    <w:rPr>
      <w:rFonts w:ascii="Verdana" w:hAnsi="Verdana"/>
      <w:color w:val="000000"/>
    </w:rPr>
  </w:style>
  <w:style w:type="table" w:styleId="Rastertabel1licht-Accent5">
    <w:name w:val="Grid Table 1 Light Accent 5"/>
    <w:basedOn w:val="Standaardtabel"/>
    <w:uiPriority w:val="46"/>
    <w:rsid w:val="0008748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cf01">
    <w:name w:val="cf01"/>
    <w:basedOn w:val="Standaardalinea-lettertype"/>
    <w:rsid w:val="00087480"/>
    <w:rPr>
      <w:rFonts w:ascii="Segoe UI" w:hAnsi="Segoe UI" w:cs="Segoe UI" w:hint="default"/>
      <w:sz w:val="18"/>
      <w:szCs w:val="18"/>
    </w:rPr>
  </w:style>
  <w:style w:type="paragraph" w:customStyle="1" w:styleId="Huisstijl-Gegevens">
    <w:name w:val="Huisstijl - Gegevens"/>
    <w:basedOn w:val="Standaard"/>
    <w:qFormat/>
    <w:rsid w:val="00087480"/>
    <w:pPr>
      <w:widowControl w:val="0"/>
      <w:suppressAutoHyphens/>
      <w:spacing w:line="240" w:lineRule="exact"/>
    </w:pPr>
    <w:rPr>
      <w:color w:val="auto"/>
      <w:kern w:val="3"/>
      <w:szCs w:val="24"/>
      <w:lang w:eastAsia="zh-CN" w:bidi="hi-IN"/>
    </w:rPr>
  </w:style>
  <w:style w:type="table" w:styleId="Tabelraster">
    <w:name w:val="Table Grid"/>
    <w:basedOn w:val="Standaardtabel"/>
    <w:uiPriority w:val="39"/>
    <w:rsid w:val="00087480"/>
    <w:pPr>
      <w:autoSpaceDN/>
      <w:textAlignment w:val="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AB273C"/>
    <w:pPr>
      <w:autoSpaceDN/>
      <w:textAlignment w:val="auto"/>
    </w:pPr>
    <w:rPr>
      <w:rFonts w:ascii="Verdana" w:hAnsi="Verdana"/>
      <w:color w:val="000000"/>
      <w:sz w:val="18"/>
      <w:szCs w:val="18"/>
    </w:rPr>
  </w:style>
  <w:style w:type="paragraph" w:customStyle="1" w:styleId="Default">
    <w:name w:val="Default"/>
    <w:rsid w:val="006764A4"/>
    <w:pPr>
      <w:autoSpaceDE w:val="0"/>
      <w:adjustRightInd w:val="0"/>
      <w:textAlignment w:val="auto"/>
    </w:pPr>
    <w:rPr>
      <w:rFonts w:ascii="CKALO M+ Univers" w:hAnsi="CKALO M+ Univers" w:cs="CKALO M+ Univers"/>
      <w:color w:val="000000"/>
      <w:sz w:val="24"/>
      <w:szCs w:val="24"/>
    </w:rPr>
  </w:style>
  <w:style w:type="paragraph" w:styleId="Onderwerpvanopmerking">
    <w:name w:val="annotation subject"/>
    <w:basedOn w:val="Tekstopmerking"/>
    <w:next w:val="Tekstopmerking"/>
    <w:link w:val="OnderwerpvanopmerkingChar"/>
    <w:uiPriority w:val="99"/>
    <w:semiHidden/>
    <w:unhideWhenUsed/>
    <w:rsid w:val="00FD5924"/>
    <w:rPr>
      <w:b/>
      <w:bCs/>
    </w:rPr>
  </w:style>
  <w:style w:type="character" w:customStyle="1" w:styleId="OnderwerpvanopmerkingChar">
    <w:name w:val="Onderwerp van opmerking Char"/>
    <w:basedOn w:val="TekstopmerkingChar"/>
    <w:link w:val="Onderwerpvanopmerking"/>
    <w:uiPriority w:val="99"/>
    <w:semiHidden/>
    <w:rsid w:val="00FD5924"/>
    <w:rPr>
      <w:rFonts w:ascii="Verdana" w:hAnsi="Verdana"/>
      <w:b/>
      <w:bCs/>
      <w:color w:val="000000"/>
    </w:rPr>
  </w:style>
  <w:style w:type="table" w:styleId="Lijsttabel1licht-Accent3">
    <w:name w:val="List Table 1 Light Accent 3"/>
    <w:basedOn w:val="Standaardtabel"/>
    <w:uiPriority w:val="46"/>
    <w:rsid w:val="00F45C92"/>
    <w:pPr>
      <w:autoSpaceDN/>
      <w:textAlignment w:val="auto"/>
    </w:pPr>
    <w:rPr>
      <w:rFonts w:asciiTheme="minorHAnsi" w:eastAsiaTheme="minorHAnsi" w:hAnsiTheme="minorHAnsi" w:cstheme="minorBidi"/>
      <w:kern w:val="2"/>
      <w:sz w:val="22"/>
      <w:szCs w:val="22"/>
      <w:lang w:eastAsia="en-US"/>
      <w14:ligatures w14:val="standardContextual"/>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15372">
      <w:bodyDiv w:val="1"/>
      <w:marLeft w:val="0"/>
      <w:marRight w:val="0"/>
      <w:marTop w:val="0"/>
      <w:marBottom w:val="0"/>
      <w:divBdr>
        <w:top w:val="none" w:sz="0" w:space="0" w:color="auto"/>
        <w:left w:val="none" w:sz="0" w:space="0" w:color="auto"/>
        <w:bottom w:val="none" w:sz="0" w:space="0" w:color="auto"/>
        <w:right w:val="none" w:sz="0" w:space="0" w:color="auto"/>
      </w:divBdr>
    </w:div>
    <w:div w:id="1176312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36067-A.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3485</ap:Words>
  <ap:Characters>19172</ap:Characters>
  <ap:DocSecurity>0</ap:DocSecurity>
  <ap:Lines>159</ap:Lines>
  <ap:Paragraphs>45</ap:Paragraphs>
  <ap:ScaleCrop>false</ap:ScaleCrop>
  <ap:HeadingPairs>
    <vt:vector baseType="variant" size="2">
      <vt:variant>
        <vt:lpstr>Titel</vt:lpstr>
      </vt:variant>
      <vt:variant>
        <vt:i4>1</vt:i4>
      </vt:variant>
    </vt:vector>
  </ap:HeadingPairs>
  <ap:TitlesOfParts>
    <vt:vector baseType="lpstr" size="1">
      <vt:lpstr>Brief aan Eerste of Tweede Kamer - Aanbieding onderzoek actualisatie rekenforfaits gebaseerd op de levensverwachting en rente</vt:lpstr>
    </vt:vector>
  </ap:TitlesOfParts>
  <ap:LinksUpToDate>false</ap:LinksUpToDate>
  <ap:CharactersWithSpaces>22612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2025-02-05T19:15:00.0000000Z</dcterms:created>
  <dcterms:modified xsi:type="dcterms:W3CDTF">2025-02-05T19:15:00.0000000Z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Aanbieding onderzoek actualisatie rekenforfaits gebaseerd op de levensverwachting en rente</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1 november 2024</vt:lpwstr>
  </property>
  <property fmtid="{D5CDD505-2E9C-101B-9397-08002B2CF9AE}" pid="13" name="Opgesteld door, Naam">
    <vt:lpwstr/>
  </property>
  <property fmtid="{D5CDD505-2E9C-101B-9397-08002B2CF9AE}" pid="14" name="Opgesteld door, Telefoonnummer">
    <vt:lpwstr>088-4428364</vt:lpwstr>
  </property>
  <property fmtid="{D5CDD505-2E9C-101B-9397-08002B2CF9AE}" pid="15" name="Kenmerk">
    <vt:lpwstr>2025-0000017197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Aanbieding onderzoek actualisatie rekenforfaits gebaseerd op de levensverwachting en rente</vt:lpwstr>
  </property>
  <property fmtid="{D5CDD505-2E9C-101B-9397-08002B2CF9AE}" pid="30" name="UwKenmerk">
    <vt:lpwstr/>
  </property>
  <property fmtid="{D5CDD505-2E9C-101B-9397-08002B2CF9AE}" pid="31" name="MSIP_Label_f4b587cc-5349-4506-9b19-2242ab88a0ee_Enabled">
    <vt:lpwstr>true</vt:lpwstr>
  </property>
  <property fmtid="{D5CDD505-2E9C-101B-9397-08002B2CF9AE}" pid="32" name="MSIP_Label_f4b587cc-5349-4506-9b19-2242ab88a0ee_SetDate">
    <vt:lpwstr>2024-11-01T14:24:58Z</vt:lpwstr>
  </property>
  <property fmtid="{D5CDD505-2E9C-101B-9397-08002B2CF9AE}" pid="33" name="MSIP_Label_f4b587cc-5349-4506-9b19-2242ab88a0ee_Method">
    <vt:lpwstr>Privileged</vt:lpwstr>
  </property>
  <property fmtid="{D5CDD505-2E9C-101B-9397-08002B2CF9AE}" pid="34" name="MSIP_Label_f4b587cc-5349-4506-9b19-2242ab88a0ee_Name">
    <vt:lpwstr>FIN-DGFZ-Dep. V.</vt:lpwstr>
  </property>
  <property fmtid="{D5CDD505-2E9C-101B-9397-08002B2CF9AE}" pid="35" name="MSIP_Label_f4b587cc-5349-4506-9b19-2242ab88a0ee_SiteId">
    <vt:lpwstr>84712536-f524-40a0-913b-5d25ba502732</vt:lpwstr>
  </property>
  <property fmtid="{D5CDD505-2E9C-101B-9397-08002B2CF9AE}" pid="36" name="MSIP_Label_f4b587cc-5349-4506-9b19-2242ab88a0ee_ActionId">
    <vt:lpwstr>6e44b0db-c70b-47f3-8da2-63ab8706d316</vt:lpwstr>
  </property>
  <property fmtid="{D5CDD505-2E9C-101B-9397-08002B2CF9AE}" pid="37" name="MSIP_Label_f4b587cc-5349-4506-9b19-2242ab88a0ee_ContentBits">
    <vt:lpwstr>0</vt:lpwstr>
  </property>
</Properties>
</file>