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23B91" w:rsidTr="009B567E" w14:paraId="4332CB13" w14:textId="77777777">
        <w:tc>
          <w:tcPr>
            <w:tcW w:w="2160" w:type="dxa"/>
          </w:tcPr>
          <w:p w:rsidRPr="0091088D" w:rsidR="00C70B0B" w:rsidP="009B567E" w:rsidRDefault="00615165" w14:paraId="1EFAE04B" w14:textId="77777777">
            <w:pPr>
              <w:spacing w:after="92" w:line="180" w:lineRule="exact"/>
              <w:rPr>
                <w:b/>
                <w:sz w:val="13"/>
                <w:szCs w:val="13"/>
              </w:rPr>
            </w:pPr>
            <w:r w:rsidRPr="0091088D">
              <w:rPr>
                <w:b/>
                <w:sz w:val="13"/>
                <w:szCs w:val="13"/>
              </w:rPr>
              <w:t>Middelbaar Beroeps Onderwijs</w:t>
            </w:r>
          </w:p>
          <w:p w:rsidRPr="0091088D" w:rsidR="00C70B0B" w:rsidP="0091088D" w:rsidRDefault="00615165" w14:paraId="230CF57F" w14:textId="3F58EAEA">
            <w:pPr>
              <w:spacing w:line="180" w:lineRule="exact"/>
              <w:rPr>
                <w:b/>
                <w:sz w:val="13"/>
                <w:szCs w:val="13"/>
              </w:rPr>
            </w:pPr>
            <w:r w:rsidRPr="0091088D">
              <w:rPr>
                <w:b/>
                <w:sz w:val="13"/>
                <w:szCs w:val="13"/>
              </w:rPr>
              <w:t>Van</w:t>
            </w:r>
          </w:p>
        </w:tc>
      </w:tr>
      <w:tr w:rsidR="00C23B91" w:rsidTr="009B567E" w14:paraId="7B23620A" w14:textId="77777777">
        <w:trPr>
          <w:trHeight w:val="200" w:hRule="exact"/>
        </w:trPr>
        <w:tc>
          <w:tcPr>
            <w:tcW w:w="2160" w:type="dxa"/>
          </w:tcPr>
          <w:p w:rsidRPr="0053251D" w:rsidR="0053251D" w:rsidP="009B567E" w:rsidRDefault="0053251D" w14:paraId="0EA56BC0" w14:textId="613D8CBA">
            <w:pPr>
              <w:spacing w:line="180" w:lineRule="exact"/>
              <w:rPr>
                <w:sz w:val="13"/>
                <w:szCs w:val="13"/>
              </w:rPr>
            </w:pPr>
          </w:p>
        </w:tc>
      </w:tr>
      <w:tr w:rsidR="00C23B91" w:rsidTr="009B567E" w14:paraId="12EBD583" w14:textId="77777777">
        <w:trPr>
          <w:trHeight w:val="450"/>
        </w:trPr>
        <w:tc>
          <w:tcPr>
            <w:tcW w:w="2160" w:type="dxa"/>
          </w:tcPr>
          <w:p w:rsidRPr="0053251D" w:rsidR="0053251D" w:rsidP="009B567E" w:rsidRDefault="0053251D" w14:paraId="7D72EC56" w14:textId="77777777">
            <w:pPr>
              <w:spacing w:line="180" w:lineRule="exact"/>
              <w:rPr>
                <w:bCs/>
                <w:sz w:val="13"/>
                <w:szCs w:val="13"/>
              </w:rPr>
            </w:pPr>
          </w:p>
          <w:p w:rsidRPr="0091088D" w:rsidR="00C70B0B" w:rsidP="009B567E" w:rsidRDefault="00615165" w14:paraId="177509CE" w14:textId="5F662947">
            <w:pPr>
              <w:spacing w:line="180" w:lineRule="exact"/>
              <w:rPr>
                <w:b/>
                <w:sz w:val="13"/>
                <w:szCs w:val="13"/>
              </w:rPr>
            </w:pPr>
            <w:r w:rsidRPr="0091088D">
              <w:rPr>
                <w:b/>
                <w:sz w:val="13"/>
                <w:szCs w:val="13"/>
              </w:rPr>
              <w:t>Datum</w:t>
            </w:r>
          </w:p>
          <w:p w:rsidRPr="0091088D" w:rsidR="00C70B0B" w:rsidP="009B567E" w:rsidRDefault="00592A56" w14:paraId="0005D42B" w14:textId="02E58E0C">
            <w:pPr>
              <w:spacing w:after="92" w:line="180" w:lineRule="exact"/>
              <w:rPr>
                <w:sz w:val="13"/>
                <w:szCs w:val="13"/>
              </w:rPr>
            </w:pPr>
            <w:r w:rsidRPr="0091088D">
              <w:rPr>
                <w:sz w:val="13"/>
                <w:szCs w:val="13"/>
              </w:rPr>
              <w:t>9 december 2024</w:t>
            </w:r>
          </w:p>
          <w:p w:rsidRPr="0091088D" w:rsidR="00C70B0B" w:rsidP="009B567E" w:rsidRDefault="00615165" w14:paraId="7AA92F2A" w14:textId="77777777">
            <w:pPr>
              <w:spacing w:line="180" w:lineRule="exact"/>
              <w:rPr>
                <w:b/>
                <w:sz w:val="13"/>
                <w:szCs w:val="13"/>
              </w:rPr>
            </w:pPr>
            <w:r w:rsidRPr="0091088D">
              <w:rPr>
                <w:b/>
                <w:sz w:val="13"/>
                <w:szCs w:val="13"/>
              </w:rPr>
              <w:t>Referentie</w:t>
            </w:r>
          </w:p>
          <w:p w:rsidRPr="0091088D" w:rsidR="00C70B0B" w:rsidP="009B567E" w:rsidRDefault="001F1443" w14:paraId="47834B48" w14:textId="77777777">
            <w:pPr>
              <w:spacing w:after="92" w:line="180" w:lineRule="exact"/>
              <w:rPr>
                <w:sz w:val="13"/>
                <w:szCs w:val="13"/>
              </w:rPr>
            </w:pPr>
            <w:r w:rsidRPr="0091088D">
              <w:rPr>
                <w:sz w:val="13"/>
                <w:szCs w:val="13"/>
              </w:rPr>
              <w:fldChar w:fldCharType="begin"/>
            </w:r>
            <w:r w:rsidRPr="0091088D">
              <w:rPr>
                <w:sz w:val="13"/>
                <w:szCs w:val="13"/>
              </w:rPr>
              <w:instrText xml:space="preserve"> DOCPROPERTY  cs_objectid  \* MERGEFORMAT </w:instrText>
            </w:r>
            <w:r w:rsidRPr="0091088D">
              <w:rPr>
                <w:sz w:val="13"/>
                <w:szCs w:val="13"/>
              </w:rPr>
              <w:fldChar w:fldCharType="separate"/>
            </w:r>
            <w:r w:rsidRPr="0091088D">
              <w:rPr>
                <w:sz w:val="13"/>
                <w:szCs w:val="13"/>
              </w:rPr>
              <w:t>50210220</w:t>
            </w:r>
            <w:r w:rsidRPr="0091088D">
              <w:rPr>
                <w:sz w:val="13"/>
                <w:szCs w:val="13"/>
              </w:rPr>
              <w:fldChar w:fldCharType="end"/>
            </w:r>
          </w:p>
        </w:tc>
      </w:tr>
      <w:tr w:rsidR="00C23B91" w:rsidTr="009B567E" w14:paraId="1988AB56" w14:textId="77777777">
        <w:trPr>
          <w:trHeight w:val="225"/>
        </w:trPr>
        <w:tc>
          <w:tcPr>
            <w:tcW w:w="2160" w:type="dxa"/>
          </w:tcPr>
          <w:p w:rsidRPr="0091088D" w:rsidR="00C70B0B" w:rsidP="009B567E" w:rsidRDefault="00615165" w14:paraId="7C6AB995" w14:textId="77777777">
            <w:pPr>
              <w:spacing w:line="180" w:lineRule="exact"/>
              <w:rPr>
                <w:b/>
                <w:sz w:val="13"/>
                <w:szCs w:val="13"/>
              </w:rPr>
            </w:pPr>
            <w:r w:rsidRPr="0091088D">
              <w:rPr>
                <w:b/>
                <w:sz w:val="13"/>
                <w:szCs w:val="13"/>
              </w:rPr>
              <w:t>Bijlagen</w:t>
            </w:r>
          </w:p>
          <w:p w:rsidRPr="0091088D" w:rsidR="008B05A6" w:rsidP="009B567E" w:rsidRDefault="008B05A6" w14:paraId="0E526B86" w14:textId="07281E95">
            <w:pPr>
              <w:spacing w:line="180" w:lineRule="exact"/>
              <w:rPr>
                <w:sz w:val="13"/>
                <w:szCs w:val="13"/>
              </w:rPr>
            </w:pPr>
            <w:r w:rsidRPr="0091088D">
              <w:rPr>
                <w:sz w:val="13"/>
                <w:szCs w:val="13"/>
              </w:rPr>
              <w:t>Subsidieregeling Instructeursbeurs mbo 2025</w:t>
            </w:r>
          </w:p>
          <w:p w:rsidRPr="0091088D" w:rsidR="008B05A6" w:rsidP="009B567E" w:rsidRDefault="008B05A6" w14:paraId="0D82BAF2" w14:textId="650B3D4E">
            <w:pPr>
              <w:spacing w:line="180" w:lineRule="exact"/>
              <w:rPr>
                <w:sz w:val="13"/>
                <w:szCs w:val="13"/>
              </w:rPr>
            </w:pPr>
            <w:r w:rsidRPr="0091088D">
              <w:rPr>
                <w:sz w:val="13"/>
                <w:szCs w:val="13"/>
              </w:rPr>
              <w:t>Voorhangbrief</w:t>
            </w:r>
          </w:p>
          <w:p w:rsidRPr="0091088D" w:rsidR="008B05A6" w:rsidP="009B567E" w:rsidRDefault="008B05A6" w14:paraId="006F8F8B" w14:textId="34415942">
            <w:pPr>
              <w:spacing w:line="180" w:lineRule="exact"/>
              <w:rPr>
                <w:sz w:val="13"/>
                <w:szCs w:val="13"/>
              </w:rPr>
            </w:pPr>
            <w:r w:rsidRPr="0091088D">
              <w:rPr>
                <w:sz w:val="13"/>
                <w:szCs w:val="13"/>
              </w:rPr>
              <w:t>Risicoanalyse subsidieregeling instructeursbeurs</w:t>
            </w:r>
          </w:p>
          <w:p w:rsidRPr="0091088D" w:rsidR="008B05A6" w:rsidP="009B567E" w:rsidRDefault="008B05A6" w14:paraId="7440F91D" w14:textId="307DA09C">
            <w:pPr>
              <w:spacing w:line="180" w:lineRule="exact"/>
              <w:rPr>
                <w:sz w:val="13"/>
                <w:szCs w:val="13"/>
              </w:rPr>
            </w:pPr>
            <w:r w:rsidRPr="0091088D">
              <w:rPr>
                <w:sz w:val="13"/>
                <w:szCs w:val="13"/>
              </w:rPr>
              <w:t>Controlebeleid subsidieregeling instructeursbeurs</w:t>
            </w:r>
          </w:p>
          <w:p w:rsidRPr="0091088D" w:rsidR="000B49CB" w:rsidP="009B567E" w:rsidRDefault="000B49CB" w14:paraId="6915DE32" w14:textId="63161011">
            <w:pPr>
              <w:spacing w:line="180" w:lineRule="exact"/>
              <w:rPr>
                <w:sz w:val="13"/>
                <w:szCs w:val="13"/>
              </w:rPr>
            </w:pPr>
            <w:r w:rsidRPr="0091088D">
              <w:rPr>
                <w:sz w:val="13"/>
                <w:szCs w:val="13"/>
              </w:rPr>
              <w:t>Uitvoeringstoets DUO</w:t>
            </w:r>
          </w:p>
          <w:p w:rsidRPr="0091088D" w:rsidR="00C70B0B" w:rsidP="009B567E" w:rsidRDefault="00C70B0B" w14:paraId="38A47E29" w14:textId="77777777">
            <w:pPr>
              <w:spacing w:line="92" w:lineRule="exact"/>
              <w:rPr>
                <w:sz w:val="2"/>
                <w:szCs w:val="2"/>
              </w:rPr>
            </w:pPr>
          </w:p>
        </w:tc>
      </w:tr>
      <w:tr w:rsidR="00C23B91" w:rsidTr="009B567E" w14:paraId="4871BE89" w14:textId="77777777">
        <w:trPr>
          <w:trHeight w:val="113"/>
        </w:trPr>
        <w:tc>
          <w:tcPr>
            <w:tcW w:w="2160" w:type="dxa"/>
          </w:tcPr>
          <w:p w:rsidRPr="0091088D" w:rsidR="00C70B0B" w:rsidP="009B567E" w:rsidRDefault="00615165" w14:paraId="2B21BDD0" w14:textId="77777777">
            <w:pPr>
              <w:spacing w:line="180" w:lineRule="exact"/>
              <w:rPr>
                <w:b/>
                <w:sz w:val="13"/>
                <w:szCs w:val="13"/>
              </w:rPr>
            </w:pPr>
            <w:r w:rsidRPr="0091088D">
              <w:rPr>
                <w:b/>
                <w:sz w:val="13"/>
                <w:szCs w:val="13"/>
              </w:rPr>
              <w:t>Kopie voor</w:t>
            </w:r>
          </w:p>
          <w:p w:rsidRPr="0091088D" w:rsidR="00C70B0B" w:rsidP="009B567E" w:rsidRDefault="00DD48B6" w14:paraId="487B978C" w14:textId="17FD4D7B">
            <w:pPr>
              <w:spacing w:line="180" w:lineRule="exact"/>
              <w:rPr>
                <w:sz w:val="13"/>
                <w:szCs w:val="13"/>
              </w:rPr>
            </w:pPr>
            <w:r w:rsidRPr="0091088D">
              <w:rPr>
                <w:sz w:val="13"/>
                <w:szCs w:val="13"/>
              </w:rPr>
              <w:t>WJZ</w:t>
            </w:r>
          </w:p>
        </w:tc>
      </w:tr>
      <w:tr w:rsidR="00C23B91" w:rsidTr="009B567E" w14:paraId="05D18DC6" w14:textId="77777777">
        <w:trPr>
          <w:trHeight w:val="225"/>
        </w:trPr>
        <w:tc>
          <w:tcPr>
            <w:tcW w:w="2160" w:type="dxa"/>
          </w:tcPr>
          <w:p w:rsidRPr="0091088D" w:rsidR="00C70B0B" w:rsidP="009B567E" w:rsidRDefault="00C70B0B" w14:paraId="4EA75E18" w14:textId="77777777">
            <w:pPr>
              <w:spacing w:line="180" w:lineRule="exact"/>
              <w:rPr>
                <w:b/>
                <w:sz w:val="13"/>
                <w:szCs w:val="13"/>
              </w:rPr>
            </w:pPr>
          </w:p>
        </w:tc>
      </w:tr>
      <w:tr w:rsidR="00C23B91" w:rsidTr="009B567E" w14:paraId="4964D132" w14:textId="77777777">
        <w:trPr>
          <w:trHeight w:val="225"/>
        </w:trPr>
        <w:tc>
          <w:tcPr>
            <w:tcW w:w="2160" w:type="dxa"/>
          </w:tcPr>
          <w:p w:rsidRPr="0091088D" w:rsidR="00C70B0B" w:rsidP="009B567E" w:rsidRDefault="00615165" w14:paraId="53388A3E" w14:textId="77777777">
            <w:pPr>
              <w:spacing w:line="180" w:lineRule="exact"/>
              <w:rPr>
                <w:b/>
                <w:sz w:val="13"/>
                <w:szCs w:val="13"/>
              </w:rPr>
            </w:pPr>
            <w:r w:rsidRPr="0091088D">
              <w:rPr>
                <w:b/>
                <w:sz w:val="13"/>
                <w:szCs w:val="13"/>
              </w:rPr>
              <w:t>Aantal pagina’s</w:t>
            </w:r>
          </w:p>
          <w:p w:rsidRPr="0091088D" w:rsidR="00C70B0B" w:rsidP="009B567E" w:rsidRDefault="00933DD1" w14:paraId="3B1C57E5" w14:textId="65B11A47">
            <w:pPr>
              <w:spacing w:after="92" w:line="180" w:lineRule="exact"/>
              <w:rPr>
                <w:sz w:val="13"/>
                <w:szCs w:val="13"/>
              </w:rPr>
            </w:pPr>
            <w:r w:rsidRPr="0091088D">
              <w:rPr>
                <w:sz w:val="13"/>
                <w:szCs w:val="13"/>
              </w:rPr>
              <w:t>7</w:t>
            </w:r>
          </w:p>
        </w:tc>
      </w:tr>
    </w:tbl>
    <w:p w:rsidR="00D05403" w:rsidP="00D05403" w:rsidRDefault="00D05403" w14:paraId="03DE07F9" w14:textId="77777777"/>
    <w:p w:rsidRPr="00D3777C" w:rsidR="00D05403" w:rsidP="00F11638" w:rsidRDefault="00615165" w14:paraId="37AC8A0F" w14:textId="47F208A2">
      <w:pPr>
        <w:pStyle w:val="standaard-tekst"/>
        <w:tabs>
          <w:tab w:val="clear" w:pos="227"/>
          <w:tab w:val="clear" w:pos="454"/>
          <w:tab w:val="clear" w:pos="680"/>
          <w:tab w:val="left" w:pos="708"/>
        </w:tabs>
        <w:rPr>
          <w:b/>
        </w:rPr>
      </w:pPr>
      <w:r w:rsidRPr="00D3777C">
        <w:rPr>
          <w:b/>
        </w:rPr>
        <w:t>Gevraagde besluit</w:t>
      </w:r>
      <w:r w:rsidRPr="00D3777C" w:rsidR="00784B37">
        <w:rPr>
          <w:b/>
        </w:rPr>
        <w:br/>
      </w:r>
    </w:p>
    <w:p w:rsidRPr="00D3777C" w:rsidR="00D05403" w:rsidP="00D05403" w:rsidRDefault="00615165" w14:paraId="3AC9E162" w14:textId="77777777">
      <w:pPr>
        <w:pStyle w:val="standaard-tekst"/>
      </w:pPr>
      <w:bookmarkStart w:name="_Hlk181700655" w:id="0"/>
      <w:r w:rsidRPr="00D3777C">
        <w:t>U wordt gevraagd:</w:t>
      </w:r>
    </w:p>
    <w:p w:rsidR="00D05403" w:rsidP="00D05403" w:rsidRDefault="00615165" w14:paraId="6DD84C6F" w14:textId="7AFB30A9">
      <w:pPr>
        <w:pStyle w:val="standaard-tekst"/>
        <w:ind w:left="284" w:hanging="284"/>
      </w:pPr>
      <w:r w:rsidRPr="00D3777C">
        <w:t>-</w:t>
      </w:r>
      <w:r w:rsidRPr="00D3777C">
        <w:tab/>
        <w:t xml:space="preserve">akkoord te gaan met bijgevoegde regeling maar deze nog niet te ondertekenen (de regeling </w:t>
      </w:r>
      <w:r w:rsidRPr="00D3777C" w:rsidR="003C12AD">
        <w:t xml:space="preserve">mag pas </w:t>
      </w:r>
      <w:r w:rsidRPr="00D3777C">
        <w:t xml:space="preserve">worden gepubliceerd </w:t>
      </w:r>
      <w:r w:rsidRPr="00D3777C" w:rsidR="00DE792B">
        <w:t xml:space="preserve">nadat </w:t>
      </w:r>
      <w:r w:rsidRPr="00D3777C">
        <w:t xml:space="preserve">de </w:t>
      </w:r>
      <w:r w:rsidR="00FD5899">
        <w:t>Tweede Kamer</w:t>
      </w:r>
      <w:r w:rsidRPr="00D3777C">
        <w:t xml:space="preserve"> 30 dagen de tijd heeft gekregen om op het ontwerp te reageren)</w:t>
      </w:r>
      <w:r w:rsidR="00FD5899">
        <w:t>;</w:t>
      </w:r>
    </w:p>
    <w:p w:rsidRPr="00D3777C" w:rsidR="00A55A8A" w:rsidP="00D05403" w:rsidRDefault="00A55A8A" w14:paraId="1E3AC4B0" w14:textId="6BA32B43">
      <w:pPr>
        <w:pStyle w:val="standaard-tekst"/>
        <w:ind w:left="284" w:hanging="284"/>
      </w:pPr>
      <w:r>
        <w:t>-   akkoord te gaan met het beargumenteerd terzijde leggen van het advies van de ATR</w:t>
      </w:r>
      <w:r w:rsidR="00FD5899">
        <w:t>;</w:t>
      </w:r>
    </w:p>
    <w:p w:rsidRPr="00D3777C" w:rsidR="00D05403" w:rsidP="00D05403" w:rsidRDefault="00615165" w14:paraId="1DF92461" w14:textId="2B0D0105">
      <w:pPr>
        <w:pStyle w:val="standaard-tekst"/>
        <w:ind w:left="284" w:hanging="284"/>
      </w:pPr>
      <w:r w:rsidRPr="00D3777C">
        <w:t>-</w:t>
      </w:r>
      <w:r w:rsidRPr="00D3777C">
        <w:tab/>
        <w:t xml:space="preserve">de brief te ondertekenen waarmee het ontwerp aan de </w:t>
      </w:r>
      <w:r w:rsidR="00FD5899">
        <w:t>Tweede Kamer</w:t>
      </w:r>
      <w:r w:rsidRPr="00D3777C">
        <w:t xml:space="preserve"> wordt </w:t>
      </w:r>
      <w:r w:rsidR="00FD5899">
        <w:t>ver</w:t>
      </w:r>
      <w:r w:rsidRPr="00D3777C">
        <w:t>zonden (na verstrijken van de termijn wordt de regeling nogmaals aan u voorgelegd, dan ter ondertekening).</w:t>
      </w:r>
    </w:p>
    <w:bookmarkEnd w:id="0"/>
    <w:p w:rsidRPr="00D3777C" w:rsidR="00D05403" w:rsidP="00D05403" w:rsidRDefault="00D05403" w14:paraId="79F55FFF" w14:textId="77777777">
      <w:pPr>
        <w:rPr>
          <w:szCs w:val="18"/>
        </w:rPr>
      </w:pPr>
    </w:p>
    <w:p w:rsidRPr="00D3777C" w:rsidR="00D05403" w:rsidP="00D05403" w:rsidRDefault="00615165" w14:paraId="5570B3C5" w14:textId="77777777">
      <w:pPr>
        <w:pStyle w:val="standaard-tekst"/>
        <w:tabs>
          <w:tab w:val="clear" w:pos="227"/>
          <w:tab w:val="clear" w:pos="454"/>
          <w:tab w:val="clear" w:pos="680"/>
          <w:tab w:val="left" w:pos="708"/>
        </w:tabs>
        <w:rPr>
          <w:b/>
        </w:rPr>
      </w:pPr>
      <w:r w:rsidRPr="00D3777C">
        <w:rPr>
          <w:b/>
        </w:rPr>
        <w:t>Samenvatting van de regeling</w:t>
      </w:r>
    </w:p>
    <w:p w:rsidRPr="00D3777C" w:rsidR="00D05403" w:rsidP="00D05403" w:rsidRDefault="007254D3" w14:paraId="5FAD6967" w14:textId="40119D9A">
      <w:pPr>
        <w:pStyle w:val="standaard-tekst"/>
        <w:tabs>
          <w:tab w:val="clear" w:pos="227"/>
          <w:tab w:val="clear" w:pos="454"/>
          <w:tab w:val="clear" w:pos="680"/>
          <w:tab w:val="left" w:pos="708"/>
        </w:tabs>
        <w:rPr>
          <w:shd w:val="clear" w:color="auto" w:fill="FFFFFF"/>
        </w:rPr>
      </w:pPr>
      <w:r w:rsidRPr="00D3777C">
        <w:rPr>
          <w:shd w:val="clear" w:color="auto" w:fill="FFFFFF"/>
        </w:rPr>
        <w:br/>
        <w:t>De Subsidieregeling instructeursbeurs mbo</w:t>
      </w:r>
      <w:r w:rsidRPr="00D3777C" w:rsidR="003C12AD">
        <w:rPr>
          <w:shd w:val="clear" w:color="auto" w:fill="FFFFFF"/>
        </w:rPr>
        <w:t xml:space="preserve"> 2025 is een 1-jarige regeling. Inhoudelijk is de regeling hetzelfde als voorgaande regeling</w:t>
      </w:r>
      <w:r w:rsidRPr="00D3777C">
        <w:rPr>
          <w:shd w:val="clear" w:color="auto" w:fill="FFFFFF"/>
        </w:rPr>
        <w:t xml:space="preserve"> die in werking is getreden op 1 augustus 2019 en </w:t>
      </w:r>
      <w:r w:rsidRPr="00D3777C" w:rsidR="003C12AD">
        <w:rPr>
          <w:shd w:val="clear" w:color="auto" w:fill="FFFFFF"/>
        </w:rPr>
        <w:t xml:space="preserve">is </w:t>
      </w:r>
      <w:r w:rsidRPr="00D3777C">
        <w:rPr>
          <w:shd w:val="clear" w:color="auto" w:fill="FFFFFF"/>
        </w:rPr>
        <w:t>verval</w:t>
      </w:r>
      <w:r w:rsidRPr="00D3777C" w:rsidR="003C12AD">
        <w:rPr>
          <w:shd w:val="clear" w:color="auto" w:fill="FFFFFF"/>
        </w:rPr>
        <w:t xml:space="preserve">len </w:t>
      </w:r>
      <w:r w:rsidRPr="00D3777C">
        <w:rPr>
          <w:shd w:val="clear" w:color="auto" w:fill="FFFFFF"/>
        </w:rPr>
        <w:t>op 1 augustus 2024. De regeling is bedoeld om instructeurs in het middelbaar beroepsonderwijs (mbo) te ondersteunen bij het volgen van een bachelor- of associate degree-opleiding door subsidie te verlenen voor studiekosten en studieverlof</w:t>
      </w:r>
      <w:r w:rsidRPr="00D3777C" w:rsidR="0005498A">
        <w:rPr>
          <w:shd w:val="clear" w:color="auto" w:fill="FFFFFF"/>
        </w:rPr>
        <w:t>kosten</w:t>
      </w:r>
      <w:r w:rsidRPr="00D3777C">
        <w:rPr>
          <w:shd w:val="clear" w:color="auto" w:fill="FFFFFF"/>
        </w:rPr>
        <w:t>.</w:t>
      </w:r>
    </w:p>
    <w:p w:rsidRPr="00D3777C" w:rsidR="007254D3" w:rsidP="00D05403" w:rsidRDefault="007254D3" w14:paraId="00C3E437" w14:textId="77777777">
      <w:pPr>
        <w:pStyle w:val="standaard-tekst"/>
        <w:tabs>
          <w:tab w:val="clear" w:pos="227"/>
          <w:tab w:val="clear" w:pos="454"/>
          <w:tab w:val="clear" w:pos="680"/>
          <w:tab w:val="left" w:pos="708"/>
        </w:tabs>
        <w:rPr>
          <w:shd w:val="clear" w:color="auto" w:fill="FFFFFF"/>
        </w:rPr>
      </w:pPr>
    </w:p>
    <w:p w:rsidRPr="00D3777C" w:rsidR="007254D3" w:rsidP="007254D3" w:rsidRDefault="007254D3" w14:paraId="51B743E9" w14:textId="16F02F9A">
      <w:pPr>
        <w:spacing w:line="240" w:lineRule="auto"/>
        <w:rPr>
          <w:szCs w:val="18"/>
        </w:rPr>
      </w:pPr>
      <w:r w:rsidRPr="00D3777C">
        <w:rPr>
          <w:szCs w:val="18"/>
          <w:shd w:val="clear" w:color="auto" w:fill="FFFFFF"/>
        </w:rPr>
        <w:t>De</w:t>
      </w:r>
      <w:r w:rsidRPr="00D3777C" w:rsidR="0005498A">
        <w:rPr>
          <w:szCs w:val="18"/>
          <w:shd w:val="clear" w:color="auto" w:fill="FFFFFF"/>
        </w:rPr>
        <w:t xml:space="preserve">ze regeling </w:t>
      </w:r>
      <w:r w:rsidRPr="00D3777C">
        <w:rPr>
          <w:szCs w:val="18"/>
          <w:shd w:val="clear" w:color="auto" w:fill="FFFFFF"/>
        </w:rPr>
        <w:t xml:space="preserve">biedt financiële steun aan mbo-instructeurs </w:t>
      </w:r>
      <w:r w:rsidRPr="00D3777C" w:rsidR="0005498A">
        <w:rPr>
          <w:szCs w:val="18"/>
          <w:shd w:val="clear" w:color="auto" w:fill="FFFFFF"/>
        </w:rPr>
        <w:t xml:space="preserve">en aan mbo-instellingen </w:t>
      </w:r>
      <w:r w:rsidRPr="00D3777C">
        <w:rPr>
          <w:szCs w:val="18"/>
          <w:shd w:val="clear" w:color="auto" w:fill="FFFFFF"/>
        </w:rPr>
        <w:t xml:space="preserve">om </w:t>
      </w:r>
      <w:r w:rsidRPr="00D3777C" w:rsidR="00BD6EE4">
        <w:rPr>
          <w:szCs w:val="18"/>
          <w:shd w:val="clear" w:color="auto" w:fill="FFFFFF"/>
        </w:rPr>
        <w:t xml:space="preserve">instructeurs te stimuleren </w:t>
      </w:r>
      <w:r w:rsidRPr="00D3777C">
        <w:rPr>
          <w:szCs w:val="18"/>
          <w:shd w:val="clear" w:color="auto" w:fill="FFFFFF"/>
        </w:rPr>
        <w:t>hun kwalificaties te verbeteren via bachelor- of associate degree-opleidingen. De regeling heeft duidelijke voorwaarden en eisen voor zowel de instructeurs als het bevoegd gezag, en biedt een kader voor het aanvragen en verantwoorden van de subsidies.</w:t>
      </w:r>
      <w:r w:rsidRPr="00D3777C" w:rsidR="00CE0475">
        <w:rPr>
          <w:szCs w:val="18"/>
          <w:shd w:val="clear" w:color="auto" w:fill="FFFFFF"/>
        </w:rPr>
        <w:t xml:space="preserve"> </w:t>
      </w:r>
      <w:r w:rsidRPr="00D3777C">
        <w:rPr>
          <w:szCs w:val="18"/>
        </w:rPr>
        <w:t>De regeling biedt subsidies voor studiekosten en studieverlof</w:t>
      </w:r>
      <w:r w:rsidRPr="00D3777C" w:rsidR="004D3709">
        <w:rPr>
          <w:szCs w:val="18"/>
        </w:rPr>
        <w:t>kosten</w:t>
      </w:r>
      <w:r w:rsidRPr="00D3777C">
        <w:rPr>
          <w:szCs w:val="18"/>
        </w:rPr>
        <w:t>.</w:t>
      </w:r>
      <w:r w:rsidRPr="00D3777C" w:rsidR="0005498A">
        <w:rPr>
          <w:szCs w:val="18"/>
        </w:rPr>
        <w:t xml:space="preserve"> Dit laatste vraagt </w:t>
      </w:r>
      <w:r w:rsidRPr="00D3777C" w:rsidR="00DE792B">
        <w:rPr>
          <w:szCs w:val="18"/>
        </w:rPr>
        <w:t>de instructeur aan</w:t>
      </w:r>
      <w:r w:rsidR="00E91343">
        <w:rPr>
          <w:szCs w:val="18"/>
        </w:rPr>
        <w:t xml:space="preserve"> </w:t>
      </w:r>
      <w:r w:rsidRPr="00D3777C" w:rsidR="0005498A">
        <w:rPr>
          <w:szCs w:val="18"/>
        </w:rPr>
        <w:t xml:space="preserve">namens </w:t>
      </w:r>
      <w:r w:rsidRPr="00D3777C" w:rsidR="00DE792B">
        <w:rPr>
          <w:szCs w:val="18"/>
        </w:rPr>
        <w:t xml:space="preserve">het bevoegd gezag van een instelling. </w:t>
      </w:r>
    </w:p>
    <w:p w:rsidR="00E91343" w:rsidP="004E3E47" w:rsidRDefault="007254D3" w14:paraId="625C8A8A" w14:textId="77777777">
      <w:pPr>
        <w:spacing w:line="240" w:lineRule="auto"/>
        <w:rPr>
          <w:szCs w:val="18"/>
        </w:rPr>
      </w:pPr>
      <w:r w:rsidRPr="00D3777C">
        <w:rPr>
          <w:szCs w:val="18"/>
        </w:rPr>
        <w:br/>
        <w:t xml:space="preserve">Voor de jaren 2021-2024 </w:t>
      </w:r>
      <w:r w:rsidRPr="00D3777C" w:rsidR="00413AEF">
        <w:rPr>
          <w:szCs w:val="18"/>
        </w:rPr>
        <w:t xml:space="preserve">was </w:t>
      </w:r>
      <w:r w:rsidRPr="00D3777C">
        <w:rPr>
          <w:szCs w:val="18"/>
        </w:rPr>
        <w:t>jaarlijks maximaal €1,8 miljoen beschikbaar voor de subsidieregeling.</w:t>
      </w:r>
      <w:r w:rsidRPr="00D3777C" w:rsidR="004E3E47">
        <w:rPr>
          <w:szCs w:val="18"/>
        </w:rPr>
        <w:t xml:space="preserve"> Omdat dit beschikbare budget </w:t>
      </w:r>
      <w:r w:rsidRPr="00D3777C" w:rsidR="00CB5733">
        <w:rPr>
          <w:szCs w:val="18"/>
        </w:rPr>
        <w:t>niet</w:t>
      </w:r>
      <w:r w:rsidRPr="00D3777C" w:rsidR="00DA76B1">
        <w:rPr>
          <w:szCs w:val="18"/>
        </w:rPr>
        <w:t xml:space="preserve"> uitgeput</w:t>
      </w:r>
      <w:r w:rsidRPr="00D3777C" w:rsidR="004E3E47">
        <w:rPr>
          <w:szCs w:val="18"/>
        </w:rPr>
        <w:t xml:space="preserve"> w</w:t>
      </w:r>
      <w:r w:rsidRPr="00D3777C" w:rsidR="006732F4">
        <w:rPr>
          <w:szCs w:val="18"/>
        </w:rPr>
        <w:t>erd</w:t>
      </w:r>
      <w:r w:rsidRPr="00D3777C" w:rsidR="004E3E47">
        <w:rPr>
          <w:szCs w:val="18"/>
        </w:rPr>
        <w:t>, zal dit bedrag</w:t>
      </w:r>
      <w:r w:rsidRPr="00D3777C" w:rsidR="003C12AD">
        <w:rPr>
          <w:szCs w:val="18"/>
        </w:rPr>
        <w:t xml:space="preserve"> in de nieuwe regeling</w:t>
      </w:r>
      <w:r w:rsidRPr="00D3777C" w:rsidR="004E3E47">
        <w:rPr>
          <w:szCs w:val="18"/>
        </w:rPr>
        <w:t xml:space="preserve"> voor studiejaar</w:t>
      </w:r>
      <w:r w:rsidRPr="00D3777C" w:rsidR="00CB5733">
        <w:rPr>
          <w:szCs w:val="18"/>
        </w:rPr>
        <w:t xml:space="preserve"> 202</w:t>
      </w:r>
      <w:r w:rsidR="00E95410">
        <w:rPr>
          <w:szCs w:val="18"/>
        </w:rPr>
        <w:t>5</w:t>
      </w:r>
      <w:r w:rsidRPr="00D3777C" w:rsidR="00CB5733">
        <w:rPr>
          <w:szCs w:val="18"/>
        </w:rPr>
        <w:t>-202</w:t>
      </w:r>
      <w:r w:rsidR="00E95410">
        <w:rPr>
          <w:szCs w:val="18"/>
        </w:rPr>
        <w:t>6</w:t>
      </w:r>
      <w:r w:rsidRPr="00D3777C" w:rsidR="004E3E47">
        <w:rPr>
          <w:szCs w:val="18"/>
        </w:rPr>
        <w:t xml:space="preserve"> verlaagd worden naar €800.000. </w:t>
      </w:r>
      <w:r w:rsidRPr="00D3777C" w:rsidR="006549C2">
        <w:rPr>
          <w:szCs w:val="18"/>
        </w:rPr>
        <w:t xml:space="preserve">Verder is de vergoeding voor studieverlofuren verhoogd van €36,29 naar €46,44, zodat deze nu </w:t>
      </w:r>
      <w:r w:rsidR="00FD5899">
        <w:rPr>
          <w:szCs w:val="18"/>
        </w:rPr>
        <w:t>even hoog</w:t>
      </w:r>
      <w:r w:rsidRPr="00D3777C" w:rsidR="006549C2">
        <w:rPr>
          <w:szCs w:val="18"/>
        </w:rPr>
        <w:t xml:space="preserve"> is als</w:t>
      </w:r>
      <w:r w:rsidR="00FD5899">
        <w:rPr>
          <w:szCs w:val="18"/>
        </w:rPr>
        <w:t xml:space="preserve"> die van</w:t>
      </w:r>
      <w:r w:rsidRPr="00D3777C" w:rsidR="006549C2">
        <w:rPr>
          <w:szCs w:val="18"/>
        </w:rPr>
        <w:t xml:space="preserve"> de lerarenbeurs. </w:t>
      </w:r>
      <w:r w:rsidRPr="00D3777C" w:rsidR="00CE0475">
        <w:rPr>
          <w:szCs w:val="18"/>
        </w:rPr>
        <w:br/>
      </w:r>
    </w:p>
    <w:p w:rsidRPr="00E91343" w:rsidR="00E91343" w:rsidP="004E3E47" w:rsidRDefault="00CE0475" w14:paraId="77148420" w14:textId="6C5209CF">
      <w:pPr>
        <w:spacing w:line="240" w:lineRule="auto"/>
        <w:rPr>
          <w:szCs w:val="18"/>
        </w:rPr>
      </w:pPr>
      <w:r w:rsidRPr="00D3777C">
        <w:rPr>
          <w:szCs w:val="18"/>
        </w:rPr>
        <w:t>De evaluatie van de regeling</w:t>
      </w:r>
      <w:r w:rsidRPr="00D3777C" w:rsidR="00C63C8D">
        <w:rPr>
          <w:szCs w:val="18"/>
        </w:rPr>
        <w:t xml:space="preserve"> </w:t>
      </w:r>
      <w:r w:rsidR="00E91343">
        <w:rPr>
          <w:szCs w:val="18"/>
        </w:rPr>
        <w:t xml:space="preserve">is inmiddels uitgevoerd. Er wordt momenteel gewerkt aan een beleidsreactie en deze zal voor de zomer 2025 naar de Tweede </w:t>
      </w:r>
      <w:r w:rsidR="00E91343">
        <w:rPr>
          <w:szCs w:val="18"/>
        </w:rPr>
        <w:lastRenderedPageBreak/>
        <w:t xml:space="preserve">Kamer gestuurd worden. Hierin zal ook worden besloten op welke manier de instructeursbeurs voortgang zal vinden. </w:t>
      </w:r>
      <w:r w:rsidR="00227EF3">
        <w:rPr>
          <w:szCs w:val="18"/>
        </w:rPr>
        <w:t xml:space="preserve">Omdat dit te laat komt voor de regeling van 2025, is besloten de regeling nu voor 1 jaar uit te zetten. </w:t>
      </w:r>
    </w:p>
    <w:p w:rsidR="00A55A8A" w:rsidP="004E3E47" w:rsidRDefault="00A55A8A" w14:paraId="66B771EB" w14:textId="77777777">
      <w:pPr>
        <w:spacing w:line="240" w:lineRule="auto"/>
        <w:rPr>
          <w:szCs w:val="18"/>
        </w:rPr>
      </w:pPr>
    </w:p>
    <w:p w:rsidR="00A55A8A" w:rsidP="004E3E47" w:rsidRDefault="00A55A8A" w14:paraId="7C55C4CC" w14:textId="048BD698">
      <w:pPr>
        <w:spacing w:line="240" w:lineRule="auto"/>
        <w:rPr>
          <w:szCs w:val="18"/>
        </w:rPr>
      </w:pPr>
      <w:bookmarkStart w:name="_Hlk181700679" w:id="1"/>
      <w:r>
        <w:rPr>
          <w:szCs w:val="18"/>
        </w:rPr>
        <w:t xml:space="preserve">De regeling is voorgelegd aan het </w:t>
      </w:r>
      <w:r w:rsidRPr="00A55A8A">
        <w:rPr>
          <w:szCs w:val="18"/>
        </w:rPr>
        <w:t>Adviescollege toetsing regeldruk (ATR)</w:t>
      </w:r>
      <w:r>
        <w:rPr>
          <w:szCs w:val="18"/>
        </w:rPr>
        <w:t>, die het eindoordeel “</w:t>
      </w:r>
      <w:r w:rsidRPr="00A55A8A">
        <w:rPr>
          <w:szCs w:val="18"/>
        </w:rPr>
        <w:t>Niet indienen / vaststellen, tenzij met de adviespunten rekening wordt gehouden</w:t>
      </w:r>
      <w:r>
        <w:rPr>
          <w:szCs w:val="18"/>
        </w:rPr>
        <w:t xml:space="preserve">” </w:t>
      </w:r>
      <w:r w:rsidR="008F2C94">
        <w:rPr>
          <w:szCs w:val="18"/>
        </w:rPr>
        <w:t xml:space="preserve">(dictum 3) </w:t>
      </w:r>
      <w:r>
        <w:rPr>
          <w:szCs w:val="18"/>
        </w:rPr>
        <w:t xml:space="preserve">heeft gegeven. Het Adviescollege adviseert om de regeling uitsluitend open te stellen voor instructeurs </w:t>
      </w:r>
      <w:r w:rsidRPr="00FD5899">
        <w:rPr>
          <w:szCs w:val="18"/>
        </w:rPr>
        <w:t>die al onder de oorspronkelijke regeling subsidie kregen voor het volgen van een meerjarige opleiding.</w:t>
      </w:r>
      <w:r w:rsidR="00D823EB">
        <w:rPr>
          <w:szCs w:val="18"/>
        </w:rPr>
        <w:t xml:space="preserve"> Dit betekent dat er geen initiële aanvragen kunnen worden gedaan, enkel aanvragen voor het 2</w:t>
      </w:r>
      <w:r w:rsidRPr="00FD5899" w:rsidR="00D823EB">
        <w:rPr>
          <w:szCs w:val="18"/>
          <w:vertAlign w:val="superscript"/>
        </w:rPr>
        <w:t>e</w:t>
      </w:r>
      <w:r w:rsidR="00D823EB">
        <w:rPr>
          <w:szCs w:val="18"/>
        </w:rPr>
        <w:t xml:space="preserve"> of 3</w:t>
      </w:r>
      <w:r w:rsidRPr="00FD5899" w:rsidR="00D823EB">
        <w:rPr>
          <w:szCs w:val="18"/>
          <w:vertAlign w:val="superscript"/>
        </w:rPr>
        <w:t>e</w:t>
      </w:r>
      <w:r w:rsidR="00D823EB">
        <w:rPr>
          <w:szCs w:val="18"/>
        </w:rPr>
        <w:t xml:space="preserve"> jaar van de studie.</w:t>
      </w:r>
      <w:r>
        <w:rPr>
          <w:szCs w:val="18"/>
        </w:rPr>
        <w:t xml:space="preserve"> De reden hiervoor</w:t>
      </w:r>
      <w:r w:rsidR="00D823EB">
        <w:rPr>
          <w:szCs w:val="18"/>
        </w:rPr>
        <w:t xml:space="preserve"> vanuit de ATR</w:t>
      </w:r>
      <w:r>
        <w:rPr>
          <w:szCs w:val="18"/>
        </w:rPr>
        <w:t xml:space="preserve"> is dat dit een minder belastend alternatief </w:t>
      </w:r>
      <w:r w:rsidR="00D823EB">
        <w:rPr>
          <w:szCs w:val="18"/>
        </w:rPr>
        <w:t>zou zijn</w:t>
      </w:r>
      <w:r>
        <w:rPr>
          <w:szCs w:val="18"/>
        </w:rPr>
        <w:t xml:space="preserve"> ten opzichte van het volledig voortzetten van de regeling. </w:t>
      </w:r>
    </w:p>
    <w:p w:rsidR="00E700C8" w:rsidP="0032529B" w:rsidRDefault="00E700C8" w14:paraId="5C716DC3" w14:textId="77777777">
      <w:pPr>
        <w:spacing w:line="240" w:lineRule="auto"/>
        <w:rPr>
          <w:szCs w:val="18"/>
        </w:rPr>
      </w:pPr>
    </w:p>
    <w:bookmarkEnd w:id="1"/>
    <w:p w:rsidR="0052761F" w:rsidP="0052761F" w:rsidRDefault="0052761F" w14:paraId="2A42595C" w14:textId="7C72563B">
      <w:pPr>
        <w:autoSpaceDE w:val="0"/>
        <w:autoSpaceDN w:val="0"/>
        <w:rPr>
          <w:rFonts w:ascii="Calibri" w:hAnsi="Calibri"/>
          <w:sz w:val="22"/>
          <w:szCs w:val="22"/>
        </w:rPr>
      </w:pPr>
      <w:r w:rsidRPr="0052761F">
        <w:t xml:space="preserve">Wij adviseren om dit advies terzijde te leggen en de regeling ook voor initiële aanvragen open te stellen. </w:t>
      </w:r>
      <w:r w:rsidRPr="0052761F">
        <w:rPr>
          <w:color w:val="0D0D0D"/>
        </w:rPr>
        <w:t>Vanuit de Werkagenda mbo wordt ingezet op het versterken van het carrièreperspectief van onderwijspersoneel, onder andere door in te zetten op professionalisering.</w:t>
      </w:r>
      <w:r w:rsidRPr="0052761F">
        <w:rPr>
          <w:i/>
          <w:iCs/>
          <w:color w:val="0D0D0D"/>
        </w:rPr>
        <w:t xml:space="preserve"> </w:t>
      </w:r>
      <w:r w:rsidRPr="0052761F">
        <w:rPr>
          <w:color w:val="0D0D0D"/>
        </w:rPr>
        <w:t>De lerarenbeurs en instructeursbeurs zijn daarnaast ook belangrijke stimulerende maatregelen om de professionalisering te verbeteren, omdat</w:t>
      </w:r>
      <w:r w:rsidRPr="0052761F">
        <w:rPr>
          <w:i/>
          <w:iCs/>
          <w:color w:val="0D0D0D"/>
        </w:rPr>
        <w:t xml:space="preserve"> </w:t>
      </w:r>
      <w:r w:rsidRPr="0052761F">
        <w:rPr>
          <w:color w:val="0D0D0D"/>
        </w:rPr>
        <w:t>docenten zich via de lerarenbeurs kunnen professionaliseren, en instructeurs via de instructeursbeurs. De instructeursbeurs zorgt niet alleen voor de verbetering van de kwaliteit van instructeurs en het behouden van deze groep, veel instructeurs gebruiken de beurs ook om door te stromen naar een functie als docent, waarmee de beurs bijdraagt aan het terugdringen van het lerarentekort</w:t>
      </w:r>
      <w:r w:rsidRPr="0052761F">
        <w:rPr>
          <w:color w:val="0D0D0D"/>
          <w:shd w:val="clear" w:color="auto" w:fill="FFFFFF"/>
        </w:rPr>
        <w:t>.</w:t>
      </w:r>
      <w:r w:rsidR="00227EF3">
        <w:rPr>
          <w:color w:val="0D0D0D"/>
          <w:shd w:val="clear" w:color="auto" w:fill="FFFFFF"/>
        </w:rPr>
        <w:t xml:space="preserve"> </w:t>
      </w:r>
      <w:r w:rsidRPr="0052761F">
        <w:rPr>
          <w:color w:val="0D0D0D"/>
          <w:shd w:val="clear" w:color="auto" w:fill="FFFFFF"/>
        </w:rPr>
        <w:t>Daarom zijn deze beurzen ook onderdeel van de lerarenstrategie.</w:t>
      </w:r>
      <w:r w:rsidRPr="0052761F">
        <w:rPr>
          <w:i/>
          <w:iCs/>
          <w:color w:val="0D0D0D"/>
          <w:shd w:val="clear" w:color="auto" w:fill="FFFFFF"/>
        </w:rPr>
        <w:t xml:space="preserve"> </w:t>
      </w:r>
      <w:r w:rsidRPr="0052761F">
        <w:rPr>
          <w:color w:val="0D0D0D"/>
          <w:shd w:val="clear" w:color="auto" w:fill="FFFFFF"/>
        </w:rPr>
        <w:t>Omdat de lerarenbeurs beschikbaar is voor docenten in het mbo, zou het onnodig onderscheid veroorzaken om de beurs voor instructeurs enkel beschikbaar te stellen voor degenen die al eerder een aanvraag hebben gedaan. De adviezen van de ATR over de regeldrukparagraaf zijn meegenomen in de regeling, en hun verdere adviezen worden meegenomen in de evaluatie en zullen bij een eventueel volgende versie van de regeling worden geïmplementeerd.</w:t>
      </w:r>
      <w:r>
        <w:rPr>
          <w:color w:val="0D0D0D"/>
          <w:shd w:val="clear" w:color="auto" w:fill="FFFFFF"/>
        </w:rPr>
        <w:t xml:space="preserve"> </w:t>
      </w:r>
    </w:p>
    <w:p w:rsidR="006F6C83" w:rsidRDefault="00C009EF" w14:paraId="1580D842" w14:textId="3CB72010">
      <w:pPr>
        <w:spacing w:line="240" w:lineRule="auto"/>
        <w:rPr>
          <w:szCs w:val="18"/>
        </w:rPr>
      </w:pPr>
      <w:r w:rsidRPr="009A1115">
        <w:rPr>
          <w:rFonts w:ascii="Times New Roman" w:hAnsi="Times New Roman"/>
          <w:sz w:val="22"/>
          <w:szCs w:val="22"/>
        </w:rPr>
        <w:br/>
      </w:r>
      <w:r w:rsidR="00615165">
        <w:rPr>
          <w:szCs w:val="18"/>
        </w:rPr>
        <w:t>Deze nota bevat een bijlage met de afwegingen die zijn gemaakt bij de totstandkoming van de regeling.</w:t>
      </w:r>
    </w:p>
    <w:p w:rsidR="00D3777C" w:rsidRDefault="00D3777C" w14:paraId="4BE4C095" w14:textId="77777777">
      <w:pPr>
        <w:spacing w:line="240" w:lineRule="auto"/>
        <w:rPr>
          <w:szCs w:val="18"/>
        </w:rPr>
      </w:pPr>
    </w:p>
    <w:p w:rsidR="00D3777C" w:rsidRDefault="00D3777C" w14:paraId="439190A9" w14:textId="77777777">
      <w:pPr>
        <w:spacing w:line="240" w:lineRule="auto"/>
        <w:rPr>
          <w:szCs w:val="18"/>
        </w:rPr>
      </w:pPr>
    </w:p>
    <w:p w:rsidR="00D3777C" w:rsidRDefault="00D3777C" w14:paraId="4679704E" w14:textId="77777777">
      <w:pPr>
        <w:spacing w:line="240" w:lineRule="auto"/>
        <w:rPr>
          <w:szCs w:val="18"/>
        </w:rPr>
      </w:pPr>
    </w:p>
    <w:p w:rsidR="00D3777C" w:rsidRDefault="00D3777C" w14:paraId="1046A11A" w14:textId="77777777">
      <w:pPr>
        <w:spacing w:line="240" w:lineRule="auto"/>
        <w:rPr>
          <w:szCs w:val="18"/>
        </w:rPr>
      </w:pPr>
    </w:p>
    <w:p w:rsidR="00D3777C" w:rsidRDefault="00D3777C" w14:paraId="23A22F97" w14:textId="77777777">
      <w:pPr>
        <w:spacing w:line="240" w:lineRule="auto"/>
        <w:rPr>
          <w:szCs w:val="18"/>
        </w:rPr>
      </w:pPr>
    </w:p>
    <w:p w:rsidR="00D3777C" w:rsidRDefault="00D3777C" w14:paraId="25E4C2C1" w14:textId="77777777">
      <w:pPr>
        <w:spacing w:line="240" w:lineRule="auto"/>
        <w:rPr>
          <w:szCs w:val="18"/>
        </w:rPr>
      </w:pPr>
    </w:p>
    <w:p w:rsidR="00D3777C" w:rsidRDefault="00D3777C" w14:paraId="1749FD3E" w14:textId="77777777">
      <w:pPr>
        <w:spacing w:line="240" w:lineRule="auto"/>
        <w:rPr>
          <w:szCs w:val="18"/>
        </w:rPr>
      </w:pPr>
    </w:p>
    <w:p w:rsidR="00D3777C" w:rsidRDefault="00D3777C" w14:paraId="61CCBA9A" w14:textId="77777777">
      <w:pPr>
        <w:spacing w:line="240" w:lineRule="auto"/>
        <w:rPr>
          <w:szCs w:val="18"/>
        </w:rPr>
      </w:pPr>
    </w:p>
    <w:p w:rsidR="00D3777C" w:rsidRDefault="00D3777C" w14:paraId="0302C1D9" w14:textId="77777777">
      <w:pPr>
        <w:spacing w:line="240" w:lineRule="auto"/>
        <w:rPr>
          <w:szCs w:val="18"/>
        </w:rPr>
      </w:pPr>
    </w:p>
    <w:p w:rsidR="00D3777C" w:rsidRDefault="00D3777C" w14:paraId="7D783E1B" w14:textId="77777777">
      <w:pPr>
        <w:spacing w:line="240" w:lineRule="auto"/>
        <w:rPr>
          <w:szCs w:val="18"/>
        </w:rPr>
      </w:pPr>
    </w:p>
    <w:p w:rsidR="00D3777C" w:rsidRDefault="00D3777C" w14:paraId="00D3EA42" w14:textId="77777777">
      <w:pPr>
        <w:spacing w:line="240" w:lineRule="auto"/>
        <w:rPr>
          <w:szCs w:val="18"/>
        </w:rPr>
      </w:pPr>
    </w:p>
    <w:p w:rsidR="00D3777C" w:rsidRDefault="00D3777C" w14:paraId="40C34C58" w14:textId="77777777">
      <w:pPr>
        <w:spacing w:line="240" w:lineRule="auto"/>
        <w:rPr>
          <w:szCs w:val="18"/>
        </w:rPr>
      </w:pPr>
    </w:p>
    <w:p w:rsidR="00C74B0F" w:rsidRDefault="00C74B0F" w14:paraId="460BDB8B" w14:textId="77777777">
      <w:pPr>
        <w:spacing w:line="240" w:lineRule="auto"/>
        <w:rPr>
          <w:szCs w:val="18"/>
        </w:rPr>
      </w:pPr>
    </w:p>
    <w:p w:rsidR="00D3777C" w:rsidRDefault="00D3777C" w14:paraId="37026933" w14:textId="77777777">
      <w:pPr>
        <w:spacing w:line="240" w:lineRule="auto"/>
        <w:rPr>
          <w:szCs w:val="18"/>
        </w:rPr>
      </w:pPr>
    </w:p>
    <w:p w:rsidR="00D823EB" w:rsidRDefault="00D823EB" w14:paraId="16ACB87D" w14:textId="77777777">
      <w:pPr>
        <w:spacing w:line="240" w:lineRule="auto"/>
        <w:rPr>
          <w:szCs w:val="18"/>
        </w:rPr>
      </w:pPr>
    </w:p>
    <w:p w:rsidR="00D05403" w:rsidP="006F6C83" w:rsidRDefault="00615165" w14:paraId="242D4829" w14:textId="16415915">
      <w:pPr>
        <w:spacing w:line="240" w:lineRule="auto"/>
        <w:rPr>
          <w:b/>
          <w:szCs w:val="18"/>
        </w:rPr>
      </w:pPr>
      <w:r>
        <w:rPr>
          <w:b/>
          <w:szCs w:val="18"/>
        </w:rPr>
        <w:lastRenderedPageBreak/>
        <w:t xml:space="preserve">Bijlage met informatie over de regeling </w:t>
      </w:r>
    </w:p>
    <w:p w:rsidR="00D05403" w:rsidP="00D05403" w:rsidRDefault="00D05403" w14:paraId="1AC2979F" w14:textId="77777777">
      <w:pPr>
        <w:rPr>
          <w:szCs w:val="18"/>
        </w:rPr>
      </w:pPr>
    </w:p>
    <w:p w:rsidR="00D05403" w:rsidP="00D05403" w:rsidRDefault="00615165" w14:paraId="363F6E74"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r>
        <w:rPr>
          <w:b/>
          <w:szCs w:val="18"/>
        </w:rPr>
        <w:t>1. Wat is het probleem en de aanleiding voor de subsidieregeling?</w:t>
      </w:r>
    </w:p>
    <w:p w:rsidR="006F6C83" w:rsidP="006F6C83" w:rsidRDefault="006F6C83" w14:paraId="5345FE8E" w14:textId="77777777">
      <w:pPr>
        <w:tabs>
          <w:tab w:val="left" w:pos="680"/>
          <w:tab w:val="left" w:pos="907"/>
          <w:tab w:val="left" w:pos="1134"/>
          <w:tab w:val="left" w:pos="1361"/>
          <w:tab w:val="left" w:pos="1588"/>
          <w:tab w:val="left" w:pos="1814"/>
          <w:tab w:val="left" w:pos="2041"/>
        </w:tabs>
        <w:autoSpaceDE w:val="0"/>
        <w:autoSpaceDN w:val="0"/>
        <w:adjustRightInd w:val="0"/>
        <w:rPr>
          <w:b/>
          <w:szCs w:val="18"/>
        </w:rPr>
      </w:pPr>
    </w:p>
    <w:p w:rsidRPr="00A55A8A" w:rsidR="00D05403" w:rsidP="006F6C83" w:rsidRDefault="006F6C83" w14:paraId="41232EB8" w14:textId="1FEB5070">
      <w:pPr>
        <w:tabs>
          <w:tab w:val="left" w:pos="680"/>
          <w:tab w:val="left" w:pos="907"/>
          <w:tab w:val="left" w:pos="1134"/>
          <w:tab w:val="left" w:pos="1361"/>
          <w:tab w:val="left" w:pos="1588"/>
          <w:tab w:val="left" w:pos="1814"/>
          <w:tab w:val="left" w:pos="2041"/>
        </w:tabs>
        <w:autoSpaceDE w:val="0"/>
        <w:autoSpaceDN w:val="0"/>
        <w:adjustRightInd w:val="0"/>
        <w:rPr>
          <w:rFonts w:cs="Segoe UI"/>
          <w:color w:val="0D0D0D"/>
          <w:shd w:val="clear" w:color="auto" w:fill="FFFFFF"/>
        </w:rPr>
      </w:pPr>
      <w:r w:rsidRPr="006F6C83">
        <w:rPr>
          <w:rFonts w:cs="Segoe UI"/>
          <w:color w:val="0D0D0D"/>
          <w:shd w:val="clear" w:color="auto" w:fill="FFFFFF"/>
        </w:rPr>
        <w:t xml:space="preserve">De aanleiding van deze regeling is dat lopende de evaluatie van de Subsidieregeling instructeursbeurs mbo de subsidie beschikbaar is voor instructeurs. In de nieuwe regeling is het subsidieplafond verlaagd omdat er bij de vorige regeling sprake was van onderuitputting. De regeling loopt voor 1 jaar, in afwachting van de evaluatie naar de doeltreffendheid en doelmatigheid van de regeling, die eind 2024 verwacht wordt. </w:t>
      </w:r>
      <w:r w:rsidRPr="00E912C7" w:rsidR="00E912C7">
        <w:rPr>
          <w:rFonts w:cs="Segoe UI"/>
          <w:color w:val="0D0D0D"/>
          <w:shd w:val="clear" w:color="auto" w:fill="FFFFFF"/>
        </w:rPr>
        <w:br/>
      </w:r>
    </w:p>
    <w:p w:rsidR="00D05403" w:rsidP="00D05403" w:rsidRDefault="00615165" w14:paraId="7DC42D18" w14:textId="214DBBCA">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r>
        <w:rPr>
          <w:b/>
          <w:szCs w:val="18"/>
        </w:rPr>
        <w:t>2. Wie zijn betrokkenen?</w:t>
      </w:r>
      <w:r w:rsidR="007254D3">
        <w:rPr>
          <w:b/>
          <w:szCs w:val="18"/>
        </w:rPr>
        <w:br/>
      </w:r>
    </w:p>
    <w:p w:rsidRPr="007254D3" w:rsidR="00C009EF" w:rsidP="00C009EF" w:rsidRDefault="00C009EF" w14:paraId="715174B4"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De direct belanghebbenden bij de Subsidieregeling instructeursbeurs mbo zijn:</w:t>
      </w:r>
    </w:p>
    <w:p w:rsidRPr="007254D3" w:rsidR="00C009EF" w:rsidP="00C009EF" w:rsidRDefault="00C009EF" w14:paraId="5CF71EA4" w14:textId="77777777">
      <w:pPr>
        <w:numPr>
          <w:ilvl w:val="0"/>
          <w:numId w:val="22"/>
        </w:num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Instructeurs in het Middelbaar Beroepsonderwijs (mbo):</w:t>
      </w:r>
    </w:p>
    <w:p w:rsidRPr="007254D3" w:rsidR="00C009EF" w:rsidP="00C009EF" w:rsidRDefault="00C009EF" w14:paraId="0F5F6029" w14:textId="7FF4BEEF">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 xml:space="preserve">Zij </w:t>
      </w:r>
      <w:r w:rsidR="0059296F">
        <w:rPr>
          <w:bCs/>
          <w:szCs w:val="18"/>
        </w:rPr>
        <w:t>kunnen doordat de instelling subsidie ontvangt</w:t>
      </w:r>
      <w:r w:rsidRPr="007254D3" w:rsidR="0059296F">
        <w:rPr>
          <w:bCs/>
          <w:szCs w:val="18"/>
        </w:rPr>
        <w:t xml:space="preserve"> </w:t>
      </w:r>
      <w:r w:rsidR="0059296F">
        <w:rPr>
          <w:bCs/>
          <w:szCs w:val="18"/>
        </w:rPr>
        <w:t xml:space="preserve">voor </w:t>
      </w:r>
      <w:r w:rsidRPr="007254D3">
        <w:rPr>
          <w:bCs/>
          <w:szCs w:val="18"/>
        </w:rPr>
        <w:t>studiekosten en studieverlof</w:t>
      </w:r>
      <w:r w:rsidR="0059296F">
        <w:rPr>
          <w:bCs/>
          <w:szCs w:val="18"/>
        </w:rPr>
        <w:t>kosten</w:t>
      </w:r>
      <w:r w:rsidRPr="007254D3">
        <w:rPr>
          <w:bCs/>
          <w:szCs w:val="18"/>
        </w:rPr>
        <w:t>, hun kwalificaties verbeteren door het volgen van een bachelor- of associate degree-opleiding.</w:t>
      </w:r>
    </w:p>
    <w:p w:rsidRPr="007254D3" w:rsidR="00C009EF" w:rsidP="00C009EF" w:rsidRDefault="00C009EF" w14:paraId="58F8AB8E" w14:textId="5179F8F4">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Instructeurs profiteren van financiële ondersteuning, waardoor zij minder</w:t>
      </w:r>
      <w:r w:rsidR="0059296F">
        <w:rPr>
          <w:bCs/>
          <w:szCs w:val="18"/>
        </w:rPr>
        <w:t>/geen</w:t>
      </w:r>
      <w:r w:rsidR="0015348F">
        <w:rPr>
          <w:bCs/>
          <w:szCs w:val="18"/>
        </w:rPr>
        <w:t xml:space="preserve"> </w:t>
      </w:r>
      <w:r w:rsidRPr="007254D3">
        <w:rPr>
          <w:bCs/>
          <w:szCs w:val="18"/>
        </w:rPr>
        <w:t>persoonlijke financiële lasten dragen tijdens hun studie.</w:t>
      </w:r>
    </w:p>
    <w:p w:rsidRPr="007254D3" w:rsidR="00C009EF" w:rsidP="00C009EF" w:rsidRDefault="00C009EF" w14:paraId="56DA5C4C" w14:textId="77777777">
      <w:pPr>
        <w:numPr>
          <w:ilvl w:val="0"/>
          <w:numId w:val="22"/>
        </w:num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Bevoegd Gezag (Scholen en Onderwijsinstellingen):</w:t>
      </w:r>
    </w:p>
    <w:p w:rsidR="00C009EF" w:rsidP="00C009EF" w:rsidRDefault="00C009EF" w14:paraId="1213B72A" w14:textId="5BB3DF07">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 xml:space="preserve">Scholen en onderwijsinstellingen in het mbo die de instructeurs in dienst hebben en namens hen subsidies voor studieverlof </w:t>
      </w:r>
      <w:r w:rsidR="0059296F">
        <w:rPr>
          <w:bCs/>
          <w:szCs w:val="18"/>
        </w:rPr>
        <w:t>ontvangen</w:t>
      </w:r>
      <w:r w:rsidRPr="007254D3">
        <w:rPr>
          <w:bCs/>
          <w:szCs w:val="18"/>
        </w:rPr>
        <w:t>.</w:t>
      </w:r>
    </w:p>
    <w:p w:rsidRPr="007254D3" w:rsidR="0059296F" w:rsidP="00C009EF" w:rsidRDefault="0059296F" w14:paraId="435F7AFE" w14:textId="720E71BD">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Pr>
          <w:bCs/>
          <w:szCs w:val="18"/>
        </w:rPr>
        <w:t xml:space="preserve">De instellingen ontvangen subsidie voor de verlofkosten wat ook een positief financieel aspect is voor het bevoegd gezag. </w:t>
      </w:r>
    </w:p>
    <w:p w:rsidRPr="007254D3" w:rsidR="00C009EF" w:rsidP="00C009EF" w:rsidRDefault="0059296F" w14:paraId="19667AC9" w14:textId="2FB6547F">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Pr>
          <w:bCs/>
          <w:szCs w:val="18"/>
        </w:rPr>
        <w:t>Hierdoor profiteren deze</w:t>
      </w:r>
      <w:r w:rsidRPr="007254D3">
        <w:rPr>
          <w:bCs/>
          <w:szCs w:val="18"/>
        </w:rPr>
        <w:t xml:space="preserve"> </w:t>
      </w:r>
      <w:r w:rsidRPr="007254D3" w:rsidR="00C009EF">
        <w:rPr>
          <w:bCs/>
          <w:szCs w:val="18"/>
        </w:rPr>
        <w:t>instellingen van beter opgeleide instructeurs</w:t>
      </w:r>
      <w:r>
        <w:rPr>
          <w:bCs/>
          <w:szCs w:val="18"/>
        </w:rPr>
        <w:t xml:space="preserve"> zonder kosten die de instelling hoeft te maken</w:t>
      </w:r>
      <w:r w:rsidRPr="007254D3" w:rsidR="00C009EF">
        <w:rPr>
          <w:bCs/>
          <w:szCs w:val="18"/>
        </w:rPr>
        <w:t xml:space="preserve">, wat kan bijdragen aan de </w:t>
      </w:r>
      <w:r>
        <w:rPr>
          <w:bCs/>
          <w:szCs w:val="18"/>
        </w:rPr>
        <w:t xml:space="preserve">efficiency en </w:t>
      </w:r>
      <w:r w:rsidRPr="007254D3" w:rsidR="00C009EF">
        <w:rPr>
          <w:bCs/>
          <w:szCs w:val="18"/>
        </w:rPr>
        <w:t xml:space="preserve">kwaliteit van het onderwijs dat </w:t>
      </w:r>
      <w:r>
        <w:rPr>
          <w:bCs/>
          <w:szCs w:val="18"/>
        </w:rPr>
        <w:t>instructeurs</w:t>
      </w:r>
      <w:r w:rsidRPr="007254D3">
        <w:rPr>
          <w:bCs/>
          <w:szCs w:val="18"/>
        </w:rPr>
        <w:t xml:space="preserve"> </w:t>
      </w:r>
      <w:r w:rsidRPr="007254D3" w:rsidR="00C009EF">
        <w:rPr>
          <w:bCs/>
          <w:szCs w:val="18"/>
        </w:rPr>
        <w:t>aanbieden.</w:t>
      </w:r>
    </w:p>
    <w:p w:rsidRPr="007254D3" w:rsidR="00C009EF" w:rsidP="00C009EF" w:rsidRDefault="00C009EF" w14:paraId="0B813129" w14:textId="77777777">
      <w:pPr>
        <w:numPr>
          <w:ilvl w:val="0"/>
          <w:numId w:val="22"/>
        </w:num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Ministerie van Onderwijs, Cultuur en Wetenschap (OCW):</w:t>
      </w:r>
    </w:p>
    <w:p w:rsidRPr="007254D3" w:rsidR="00C009EF" w:rsidP="00C009EF" w:rsidRDefault="00C009EF" w14:paraId="7647B7F3" w14:textId="6778D2A9">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 xml:space="preserve">Dit ministerie is verantwoordelijk voor </w:t>
      </w:r>
      <w:r w:rsidR="0059296F">
        <w:rPr>
          <w:bCs/>
          <w:szCs w:val="18"/>
        </w:rPr>
        <w:t>het opstellen, wijzigen en onderhouden van de regeling en eindverantwoordelijk voor de uitvoering en handhaving van de regeling door DUO.</w:t>
      </w:r>
    </w:p>
    <w:p w:rsidRPr="007254D3" w:rsidR="00C009EF" w:rsidP="00C009EF" w:rsidRDefault="00C009EF" w14:paraId="2A441C80" w14:textId="77777777">
      <w:pPr>
        <w:numPr>
          <w:ilvl w:val="0"/>
          <w:numId w:val="22"/>
        </w:num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Dienst Uitvoering Onderwijs (DUO):</w:t>
      </w:r>
    </w:p>
    <w:p w:rsidRPr="007254D3" w:rsidR="00C009EF" w:rsidP="00C009EF" w:rsidRDefault="00C009EF" w14:paraId="1206207C" w14:textId="62E22366">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DUO faciliteert het aanvraagproces en de uitbetaling van de subsidies.</w:t>
      </w:r>
      <w:r w:rsidR="0059296F">
        <w:rPr>
          <w:bCs/>
          <w:szCs w:val="18"/>
        </w:rPr>
        <w:t xml:space="preserve"> Zij zijn tevens belast met de uitvoering en handhaving van de regeling.</w:t>
      </w:r>
    </w:p>
    <w:p w:rsidRPr="007254D3" w:rsidR="00C009EF" w:rsidP="0015348F" w:rsidRDefault="0059296F" w14:paraId="2A5D4329" w14:textId="21369954">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Pr>
          <w:bCs/>
          <w:szCs w:val="18"/>
        </w:rPr>
        <w:t>Indirect belanghebbenden van deze regeling zijn de s</w:t>
      </w:r>
      <w:r w:rsidRPr="007254D3" w:rsidR="00C009EF">
        <w:rPr>
          <w:bCs/>
          <w:szCs w:val="18"/>
        </w:rPr>
        <w:t>tudenten in het mbo</w:t>
      </w:r>
      <w:r>
        <w:rPr>
          <w:bCs/>
          <w:szCs w:val="18"/>
        </w:rPr>
        <w:t xml:space="preserve"> </w:t>
      </w:r>
      <w:r w:rsidRPr="007254D3" w:rsidR="00C009EF">
        <w:rPr>
          <w:bCs/>
          <w:szCs w:val="18"/>
        </w:rPr>
        <w:t>:</w:t>
      </w:r>
    </w:p>
    <w:p w:rsidRPr="00D3777C" w:rsidR="00C009EF" w:rsidP="00D3777C" w:rsidRDefault="00C009EF" w14:paraId="45E4EA34" w14:textId="25FB4BE5">
      <w:pPr>
        <w:numPr>
          <w:ilvl w:val="1"/>
          <w:numId w:val="22"/>
        </w:numPr>
        <w:tabs>
          <w:tab w:val="clear" w:pos="1440"/>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Cs/>
          <w:szCs w:val="18"/>
        </w:rPr>
      </w:pPr>
      <w:r w:rsidRPr="007254D3">
        <w:rPr>
          <w:bCs/>
          <w:szCs w:val="18"/>
        </w:rPr>
        <w:t>Indirect profiteren de mbo-studenten van beter gekwalificeerde instructeurs, wat de kwaliteit van het onderwijs en hun leerervaring verbetert.</w:t>
      </w:r>
    </w:p>
    <w:p w:rsidR="00C009EF" w:rsidP="00153DEA" w:rsidRDefault="00C009EF" w14:paraId="02BE65BB"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ind w:left="360"/>
        <w:rPr>
          <w:szCs w:val="18"/>
        </w:rPr>
      </w:pPr>
    </w:p>
    <w:p w:rsidR="00B0243B" w:rsidP="00153DEA" w:rsidRDefault="00B0243B" w14:paraId="262E59D9"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ind w:left="360"/>
        <w:rPr>
          <w:szCs w:val="18"/>
        </w:rPr>
      </w:pPr>
    </w:p>
    <w:p w:rsidRPr="00153DEA" w:rsidR="00B0243B" w:rsidP="00153DEA" w:rsidRDefault="00B0243B" w14:paraId="33BD7593"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ind w:left="360"/>
        <w:rPr>
          <w:szCs w:val="18"/>
        </w:rPr>
      </w:pPr>
    </w:p>
    <w:p w:rsidR="005169C3" w:rsidP="00AD7B8D" w:rsidRDefault="00615165" w14:paraId="52054AD2"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r>
        <w:rPr>
          <w:b/>
          <w:szCs w:val="18"/>
        </w:rPr>
        <w:lastRenderedPageBreak/>
        <w:t>3. Wat is het doel van de subsidieregeling?</w:t>
      </w:r>
    </w:p>
    <w:p w:rsidRPr="001818F4" w:rsidR="00601A57" w:rsidP="00601A57" w:rsidRDefault="00AD7B8D" w14:paraId="44AA5C29" w14:textId="77777777">
      <w:pPr>
        <w:tabs>
          <w:tab w:val="left" w:pos="284"/>
        </w:tabs>
        <w:rPr>
          <w:szCs w:val="18"/>
        </w:rPr>
      </w:pPr>
      <w:r>
        <w:rPr>
          <w:b/>
          <w:szCs w:val="18"/>
        </w:rPr>
        <w:br/>
      </w:r>
    </w:p>
    <w:p w:rsidRPr="00E912C7" w:rsidR="00DD48B6" w:rsidP="00B0243B" w:rsidRDefault="00601A57" w14:paraId="041B37A7" w14:textId="7E600B41">
      <w:pPr>
        <w:tabs>
          <w:tab w:val="left" w:pos="284"/>
        </w:tabs>
        <w:rPr>
          <w:szCs w:val="18"/>
        </w:rPr>
      </w:pPr>
      <w:r w:rsidRPr="001818F4">
        <w:rPr>
          <w:szCs w:val="18"/>
        </w:rPr>
        <w:t xml:space="preserve">Het doel is met behulp van een instructeursbeurs (financiële) mogelijkheden te bieden aan de instructeur om zich verder te professionaliseren en de instelling compensatie te bieden voor vervangingskosten bij studieverlof. </w:t>
      </w:r>
    </w:p>
    <w:p w:rsidR="00D05403" w:rsidP="00D05403" w:rsidRDefault="00D05403" w14:paraId="2429F2F6" w14:textId="77777777">
      <w:pPr>
        <w:tabs>
          <w:tab w:val="left" w:pos="227"/>
          <w:tab w:val="left" w:pos="284"/>
          <w:tab w:val="left" w:pos="454"/>
          <w:tab w:val="left" w:pos="680"/>
        </w:tabs>
        <w:autoSpaceDE w:val="0"/>
        <w:autoSpaceDN w:val="0"/>
        <w:adjustRightInd w:val="0"/>
        <w:rPr>
          <w:szCs w:val="18"/>
        </w:rPr>
      </w:pPr>
    </w:p>
    <w:p w:rsidR="00D05403" w:rsidP="00D05403" w:rsidRDefault="00615165" w14:paraId="785A87CD" w14:textId="0CE823A8">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r>
        <w:rPr>
          <w:b/>
          <w:szCs w:val="18"/>
        </w:rPr>
        <w:t>4. Waarom een subsidieregeling en geen ander instrument?</w:t>
      </w:r>
    </w:p>
    <w:p w:rsidR="00601A57" w:rsidP="00D05403" w:rsidRDefault="00601A57" w14:paraId="66570659"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p>
    <w:p w:rsidRPr="00B0243B" w:rsidR="00D05403" w:rsidP="00D05403" w:rsidRDefault="00242A2F" w14:paraId="165A194E" w14:textId="47324B4F">
      <w:pPr>
        <w:tabs>
          <w:tab w:val="left" w:pos="227"/>
          <w:tab w:val="left" w:pos="284"/>
          <w:tab w:val="left" w:pos="454"/>
          <w:tab w:val="left" w:pos="680"/>
        </w:tabs>
        <w:autoSpaceDE w:val="0"/>
        <w:autoSpaceDN w:val="0"/>
        <w:adjustRightInd w:val="0"/>
        <w:rPr>
          <w:rFonts w:cs="Segoe UI"/>
          <w:shd w:val="clear" w:color="auto" w:fill="FFFFFF"/>
        </w:rPr>
      </w:pPr>
      <w:r w:rsidRPr="00242A2F">
        <w:rPr>
          <w:szCs w:val="18"/>
        </w:rPr>
        <w:t xml:space="preserve">Een subsidie is noodzakelijk om deze doelgroep in het mbo tegemoet te komen. </w:t>
      </w:r>
      <w:r w:rsidRPr="00242A2F">
        <w:rPr>
          <w:szCs w:val="18"/>
        </w:rPr>
        <w:br/>
      </w:r>
      <w:r w:rsidRPr="00242A2F">
        <w:rPr>
          <w:rFonts w:cs="Segoe UI"/>
          <w:shd w:val="clear" w:color="auto" w:fill="FFFFFF"/>
        </w:rPr>
        <w:t>Een subsidieregeling</w:t>
      </w:r>
      <w:r w:rsidR="005D2116">
        <w:rPr>
          <w:rFonts w:cs="Segoe UI"/>
          <w:shd w:val="clear" w:color="auto" w:fill="FFFFFF"/>
        </w:rPr>
        <w:t xml:space="preserve"> (gebaseerd op een ministeriele regeling)</w:t>
      </w:r>
      <w:r w:rsidRPr="00242A2F">
        <w:rPr>
          <w:rFonts w:cs="Segoe UI"/>
          <w:shd w:val="clear" w:color="auto" w:fill="FFFFFF"/>
        </w:rPr>
        <w:t xml:space="preserve"> is gekozen boven een </w:t>
      </w:r>
      <w:r w:rsidR="005D2116">
        <w:rPr>
          <w:rFonts w:cs="Segoe UI"/>
          <w:shd w:val="clear" w:color="auto" w:fill="FFFFFF"/>
        </w:rPr>
        <w:t>ander instrument</w:t>
      </w:r>
      <w:r w:rsidRPr="00242A2F">
        <w:rPr>
          <w:rFonts w:cs="Segoe UI"/>
          <w:shd w:val="clear" w:color="auto" w:fill="FFFFFF"/>
        </w:rPr>
        <w:t xml:space="preserve"> omdat het directe, gerichte financiële steun biedt</w:t>
      </w:r>
      <w:r w:rsidR="002E63D8">
        <w:rPr>
          <w:rFonts w:cs="Segoe UI"/>
          <w:shd w:val="clear" w:color="auto" w:fill="FFFFFF"/>
        </w:rPr>
        <w:t xml:space="preserve"> en</w:t>
      </w:r>
      <w:r w:rsidRPr="00242A2F">
        <w:rPr>
          <w:rFonts w:cs="Segoe UI"/>
          <w:shd w:val="clear" w:color="auto" w:fill="FFFFFF"/>
        </w:rPr>
        <w:t xml:space="preserve"> een direct motiverend effect heeft op instructeurs en instellingen. Deze aspecten maken het een effectie</w:t>
      </w:r>
      <w:r w:rsidR="00E57917">
        <w:rPr>
          <w:rFonts w:cs="Segoe UI"/>
          <w:shd w:val="clear" w:color="auto" w:fill="FFFFFF"/>
        </w:rPr>
        <w:t>f</w:t>
      </w:r>
      <w:r w:rsidRPr="00242A2F">
        <w:rPr>
          <w:rFonts w:cs="Segoe UI"/>
          <w:shd w:val="clear" w:color="auto" w:fill="FFFFFF"/>
        </w:rPr>
        <w:t xml:space="preserve"> instrument voor het bevorderen van de professionele ontwikkeling van instructeurs en de verbetering van de kwaliteit van het onderwijs.</w:t>
      </w:r>
      <w:r>
        <w:rPr>
          <w:rFonts w:cs="Segoe UI"/>
          <w:shd w:val="clear" w:color="auto" w:fill="FFFFFF"/>
        </w:rPr>
        <w:br/>
      </w:r>
    </w:p>
    <w:p w:rsidR="00D05403" w:rsidP="00D05403" w:rsidRDefault="00615165" w14:paraId="198971A0" w14:textId="77777777">
      <w:pPr>
        <w:tabs>
          <w:tab w:val="left" w:pos="227"/>
          <w:tab w:val="left" w:pos="284"/>
          <w:tab w:val="left" w:pos="454"/>
          <w:tab w:val="left" w:pos="680"/>
        </w:tabs>
        <w:autoSpaceDE w:val="0"/>
        <w:autoSpaceDN w:val="0"/>
        <w:adjustRightInd w:val="0"/>
        <w:rPr>
          <w:b/>
          <w:szCs w:val="18"/>
        </w:rPr>
      </w:pPr>
      <w:r>
        <w:rPr>
          <w:b/>
          <w:szCs w:val="18"/>
        </w:rPr>
        <w:t>5. Wat is de grondslag voor de subsidieregeling?</w:t>
      </w:r>
    </w:p>
    <w:p w:rsidR="00601A57" w:rsidP="00DE792B" w:rsidRDefault="00370382" w14:paraId="4CB71CF8" w14:textId="222E79FB">
      <w:pPr>
        <w:tabs>
          <w:tab w:val="left" w:pos="227"/>
          <w:tab w:val="left" w:pos="284"/>
          <w:tab w:val="left" w:pos="454"/>
          <w:tab w:val="left" w:pos="680"/>
        </w:tabs>
        <w:autoSpaceDE w:val="0"/>
        <w:autoSpaceDN w:val="0"/>
        <w:adjustRightInd w:val="0"/>
        <w:rPr>
          <w:szCs w:val="18"/>
        </w:rPr>
      </w:pPr>
      <w:r>
        <w:rPr>
          <w:rStyle w:val="wtiflow"/>
          <w:rFonts w:cs="Arial"/>
          <w:szCs w:val="18"/>
        </w:rPr>
        <w:br/>
      </w:r>
      <w:r w:rsidRPr="001818F4">
        <w:rPr>
          <w:szCs w:val="18"/>
        </w:rPr>
        <w:t>De artikelen 4 en 5 van de Wet overige OCW-subsidies en artikel 1.3 van de Kaderregeling subsidies OCW, SZW en VWS is de grondslag voor de regeling.</w:t>
      </w:r>
    </w:p>
    <w:p w:rsidRPr="00601A57" w:rsidR="00D3777C" w:rsidP="00DE792B" w:rsidRDefault="00D3777C" w14:paraId="6D07E585" w14:textId="77777777">
      <w:pPr>
        <w:tabs>
          <w:tab w:val="left" w:pos="227"/>
          <w:tab w:val="left" w:pos="284"/>
          <w:tab w:val="left" w:pos="454"/>
          <w:tab w:val="left" w:pos="680"/>
        </w:tabs>
        <w:autoSpaceDE w:val="0"/>
        <w:autoSpaceDN w:val="0"/>
        <w:adjustRightInd w:val="0"/>
        <w:rPr>
          <w:szCs w:val="18"/>
        </w:rPr>
      </w:pPr>
    </w:p>
    <w:p w:rsidRPr="00C401FB" w:rsidR="00D05403" w:rsidP="00D05403" w:rsidRDefault="008D261C" w14:paraId="3D90D75C" w14:textId="22AEB67A">
      <w:pPr>
        <w:tabs>
          <w:tab w:val="left" w:pos="227"/>
          <w:tab w:val="left" w:pos="284"/>
          <w:tab w:val="left" w:pos="454"/>
          <w:tab w:val="left" w:pos="680"/>
        </w:tabs>
        <w:autoSpaceDE w:val="0"/>
        <w:autoSpaceDN w:val="0"/>
        <w:adjustRightInd w:val="0"/>
        <w:rPr>
          <w:szCs w:val="18"/>
        </w:rPr>
      </w:pPr>
      <w:r>
        <w:rPr>
          <w:b/>
          <w:bCs/>
        </w:rPr>
        <w:t>6. Bestaat er een risico op ongeoorloofde staatssteun?</w:t>
      </w:r>
      <w:r>
        <w:rPr>
          <w:color w:val="FF0000"/>
        </w:rPr>
        <w:br/>
      </w:r>
      <w:r>
        <w:t>Er bestaat geen risico op ongeoorloofde staatssteun. Het doel van deze subsidie kan worden gezien als onderdeel van de wettelijke onderwijstaak van de bekostigde onderwijsinstellingen. Activiteiten binnen het nationaal bekostigd onderwijs worden niet als economische activiteit aangemerkt. Op grond van deze regeling kunnen alleen bekostigde onderwijsinstellingen een aanvraag doen. De bekwaamheidseisen voor instructeurs zijn niet van toepassing op het niet-bekostigd mbo-onderwijs. Tot slot worden de activiteiten materieel gezien niet gewijzigd ten opzichte van de huidige regeling.</w:t>
      </w:r>
    </w:p>
    <w:p w:rsidR="00C401FB" w:rsidP="00D05403" w:rsidRDefault="00C401FB" w14:paraId="53606407" w14:textId="77777777">
      <w:pPr>
        <w:tabs>
          <w:tab w:val="left" w:pos="227"/>
          <w:tab w:val="left" w:pos="284"/>
          <w:tab w:val="left" w:pos="454"/>
          <w:tab w:val="left" w:pos="680"/>
        </w:tabs>
        <w:autoSpaceDE w:val="0"/>
        <w:autoSpaceDN w:val="0"/>
        <w:adjustRightInd w:val="0"/>
        <w:rPr>
          <w:szCs w:val="18"/>
        </w:rPr>
      </w:pPr>
    </w:p>
    <w:p w:rsidR="00D05403" w:rsidP="00D05403" w:rsidRDefault="00615165" w14:paraId="78A2BF9B" w14:textId="6F4993F2">
      <w:pPr>
        <w:tabs>
          <w:tab w:val="left" w:pos="227"/>
          <w:tab w:val="left" w:pos="284"/>
          <w:tab w:val="left" w:pos="454"/>
          <w:tab w:val="left" w:pos="680"/>
        </w:tabs>
        <w:autoSpaceDE w:val="0"/>
        <w:autoSpaceDN w:val="0"/>
        <w:adjustRightInd w:val="0"/>
        <w:rPr>
          <w:b/>
          <w:szCs w:val="18"/>
        </w:rPr>
      </w:pPr>
      <w:r>
        <w:rPr>
          <w:b/>
          <w:szCs w:val="18"/>
        </w:rPr>
        <w:t>7. Van welk USK-arrangement is sprake en hoe is de verantwoording?</w:t>
      </w:r>
    </w:p>
    <w:p w:rsidR="00370382" w:rsidP="00DE792B" w:rsidRDefault="00370382" w14:paraId="54D31FDD" w14:textId="24E94D50">
      <w:pPr>
        <w:tabs>
          <w:tab w:val="left" w:pos="227"/>
          <w:tab w:val="left" w:pos="284"/>
          <w:tab w:val="left" w:pos="454"/>
          <w:tab w:val="left" w:pos="680"/>
        </w:tabs>
        <w:autoSpaceDE w:val="0"/>
        <w:autoSpaceDN w:val="0"/>
        <w:adjustRightInd w:val="0"/>
        <w:rPr>
          <w:szCs w:val="18"/>
        </w:rPr>
      </w:pPr>
      <w:r w:rsidRPr="001818F4">
        <w:rPr>
          <w:szCs w:val="18"/>
        </w:rPr>
        <w:t xml:space="preserve">De verantwoording door het bevoegd bezag van de subsidie voor studieverlof </w:t>
      </w:r>
      <w:r w:rsidR="00405BFE">
        <w:rPr>
          <w:szCs w:val="18"/>
        </w:rPr>
        <w:t xml:space="preserve">en studiekosten aan de instructeur </w:t>
      </w:r>
      <w:r w:rsidRPr="001818F4">
        <w:rPr>
          <w:szCs w:val="18"/>
        </w:rPr>
        <w:t>geschiedt overeenkomstig artikel 9.1 van de Kaderregeling subsidies OCW, SZW en VWS in de jaarverslaggeving, bedoeld in de Regeling jaarverslaggeving onderwijs, met model G, onderdeel 1</w:t>
      </w:r>
      <w:r w:rsidR="00D01D66">
        <w:rPr>
          <w:szCs w:val="18"/>
        </w:rPr>
        <w:t>b</w:t>
      </w:r>
      <w:r w:rsidRPr="001818F4">
        <w:rPr>
          <w:szCs w:val="18"/>
        </w:rPr>
        <w:t>, behorende bij de richtlijn RJ 660, zoals vastgesteld door de Raad voor de Jaarverslaggeving.</w:t>
      </w:r>
      <w:r w:rsidR="00D01D66">
        <w:rPr>
          <w:szCs w:val="18"/>
        </w:rPr>
        <w:t xml:space="preserve"> </w:t>
      </w:r>
      <w:r w:rsidR="00315A63">
        <w:rPr>
          <w:szCs w:val="18"/>
        </w:rPr>
        <w:t xml:space="preserve">Bij de wijziging van de regeling blijven de verantwoording en USK arrangement onveranderd. </w:t>
      </w:r>
    </w:p>
    <w:p w:rsidR="00B0243B" w:rsidP="00DE792B" w:rsidRDefault="00B0243B" w14:paraId="15BAE6BA" w14:textId="77777777">
      <w:pPr>
        <w:tabs>
          <w:tab w:val="left" w:pos="227"/>
          <w:tab w:val="left" w:pos="284"/>
          <w:tab w:val="left" w:pos="454"/>
          <w:tab w:val="left" w:pos="680"/>
        </w:tabs>
        <w:autoSpaceDE w:val="0"/>
        <w:autoSpaceDN w:val="0"/>
        <w:adjustRightInd w:val="0"/>
        <w:rPr>
          <w:szCs w:val="18"/>
        </w:rPr>
      </w:pPr>
    </w:p>
    <w:p w:rsidR="00B0243B" w:rsidP="00DE792B" w:rsidRDefault="00B0243B" w14:paraId="251635FE" w14:textId="77777777">
      <w:pPr>
        <w:tabs>
          <w:tab w:val="left" w:pos="227"/>
          <w:tab w:val="left" w:pos="284"/>
          <w:tab w:val="left" w:pos="454"/>
          <w:tab w:val="left" w:pos="680"/>
        </w:tabs>
        <w:autoSpaceDE w:val="0"/>
        <w:autoSpaceDN w:val="0"/>
        <w:adjustRightInd w:val="0"/>
        <w:rPr>
          <w:szCs w:val="18"/>
        </w:rPr>
      </w:pPr>
    </w:p>
    <w:p w:rsidR="00B0243B" w:rsidP="00DE792B" w:rsidRDefault="00B0243B" w14:paraId="1EDBD62C" w14:textId="77777777">
      <w:pPr>
        <w:tabs>
          <w:tab w:val="left" w:pos="227"/>
          <w:tab w:val="left" w:pos="284"/>
          <w:tab w:val="left" w:pos="454"/>
          <w:tab w:val="left" w:pos="680"/>
        </w:tabs>
        <w:autoSpaceDE w:val="0"/>
        <w:autoSpaceDN w:val="0"/>
        <w:adjustRightInd w:val="0"/>
        <w:rPr>
          <w:szCs w:val="18"/>
        </w:rPr>
      </w:pPr>
    </w:p>
    <w:p w:rsidR="00B0243B" w:rsidP="00DE792B" w:rsidRDefault="00B0243B" w14:paraId="45A2C563" w14:textId="77777777">
      <w:pPr>
        <w:tabs>
          <w:tab w:val="left" w:pos="227"/>
          <w:tab w:val="left" w:pos="284"/>
          <w:tab w:val="left" w:pos="454"/>
          <w:tab w:val="left" w:pos="680"/>
        </w:tabs>
        <w:autoSpaceDE w:val="0"/>
        <w:autoSpaceDN w:val="0"/>
        <w:adjustRightInd w:val="0"/>
        <w:rPr>
          <w:szCs w:val="18"/>
        </w:rPr>
      </w:pPr>
    </w:p>
    <w:p w:rsidRPr="00370382" w:rsidR="00B0243B" w:rsidP="00DE792B" w:rsidRDefault="00B0243B" w14:paraId="422E69EE" w14:textId="77777777">
      <w:pPr>
        <w:tabs>
          <w:tab w:val="left" w:pos="227"/>
          <w:tab w:val="left" w:pos="284"/>
          <w:tab w:val="left" w:pos="454"/>
          <w:tab w:val="left" w:pos="680"/>
        </w:tabs>
        <w:autoSpaceDE w:val="0"/>
        <w:autoSpaceDN w:val="0"/>
        <w:adjustRightInd w:val="0"/>
        <w:rPr>
          <w:rStyle w:val="cf01"/>
          <w:rFonts w:ascii="Verdana" w:hAnsi="Verdana" w:cs="Times New Roman"/>
        </w:rPr>
      </w:pPr>
    </w:p>
    <w:p w:rsidRPr="005D2116" w:rsidR="00E90061" w:rsidP="00D05403" w:rsidRDefault="00E90061" w14:paraId="3825AEE4" w14:textId="77777777">
      <w:pPr>
        <w:tabs>
          <w:tab w:val="left" w:pos="454"/>
          <w:tab w:val="left" w:pos="680"/>
        </w:tabs>
        <w:autoSpaceDE w:val="0"/>
        <w:autoSpaceDN w:val="0"/>
        <w:adjustRightInd w:val="0"/>
        <w:ind w:left="284" w:hanging="284"/>
        <w:rPr>
          <w:szCs w:val="18"/>
        </w:rPr>
      </w:pPr>
    </w:p>
    <w:p w:rsidRPr="005D2116" w:rsidR="00D05403" w:rsidP="00D05403" w:rsidRDefault="00615165" w14:paraId="7B7A0158" w14:textId="77777777">
      <w:pPr>
        <w:rPr>
          <w:szCs w:val="18"/>
          <w:u w:val="single"/>
        </w:rPr>
      </w:pPr>
      <w:r w:rsidRPr="005D2116">
        <w:rPr>
          <w:szCs w:val="18"/>
          <w:u w:val="single"/>
        </w:rPr>
        <w:lastRenderedPageBreak/>
        <w:t>Niet-onderwijsinstellingen / niet-bekostigde onderwijsinstellingen:</w:t>
      </w:r>
    </w:p>
    <w:p w:rsidRPr="005D2116" w:rsidR="00D05403" w:rsidP="00D05403" w:rsidRDefault="00D05403" w14:paraId="12928F92" w14:textId="77777777">
      <w:pPr>
        <w:rPr>
          <w:sz w:val="16"/>
          <w:szCs w:val="16"/>
        </w:rPr>
      </w:pPr>
    </w:p>
    <w:tbl>
      <w:tblPr>
        <w:tblW w:w="9889" w:type="dxa"/>
        <w:tblCellMar>
          <w:left w:w="0" w:type="dxa"/>
          <w:right w:w="0" w:type="dxa"/>
        </w:tblCellMar>
        <w:tblLook w:val="04A0" w:firstRow="1" w:lastRow="0" w:firstColumn="1" w:lastColumn="0" w:noHBand="0" w:noVBand="1"/>
      </w:tblPr>
      <w:tblGrid>
        <w:gridCol w:w="1951"/>
        <w:gridCol w:w="1701"/>
        <w:gridCol w:w="6237"/>
      </w:tblGrid>
      <w:tr w:rsidRPr="005D2116" w:rsidR="005D2116" w:rsidTr="00D05403" w14:paraId="73AD7FA1" w14:textId="77777777">
        <w:tc>
          <w:tcPr>
            <w:tcW w:w="19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D2116" w:rsidR="00D05403" w:rsidRDefault="00615165" w14:paraId="1B9A9E98" w14:textId="77777777">
            <w:pPr>
              <w:rPr>
                <w:sz w:val="16"/>
                <w:szCs w:val="16"/>
                <w:lang w:val="en-US"/>
              </w:rPr>
            </w:pPr>
            <w:r w:rsidRPr="005D2116">
              <w:rPr>
                <w:sz w:val="16"/>
                <w:szCs w:val="16"/>
                <w:lang w:val="en-US"/>
              </w:rPr>
              <w:t>Arrangement/bedrag</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15C2FCCC" w14:textId="77777777">
            <w:pPr>
              <w:rPr>
                <w:sz w:val="16"/>
                <w:szCs w:val="16"/>
                <w:lang w:val="en-US"/>
              </w:rPr>
            </w:pPr>
            <w:r w:rsidRPr="005D2116">
              <w:rPr>
                <w:sz w:val="16"/>
                <w:szCs w:val="16"/>
                <w:lang w:val="en-US"/>
              </w:rPr>
              <w:t>Verstrekking</w:t>
            </w:r>
          </w:p>
        </w:tc>
        <w:tc>
          <w:tcPr>
            <w:tcW w:w="623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7468CDD6" w14:textId="77777777">
            <w:pPr>
              <w:rPr>
                <w:sz w:val="16"/>
                <w:szCs w:val="16"/>
                <w:lang w:val="en-US"/>
              </w:rPr>
            </w:pPr>
            <w:r w:rsidRPr="005D2116">
              <w:rPr>
                <w:sz w:val="16"/>
                <w:szCs w:val="16"/>
                <w:lang w:val="en-US"/>
              </w:rPr>
              <w:t>Verantwoording</w:t>
            </w:r>
          </w:p>
        </w:tc>
      </w:tr>
      <w:tr w:rsidRPr="005D2116" w:rsidR="005D2116" w:rsidTr="00D05403" w14:paraId="6DC7B9EC" w14:textId="77777777">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01D66" w:rsidR="00D05403" w:rsidRDefault="00615165" w14:paraId="62062B1D" w14:textId="77777777">
            <w:pPr>
              <w:rPr>
                <w:sz w:val="16"/>
                <w:szCs w:val="16"/>
                <w:lang w:val="en-US"/>
              </w:rPr>
            </w:pPr>
            <w:r w:rsidRPr="00D01D66">
              <w:rPr>
                <w:sz w:val="16"/>
                <w:szCs w:val="16"/>
                <w:lang w:val="en-US"/>
              </w:rPr>
              <w:t>USK 1a</w:t>
            </w:r>
          </w:p>
          <w:p w:rsidRPr="00D01D66" w:rsidR="00D05403" w:rsidRDefault="00615165" w14:paraId="21B0D978" w14:textId="77777777">
            <w:pPr>
              <w:rPr>
                <w:sz w:val="16"/>
                <w:szCs w:val="16"/>
                <w:lang w:val="en-US"/>
              </w:rPr>
            </w:pPr>
            <w:r w:rsidRPr="00D01D66">
              <w:rPr>
                <w:sz w:val="16"/>
                <w:szCs w:val="16"/>
                <w:lang w:val="en-US"/>
              </w:rPr>
              <w:t>tot €25.000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D01D66" w:rsidR="00D05403" w:rsidRDefault="00615165" w14:paraId="18939395" w14:textId="77777777">
            <w:pPr>
              <w:rPr>
                <w:sz w:val="16"/>
                <w:szCs w:val="16"/>
                <w:lang w:val="en-US"/>
              </w:rPr>
            </w:pPr>
            <w:r w:rsidRPr="00D01D66">
              <w:rPr>
                <w:sz w:val="16"/>
                <w:szCs w:val="16"/>
                <w:lang w:val="en-US"/>
              </w:rPr>
              <w:t>Direct vaststellen</w:t>
            </w:r>
          </w:p>
        </w:tc>
        <w:tc>
          <w:tcPr>
            <w:tcW w:w="6237" w:type="dxa"/>
            <w:tcBorders>
              <w:top w:val="nil"/>
              <w:left w:val="nil"/>
              <w:bottom w:val="single" w:color="auto" w:sz="8" w:space="0"/>
              <w:right w:val="single" w:color="auto" w:sz="8" w:space="0"/>
            </w:tcBorders>
            <w:tcMar>
              <w:top w:w="0" w:type="dxa"/>
              <w:left w:w="108" w:type="dxa"/>
              <w:bottom w:w="0" w:type="dxa"/>
              <w:right w:w="108" w:type="dxa"/>
            </w:tcMar>
            <w:hideMark/>
          </w:tcPr>
          <w:p w:rsidRPr="00D01D66" w:rsidR="00D05403" w:rsidRDefault="00615165" w14:paraId="70917D70" w14:textId="77777777">
            <w:pPr>
              <w:rPr>
                <w:sz w:val="16"/>
                <w:szCs w:val="16"/>
              </w:rPr>
            </w:pPr>
            <w:r w:rsidRPr="00D01D66">
              <w:rPr>
                <w:sz w:val="16"/>
                <w:szCs w:val="16"/>
              </w:rPr>
              <w:t xml:space="preserve">Bij aanvraag </w:t>
            </w:r>
          </w:p>
          <w:p w:rsidRPr="00D01D66" w:rsidR="00D05403" w:rsidRDefault="00615165" w14:paraId="18862860" w14:textId="77777777">
            <w:pPr>
              <w:rPr>
                <w:sz w:val="16"/>
                <w:szCs w:val="16"/>
              </w:rPr>
            </w:pPr>
            <w:r w:rsidRPr="00D01D66">
              <w:rPr>
                <w:sz w:val="16"/>
                <w:szCs w:val="16"/>
              </w:rPr>
              <w:t>(activiteiten reeds verricht)</w:t>
            </w:r>
          </w:p>
        </w:tc>
      </w:tr>
      <w:tr w:rsidRPr="005D2116" w:rsidR="005D2116" w:rsidTr="00D05403" w14:paraId="2C38744D" w14:textId="77777777">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01D66" w:rsidR="00D05403" w:rsidRDefault="00615165" w14:paraId="223484C7" w14:textId="77777777">
            <w:pPr>
              <w:rPr>
                <w:b/>
                <w:bCs/>
                <w:sz w:val="16"/>
                <w:szCs w:val="16"/>
                <w:lang w:val="en-US"/>
              </w:rPr>
            </w:pPr>
            <w:r w:rsidRPr="00D01D66">
              <w:rPr>
                <w:b/>
                <w:bCs/>
                <w:sz w:val="16"/>
                <w:szCs w:val="16"/>
                <w:lang w:val="en-US"/>
              </w:rPr>
              <w:t>USK 1b</w:t>
            </w:r>
          </w:p>
          <w:p w:rsidRPr="00D01D66" w:rsidR="00D05403" w:rsidRDefault="00615165" w14:paraId="53D68B73" w14:textId="77777777">
            <w:pPr>
              <w:rPr>
                <w:b/>
                <w:bCs/>
                <w:sz w:val="16"/>
                <w:szCs w:val="16"/>
                <w:lang w:val="en-US"/>
              </w:rPr>
            </w:pPr>
            <w:r w:rsidRPr="00D01D66">
              <w:rPr>
                <w:b/>
                <w:bCs/>
                <w:sz w:val="16"/>
                <w:szCs w:val="16"/>
                <w:lang w:val="en-US"/>
              </w:rPr>
              <w:t>tot €25.000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D01D66" w:rsidR="00D05403" w:rsidRDefault="00615165" w14:paraId="68B0ADB7" w14:textId="77777777">
            <w:pPr>
              <w:rPr>
                <w:b/>
                <w:bCs/>
                <w:sz w:val="16"/>
                <w:szCs w:val="16"/>
                <w:lang w:val="en-US"/>
              </w:rPr>
            </w:pPr>
            <w:r w:rsidRPr="00D01D66">
              <w:rPr>
                <w:b/>
                <w:bCs/>
                <w:sz w:val="16"/>
                <w:szCs w:val="16"/>
                <w:lang w:val="en-US"/>
              </w:rPr>
              <w:t>Verlenen en ambtshalve vaststellen</w:t>
            </w:r>
          </w:p>
        </w:tc>
        <w:tc>
          <w:tcPr>
            <w:tcW w:w="6237" w:type="dxa"/>
            <w:tcBorders>
              <w:top w:val="nil"/>
              <w:left w:val="nil"/>
              <w:bottom w:val="single" w:color="auto" w:sz="8" w:space="0"/>
              <w:right w:val="single" w:color="auto" w:sz="8" w:space="0"/>
            </w:tcBorders>
            <w:tcMar>
              <w:top w:w="0" w:type="dxa"/>
              <w:left w:w="108" w:type="dxa"/>
              <w:bottom w:w="0" w:type="dxa"/>
              <w:right w:w="108" w:type="dxa"/>
            </w:tcMar>
            <w:hideMark/>
          </w:tcPr>
          <w:p w:rsidRPr="00D01D66" w:rsidR="00D05403" w:rsidRDefault="00615165" w14:paraId="5D0537BF" w14:textId="77777777">
            <w:pPr>
              <w:rPr>
                <w:b/>
                <w:bCs/>
                <w:sz w:val="16"/>
                <w:szCs w:val="16"/>
                <w:lang w:val="en-US"/>
              </w:rPr>
            </w:pPr>
            <w:r w:rsidRPr="00D01D66">
              <w:rPr>
                <w:b/>
                <w:bCs/>
                <w:sz w:val="16"/>
                <w:szCs w:val="16"/>
                <w:lang w:val="en-US"/>
              </w:rPr>
              <w:t>Steekproef + melding</w:t>
            </w:r>
          </w:p>
        </w:tc>
      </w:tr>
      <w:tr w:rsidRPr="005D2116" w:rsidR="005D2116" w:rsidTr="00D05403" w14:paraId="44CC699B" w14:textId="77777777">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D2116" w:rsidR="00D05403" w:rsidRDefault="00615165" w14:paraId="0CD2869E" w14:textId="77777777">
            <w:pPr>
              <w:rPr>
                <w:sz w:val="16"/>
                <w:szCs w:val="16"/>
                <w:lang w:val="en-US"/>
              </w:rPr>
            </w:pPr>
            <w:r w:rsidRPr="005D2116">
              <w:rPr>
                <w:sz w:val="16"/>
                <w:szCs w:val="16"/>
                <w:lang w:val="en-US"/>
              </w:rPr>
              <w:t>USK 2</w:t>
            </w:r>
          </w:p>
          <w:p w:rsidRPr="005D2116" w:rsidR="00D05403" w:rsidRDefault="00615165" w14:paraId="03830A4F" w14:textId="77777777">
            <w:pPr>
              <w:rPr>
                <w:sz w:val="16"/>
                <w:szCs w:val="16"/>
                <w:lang w:val="en-US"/>
              </w:rPr>
            </w:pPr>
            <w:r w:rsidRPr="005D2116">
              <w:rPr>
                <w:sz w:val="16"/>
                <w:szCs w:val="16"/>
                <w:lang w:val="en-US"/>
              </w:rPr>
              <w:t>€25.00-€125.000</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552F20EF" w14:textId="77777777">
            <w:pPr>
              <w:rPr>
                <w:sz w:val="16"/>
                <w:szCs w:val="16"/>
                <w:lang w:val="en-US"/>
              </w:rPr>
            </w:pPr>
            <w:r w:rsidRPr="005D2116">
              <w:rPr>
                <w:sz w:val="16"/>
                <w:szCs w:val="16"/>
                <w:lang w:val="en-US"/>
              </w:rPr>
              <w:t>Verlenen en vaststellen</w:t>
            </w:r>
          </w:p>
        </w:tc>
        <w:tc>
          <w:tcPr>
            <w:tcW w:w="6237" w:type="dxa"/>
            <w:tcBorders>
              <w:top w:val="nil"/>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0C0F5F6C" w14:textId="77777777">
            <w:pPr>
              <w:rPr>
                <w:sz w:val="16"/>
                <w:szCs w:val="16"/>
              </w:rPr>
            </w:pPr>
            <w:r w:rsidRPr="005D2116">
              <w:rPr>
                <w:sz w:val="16"/>
                <w:szCs w:val="16"/>
              </w:rPr>
              <w:t>Over activiteiten (bv. activiteitenverslag) + melding</w:t>
            </w:r>
          </w:p>
        </w:tc>
      </w:tr>
      <w:tr w:rsidRPr="005D2116" w:rsidR="00C23B91" w:rsidTr="00D05403" w14:paraId="2407C786" w14:textId="77777777">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D2116" w:rsidR="00D05403" w:rsidRDefault="00615165" w14:paraId="70FC4210" w14:textId="77777777">
            <w:pPr>
              <w:rPr>
                <w:sz w:val="16"/>
                <w:szCs w:val="16"/>
                <w:lang w:val="en-US"/>
              </w:rPr>
            </w:pPr>
            <w:r w:rsidRPr="005D2116">
              <w:rPr>
                <w:sz w:val="16"/>
                <w:szCs w:val="16"/>
                <w:lang w:val="en-US"/>
              </w:rPr>
              <w:t>USK 3</w:t>
            </w:r>
          </w:p>
          <w:p w:rsidRPr="005D2116" w:rsidR="00D05403" w:rsidRDefault="00615165" w14:paraId="187F4917" w14:textId="77777777">
            <w:pPr>
              <w:rPr>
                <w:sz w:val="16"/>
                <w:szCs w:val="16"/>
                <w:lang w:val="en-US"/>
              </w:rPr>
            </w:pPr>
            <w:r w:rsidRPr="005D2116">
              <w:rPr>
                <w:sz w:val="16"/>
                <w:szCs w:val="16"/>
                <w:lang w:val="en-US"/>
              </w:rPr>
              <w:t>€125.000 of meer</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6623B2C6" w14:textId="77777777">
            <w:pPr>
              <w:rPr>
                <w:sz w:val="16"/>
                <w:szCs w:val="16"/>
                <w:lang w:val="en-US"/>
              </w:rPr>
            </w:pPr>
            <w:r w:rsidRPr="005D2116">
              <w:rPr>
                <w:sz w:val="16"/>
                <w:szCs w:val="16"/>
                <w:lang w:val="en-US"/>
              </w:rPr>
              <w:t>Verlenen en vaststellen</w:t>
            </w:r>
          </w:p>
        </w:tc>
        <w:tc>
          <w:tcPr>
            <w:tcW w:w="6237" w:type="dxa"/>
            <w:tcBorders>
              <w:top w:val="nil"/>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028E3159" w14:textId="77777777">
            <w:pPr>
              <w:rPr>
                <w:sz w:val="16"/>
                <w:szCs w:val="16"/>
              </w:rPr>
            </w:pPr>
            <w:r w:rsidRPr="005D2116">
              <w:rPr>
                <w:sz w:val="16"/>
                <w:szCs w:val="16"/>
              </w:rPr>
              <w:t>Over activiteiten (bv. activiteitenverslag) én financiën + melding</w:t>
            </w:r>
          </w:p>
        </w:tc>
      </w:tr>
    </w:tbl>
    <w:p w:rsidRPr="005D2116" w:rsidR="00D05403" w:rsidP="00D05403" w:rsidRDefault="00D05403" w14:paraId="597E2F41" w14:textId="77777777">
      <w:pPr>
        <w:rPr>
          <w:sz w:val="16"/>
          <w:szCs w:val="16"/>
        </w:rPr>
      </w:pPr>
    </w:p>
    <w:p w:rsidRPr="005D2116" w:rsidR="00D05403" w:rsidP="00D05403" w:rsidRDefault="00615165" w14:paraId="58E7BDB5" w14:textId="77777777">
      <w:pPr>
        <w:rPr>
          <w:szCs w:val="18"/>
          <w:u w:val="single"/>
        </w:rPr>
      </w:pPr>
      <w:r w:rsidRPr="005D2116">
        <w:rPr>
          <w:szCs w:val="18"/>
          <w:u w:val="single"/>
        </w:rPr>
        <w:t>Bekostigde onderwijsinstellingen:</w:t>
      </w:r>
    </w:p>
    <w:p w:rsidRPr="005D2116" w:rsidR="00D05403" w:rsidP="00D05403" w:rsidRDefault="00D05403" w14:paraId="4D65B493"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ind w:left="284" w:hanging="284"/>
        <w:rPr>
          <w:rFonts w:cs="Arial"/>
          <w:sz w:val="16"/>
          <w:szCs w:val="16"/>
        </w:rPr>
      </w:pPr>
    </w:p>
    <w:tbl>
      <w:tblPr>
        <w:tblW w:w="9930" w:type="dxa"/>
        <w:tblInd w:w="-132" w:type="dxa"/>
        <w:tblLayout w:type="fixed"/>
        <w:tblCellMar>
          <w:left w:w="0" w:type="dxa"/>
          <w:right w:w="0" w:type="dxa"/>
        </w:tblCellMar>
        <w:tblLook w:val="04A0" w:firstRow="1" w:lastRow="0" w:firstColumn="1" w:lastColumn="0" w:noHBand="0" w:noVBand="1"/>
      </w:tblPr>
      <w:tblGrid>
        <w:gridCol w:w="1136"/>
        <w:gridCol w:w="1418"/>
        <w:gridCol w:w="1277"/>
        <w:gridCol w:w="1702"/>
        <w:gridCol w:w="1560"/>
        <w:gridCol w:w="2837"/>
      </w:tblGrid>
      <w:tr w:rsidRPr="005D2116" w:rsidR="005D2116" w:rsidTr="00D05403" w14:paraId="256205B4" w14:textId="77777777">
        <w:tc>
          <w:tcPr>
            <w:tcW w:w="1135" w:type="dxa"/>
            <w:tcBorders>
              <w:top w:val="single" w:color="auto" w:sz="8" w:space="0"/>
              <w:left w:val="single" w:color="auto" w:sz="8" w:space="0"/>
              <w:bottom w:val="single" w:color="auto" w:sz="8" w:space="0"/>
              <w:right w:val="single" w:color="auto" w:sz="8" w:space="0"/>
            </w:tcBorders>
          </w:tcPr>
          <w:p w:rsidRPr="005D2116" w:rsidR="00D05403" w:rsidRDefault="00615165" w14:paraId="51CD53DA" w14:textId="77777777">
            <w:pPr>
              <w:jc w:val="center"/>
              <w:rPr>
                <w:i/>
                <w:sz w:val="16"/>
                <w:szCs w:val="16"/>
                <w:lang w:val="en-US"/>
              </w:rPr>
            </w:pPr>
            <w:r w:rsidRPr="005D2116">
              <w:rPr>
                <w:i/>
                <w:sz w:val="16"/>
                <w:szCs w:val="16"/>
                <w:lang w:val="en-US"/>
              </w:rPr>
              <w:t>Arrangement</w:t>
            </w:r>
          </w:p>
          <w:p w:rsidRPr="005D2116" w:rsidR="00D05403" w:rsidRDefault="00D05403" w14:paraId="4D16B3FA" w14:textId="77777777">
            <w:pPr>
              <w:rPr>
                <w:sz w:val="16"/>
                <w:szCs w:val="16"/>
                <w:lang w:val="en-US"/>
              </w:rPr>
            </w:pPr>
          </w:p>
        </w:tc>
        <w:tc>
          <w:tcPr>
            <w:tcW w:w="1417" w:type="dxa"/>
            <w:tcBorders>
              <w:top w:val="single" w:color="auto" w:sz="8" w:space="0"/>
              <w:left w:val="single" w:color="auto" w:sz="8" w:space="0"/>
              <w:bottom w:val="single" w:color="auto" w:sz="8" w:space="0"/>
              <w:right w:val="single" w:color="auto" w:sz="8" w:space="0"/>
            </w:tcBorders>
            <w:hideMark/>
          </w:tcPr>
          <w:p w:rsidRPr="005D2116" w:rsidR="00D05403" w:rsidRDefault="00615165" w14:paraId="7B03593B" w14:textId="77777777">
            <w:pPr>
              <w:jc w:val="center"/>
              <w:rPr>
                <w:i/>
                <w:sz w:val="16"/>
                <w:szCs w:val="16"/>
                <w:lang w:val="en-US"/>
              </w:rPr>
            </w:pPr>
            <w:r w:rsidRPr="005D2116">
              <w:rPr>
                <w:i/>
                <w:sz w:val="16"/>
                <w:szCs w:val="16"/>
                <w:lang w:val="en-US"/>
              </w:rPr>
              <w:t>Besteding</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D2116" w:rsidR="00D05403" w:rsidRDefault="00615165" w14:paraId="4A831D5A" w14:textId="77777777">
            <w:pPr>
              <w:jc w:val="center"/>
              <w:rPr>
                <w:i/>
                <w:sz w:val="16"/>
                <w:szCs w:val="16"/>
                <w:lang w:val="en-US"/>
              </w:rPr>
            </w:pPr>
            <w:r w:rsidRPr="005D2116">
              <w:rPr>
                <w:i/>
                <w:sz w:val="16"/>
                <w:szCs w:val="16"/>
                <w:lang w:val="en-US"/>
              </w:rPr>
              <w:t>Bedrag</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2309D559" w14:textId="77777777">
            <w:pPr>
              <w:jc w:val="center"/>
              <w:rPr>
                <w:i/>
                <w:sz w:val="16"/>
                <w:szCs w:val="16"/>
                <w:lang w:val="en-US"/>
              </w:rPr>
            </w:pPr>
            <w:r w:rsidRPr="005D2116">
              <w:rPr>
                <w:i/>
                <w:sz w:val="16"/>
                <w:szCs w:val="16"/>
                <w:lang w:val="en-US"/>
              </w:rPr>
              <w:t>Verstrekking</w:t>
            </w:r>
          </w:p>
        </w:tc>
        <w:tc>
          <w:tcPr>
            <w:tcW w:w="1559" w:type="dxa"/>
            <w:tcBorders>
              <w:top w:val="single" w:color="auto" w:sz="8" w:space="0"/>
              <w:left w:val="nil"/>
              <w:bottom w:val="single" w:color="auto" w:sz="8" w:space="0"/>
              <w:right w:val="single" w:color="auto" w:sz="8" w:space="0"/>
            </w:tcBorders>
            <w:hideMark/>
          </w:tcPr>
          <w:p w:rsidRPr="005D2116" w:rsidR="00D05403" w:rsidRDefault="00615165" w14:paraId="4B4A6E08" w14:textId="77777777">
            <w:pPr>
              <w:jc w:val="center"/>
              <w:rPr>
                <w:i/>
                <w:sz w:val="16"/>
                <w:szCs w:val="16"/>
                <w:lang w:val="en-US"/>
              </w:rPr>
            </w:pPr>
            <w:r w:rsidRPr="005D2116">
              <w:rPr>
                <w:i/>
                <w:sz w:val="16"/>
                <w:szCs w:val="16"/>
                <w:lang w:val="en-US"/>
              </w:rPr>
              <w:t>Betaling</w:t>
            </w:r>
          </w:p>
        </w:tc>
        <w:tc>
          <w:tcPr>
            <w:tcW w:w="2835" w:type="dxa"/>
            <w:tcBorders>
              <w:top w:val="single" w:color="auto" w:sz="8" w:space="0"/>
              <w:left w:val="nil"/>
              <w:bottom w:val="single" w:color="auto" w:sz="8" w:space="0"/>
              <w:right w:val="single" w:color="auto" w:sz="8" w:space="0"/>
            </w:tcBorders>
            <w:hideMark/>
          </w:tcPr>
          <w:p w:rsidRPr="005D2116" w:rsidR="00D05403" w:rsidRDefault="00615165" w14:paraId="016BF350" w14:textId="77777777">
            <w:pPr>
              <w:jc w:val="center"/>
              <w:rPr>
                <w:i/>
                <w:sz w:val="16"/>
                <w:szCs w:val="16"/>
                <w:lang w:val="en-US"/>
              </w:rPr>
            </w:pPr>
            <w:r w:rsidRPr="005D2116">
              <w:rPr>
                <w:i/>
                <w:sz w:val="16"/>
                <w:szCs w:val="16"/>
                <w:lang w:val="en-US"/>
              </w:rPr>
              <w:t>Verantwoording</w:t>
            </w:r>
          </w:p>
        </w:tc>
      </w:tr>
      <w:tr w:rsidRPr="005D2116" w:rsidR="005D2116" w:rsidTr="00D05403" w14:paraId="03D1A043" w14:textId="77777777">
        <w:tc>
          <w:tcPr>
            <w:tcW w:w="1135" w:type="dxa"/>
            <w:tcBorders>
              <w:top w:val="nil"/>
              <w:left w:val="single" w:color="auto" w:sz="8" w:space="0"/>
              <w:bottom w:val="single" w:color="auto" w:sz="8" w:space="0"/>
              <w:right w:val="single" w:color="auto" w:sz="8" w:space="0"/>
            </w:tcBorders>
            <w:hideMark/>
          </w:tcPr>
          <w:p w:rsidRPr="005D2116" w:rsidR="00D05403" w:rsidRDefault="00615165" w14:paraId="3C81825D" w14:textId="77777777">
            <w:pPr>
              <w:rPr>
                <w:sz w:val="16"/>
                <w:szCs w:val="16"/>
                <w:lang w:val="en-US"/>
              </w:rPr>
            </w:pPr>
            <w:r w:rsidRPr="005D2116">
              <w:rPr>
                <w:sz w:val="16"/>
                <w:szCs w:val="16"/>
                <w:lang w:val="en-US"/>
              </w:rPr>
              <w:t>I</w:t>
            </w:r>
          </w:p>
        </w:tc>
        <w:tc>
          <w:tcPr>
            <w:tcW w:w="1417" w:type="dxa"/>
            <w:tcBorders>
              <w:top w:val="nil"/>
              <w:left w:val="single" w:color="auto" w:sz="8" w:space="0"/>
              <w:bottom w:val="single" w:color="auto" w:sz="8" w:space="0"/>
              <w:right w:val="single" w:color="auto" w:sz="8" w:space="0"/>
            </w:tcBorders>
            <w:hideMark/>
          </w:tcPr>
          <w:p w:rsidRPr="005D2116" w:rsidR="00D05403" w:rsidRDefault="00615165" w14:paraId="4F730310" w14:textId="77777777">
            <w:pPr>
              <w:rPr>
                <w:sz w:val="16"/>
                <w:szCs w:val="16"/>
                <w:lang w:val="en-US"/>
              </w:rPr>
            </w:pPr>
            <w:r w:rsidRPr="005D2116">
              <w:rPr>
                <w:sz w:val="16"/>
                <w:szCs w:val="16"/>
                <w:lang w:val="en-US"/>
              </w:rPr>
              <w:t>Vrij besteedbaar</w:t>
            </w:r>
          </w:p>
          <w:p w:rsidRPr="005D2116" w:rsidR="00D05403" w:rsidRDefault="00615165" w14:paraId="0A4953BC" w14:textId="77777777">
            <w:pPr>
              <w:rPr>
                <w:sz w:val="16"/>
                <w:szCs w:val="16"/>
                <w:lang w:val="en-US"/>
              </w:rPr>
            </w:pPr>
            <w:r w:rsidRPr="005D2116">
              <w:rPr>
                <w:sz w:val="16"/>
                <w:szCs w:val="16"/>
                <w:lang w:val="en-US"/>
              </w:rPr>
              <w:t>(lump sum)</w:t>
            </w:r>
          </w:p>
        </w:tc>
        <w:tc>
          <w:tcPr>
            <w:tcW w:w="127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D2116" w:rsidR="00D05403" w:rsidRDefault="00615165" w14:paraId="3A1DFB62" w14:textId="77777777">
            <w:pPr>
              <w:rPr>
                <w:sz w:val="16"/>
                <w:szCs w:val="16"/>
                <w:lang w:val="en-US"/>
              </w:rPr>
            </w:pPr>
            <w:r w:rsidRPr="005D2116">
              <w:rPr>
                <w:sz w:val="16"/>
                <w:szCs w:val="16"/>
                <w:lang w:val="en-US"/>
              </w:rPr>
              <w:t>€0 of meer*</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2B41BF43" w14:textId="77777777">
            <w:pPr>
              <w:rPr>
                <w:sz w:val="16"/>
                <w:szCs w:val="16"/>
                <w:lang w:val="en-US"/>
              </w:rPr>
            </w:pPr>
            <w:r w:rsidRPr="005D2116">
              <w:rPr>
                <w:sz w:val="16"/>
                <w:szCs w:val="16"/>
                <w:lang w:val="en-US"/>
              </w:rPr>
              <w:t>Direct vaststellen</w:t>
            </w:r>
          </w:p>
        </w:tc>
        <w:tc>
          <w:tcPr>
            <w:tcW w:w="1559" w:type="dxa"/>
            <w:tcBorders>
              <w:top w:val="nil"/>
              <w:left w:val="nil"/>
              <w:bottom w:val="single" w:color="auto" w:sz="8" w:space="0"/>
              <w:right w:val="single" w:color="auto" w:sz="8" w:space="0"/>
            </w:tcBorders>
            <w:hideMark/>
          </w:tcPr>
          <w:p w:rsidRPr="005D2116" w:rsidR="00D05403" w:rsidRDefault="00615165" w14:paraId="14532CF5" w14:textId="77777777">
            <w:pPr>
              <w:rPr>
                <w:sz w:val="16"/>
                <w:szCs w:val="16"/>
                <w:lang w:val="en-US"/>
              </w:rPr>
            </w:pPr>
            <w:r w:rsidRPr="005D2116">
              <w:rPr>
                <w:sz w:val="16"/>
                <w:szCs w:val="16"/>
                <w:lang w:val="en-US"/>
              </w:rPr>
              <w:t xml:space="preserve"> Betaling ineens</w:t>
            </w:r>
          </w:p>
        </w:tc>
        <w:tc>
          <w:tcPr>
            <w:tcW w:w="2835" w:type="dxa"/>
            <w:tcBorders>
              <w:top w:val="nil"/>
              <w:left w:val="nil"/>
              <w:bottom w:val="single" w:color="auto" w:sz="8" w:space="0"/>
              <w:right w:val="single" w:color="auto" w:sz="8" w:space="0"/>
            </w:tcBorders>
            <w:hideMark/>
          </w:tcPr>
          <w:p w:rsidRPr="005D2116" w:rsidR="00D05403" w:rsidRDefault="00615165" w14:paraId="55F06EA5" w14:textId="77777777">
            <w:pPr>
              <w:rPr>
                <w:sz w:val="16"/>
                <w:szCs w:val="16"/>
                <w:lang w:val="en-US"/>
              </w:rPr>
            </w:pPr>
            <w:r w:rsidRPr="005D2116">
              <w:rPr>
                <w:sz w:val="16"/>
                <w:szCs w:val="16"/>
                <w:lang w:val="en-US"/>
              </w:rPr>
              <w:t>Jaarverslaggeving</w:t>
            </w:r>
          </w:p>
        </w:tc>
      </w:tr>
      <w:tr w:rsidRPr="005D2116" w:rsidR="005D2116" w:rsidTr="00D05403" w14:paraId="0A49F3B7" w14:textId="77777777">
        <w:tc>
          <w:tcPr>
            <w:tcW w:w="1135" w:type="dxa"/>
            <w:tcBorders>
              <w:top w:val="nil"/>
              <w:left w:val="single" w:color="auto" w:sz="8" w:space="0"/>
              <w:bottom w:val="single" w:color="auto" w:sz="8" w:space="0"/>
              <w:right w:val="single" w:color="auto" w:sz="8" w:space="0"/>
            </w:tcBorders>
            <w:hideMark/>
          </w:tcPr>
          <w:p w:rsidRPr="00D01D66" w:rsidR="00D05403" w:rsidRDefault="00615165" w14:paraId="1BFDE888" w14:textId="77777777">
            <w:pPr>
              <w:rPr>
                <w:b/>
                <w:bCs/>
                <w:sz w:val="16"/>
                <w:szCs w:val="16"/>
                <w:lang w:val="en-US"/>
              </w:rPr>
            </w:pPr>
            <w:r w:rsidRPr="00D01D66">
              <w:rPr>
                <w:b/>
                <w:bCs/>
                <w:sz w:val="16"/>
                <w:szCs w:val="16"/>
                <w:lang w:val="en-US"/>
              </w:rPr>
              <w:t>II</w:t>
            </w:r>
          </w:p>
        </w:tc>
        <w:tc>
          <w:tcPr>
            <w:tcW w:w="1417" w:type="dxa"/>
            <w:tcBorders>
              <w:top w:val="nil"/>
              <w:left w:val="single" w:color="auto" w:sz="8" w:space="0"/>
              <w:bottom w:val="single" w:color="auto" w:sz="8" w:space="0"/>
              <w:right w:val="single" w:color="auto" w:sz="8" w:space="0"/>
            </w:tcBorders>
            <w:hideMark/>
          </w:tcPr>
          <w:p w:rsidRPr="00D01D66" w:rsidR="00D05403" w:rsidRDefault="00615165" w14:paraId="76CE7A1A" w14:textId="77777777">
            <w:pPr>
              <w:rPr>
                <w:b/>
                <w:bCs/>
                <w:sz w:val="16"/>
                <w:szCs w:val="16"/>
              </w:rPr>
            </w:pPr>
            <w:r w:rsidRPr="00D01D66">
              <w:rPr>
                <w:b/>
                <w:bCs/>
                <w:sz w:val="16"/>
                <w:szCs w:val="16"/>
              </w:rPr>
              <w:t>Gedeeltelijk vrij besteedbaar (overschot bij lump sum)</w:t>
            </w:r>
          </w:p>
        </w:tc>
        <w:tc>
          <w:tcPr>
            <w:tcW w:w="127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01D66" w:rsidR="00D05403" w:rsidRDefault="00615165" w14:paraId="6A2F2956" w14:textId="77777777">
            <w:pPr>
              <w:rPr>
                <w:b/>
                <w:bCs/>
                <w:sz w:val="16"/>
                <w:szCs w:val="16"/>
                <w:lang w:val="en-US"/>
              </w:rPr>
            </w:pPr>
            <w:r w:rsidRPr="00D01D66">
              <w:rPr>
                <w:b/>
                <w:bCs/>
                <w:sz w:val="16"/>
                <w:szCs w:val="16"/>
                <w:lang w:val="en-US"/>
              </w:rPr>
              <w:t>€0 of meer*</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D01D66" w:rsidR="00D05403" w:rsidRDefault="00615165" w14:paraId="2E51A5AE" w14:textId="77777777">
            <w:pPr>
              <w:rPr>
                <w:b/>
                <w:bCs/>
                <w:sz w:val="16"/>
                <w:szCs w:val="16"/>
                <w:lang w:val="en-US"/>
              </w:rPr>
            </w:pPr>
            <w:r w:rsidRPr="00D01D66">
              <w:rPr>
                <w:b/>
                <w:bCs/>
                <w:sz w:val="16"/>
                <w:szCs w:val="16"/>
                <w:lang w:val="en-US"/>
              </w:rPr>
              <w:t>Direct vaststellen</w:t>
            </w:r>
          </w:p>
        </w:tc>
        <w:tc>
          <w:tcPr>
            <w:tcW w:w="1559" w:type="dxa"/>
            <w:tcBorders>
              <w:top w:val="nil"/>
              <w:left w:val="nil"/>
              <w:bottom w:val="single" w:color="auto" w:sz="8" w:space="0"/>
              <w:right w:val="single" w:color="auto" w:sz="8" w:space="0"/>
            </w:tcBorders>
            <w:hideMark/>
          </w:tcPr>
          <w:p w:rsidRPr="00D01D66" w:rsidR="00D05403" w:rsidRDefault="00615165" w14:paraId="0D4DCB19" w14:textId="77777777">
            <w:pPr>
              <w:rPr>
                <w:b/>
                <w:bCs/>
                <w:sz w:val="16"/>
                <w:szCs w:val="16"/>
                <w:lang w:val="en-US"/>
              </w:rPr>
            </w:pPr>
            <w:r w:rsidRPr="00D01D66">
              <w:rPr>
                <w:b/>
                <w:bCs/>
                <w:sz w:val="16"/>
                <w:szCs w:val="16"/>
                <w:lang w:val="en-US"/>
              </w:rPr>
              <w:t xml:space="preserve"> Betaling ineens</w:t>
            </w:r>
          </w:p>
        </w:tc>
        <w:tc>
          <w:tcPr>
            <w:tcW w:w="2835" w:type="dxa"/>
            <w:tcBorders>
              <w:top w:val="nil"/>
              <w:left w:val="nil"/>
              <w:bottom w:val="single" w:color="auto" w:sz="8" w:space="0"/>
              <w:right w:val="single" w:color="auto" w:sz="8" w:space="0"/>
            </w:tcBorders>
            <w:hideMark/>
          </w:tcPr>
          <w:p w:rsidRPr="00D01D66" w:rsidR="00D05403" w:rsidRDefault="00615165" w14:paraId="7C752B1C" w14:textId="77777777">
            <w:pPr>
              <w:rPr>
                <w:b/>
                <w:bCs/>
                <w:sz w:val="16"/>
                <w:szCs w:val="16"/>
              </w:rPr>
            </w:pPr>
            <w:r w:rsidRPr="00D01D66">
              <w:rPr>
                <w:b/>
                <w:bCs/>
                <w:sz w:val="16"/>
                <w:szCs w:val="16"/>
              </w:rPr>
              <w:t xml:space="preserve">Jaarverslaggeving (model G1) </w:t>
            </w:r>
          </w:p>
          <w:p w:rsidRPr="00D01D66" w:rsidR="00D05403" w:rsidRDefault="00615165" w14:paraId="3603D7BE" w14:textId="77777777">
            <w:pPr>
              <w:rPr>
                <w:b/>
                <w:bCs/>
                <w:sz w:val="16"/>
                <w:szCs w:val="16"/>
              </w:rPr>
            </w:pPr>
            <w:r w:rsidRPr="00D01D66">
              <w:rPr>
                <w:b/>
                <w:bCs/>
                <w:sz w:val="16"/>
                <w:szCs w:val="16"/>
              </w:rPr>
              <w:t xml:space="preserve">+ steekproef </w:t>
            </w:r>
          </w:p>
          <w:p w:rsidRPr="00D01D66" w:rsidR="00D05403" w:rsidRDefault="00615165" w14:paraId="4C78768E" w14:textId="77777777">
            <w:pPr>
              <w:rPr>
                <w:b/>
                <w:bCs/>
                <w:sz w:val="16"/>
                <w:szCs w:val="16"/>
              </w:rPr>
            </w:pPr>
            <w:r w:rsidRPr="00D01D66">
              <w:rPr>
                <w:b/>
                <w:bCs/>
                <w:sz w:val="16"/>
                <w:szCs w:val="16"/>
              </w:rPr>
              <w:t xml:space="preserve">+ melding </w:t>
            </w:r>
          </w:p>
          <w:p w:rsidRPr="00D01D66" w:rsidR="00D05403" w:rsidRDefault="00615165" w14:paraId="4468F9F5" w14:textId="77777777">
            <w:pPr>
              <w:rPr>
                <w:b/>
                <w:bCs/>
                <w:sz w:val="16"/>
                <w:szCs w:val="16"/>
              </w:rPr>
            </w:pPr>
            <w:r w:rsidRPr="00D01D66">
              <w:rPr>
                <w:b/>
                <w:bCs/>
                <w:sz w:val="16"/>
                <w:szCs w:val="16"/>
              </w:rPr>
              <w:t>+ evt. activiteitenverslag</w:t>
            </w:r>
          </w:p>
        </w:tc>
      </w:tr>
      <w:tr w:rsidRPr="005D2116" w:rsidR="005D2116" w:rsidTr="00D05403" w14:paraId="5DF42537" w14:textId="77777777">
        <w:tc>
          <w:tcPr>
            <w:tcW w:w="1135" w:type="dxa"/>
            <w:tcBorders>
              <w:top w:val="nil"/>
              <w:left w:val="single" w:color="auto" w:sz="8" w:space="0"/>
              <w:bottom w:val="single" w:color="auto" w:sz="8" w:space="0"/>
              <w:right w:val="single" w:color="auto" w:sz="8" w:space="0"/>
            </w:tcBorders>
            <w:hideMark/>
          </w:tcPr>
          <w:p w:rsidRPr="005D2116" w:rsidR="00D05403" w:rsidRDefault="00615165" w14:paraId="52176070" w14:textId="77777777">
            <w:pPr>
              <w:rPr>
                <w:sz w:val="16"/>
                <w:szCs w:val="16"/>
                <w:lang w:val="en-US"/>
              </w:rPr>
            </w:pPr>
            <w:r w:rsidRPr="005D2116">
              <w:rPr>
                <w:sz w:val="16"/>
                <w:szCs w:val="16"/>
                <w:lang w:val="en-US"/>
              </w:rPr>
              <w:t>III</w:t>
            </w:r>
          </w:p>
        </w:tc>
        <w:tc>
          <w:tcPr>
            <w:tcW w:w="1417" w:type="dxa"/>
            <w:tcBorders>
              <w:top w:val="nil"/>
              <w:left w:val="single" w:color="auto" w:sz="8" w:space="0"/>
              <w:bottom w:val="single" w:color="auto" w:sz="8" w:space="0"/>
              <w:right w:val="single" w:color="auto" w:sz="8" w:space="0"/>
            </w:tcBorders>
            <w:hideMark/>
          </w:tcPr>
          <w:p w:rsidRPr="005D2116" w:rsidR="00D05403" w:rsidRDefault="00615165" w14:paraId="65DB81ED" w14:textId="77777777">
            <w:pPr>
              <w:rPr>
                <w:sz w:val="16"/>
                <w:szCs w:val="16"/>
              </w:rPr>
            </w:pPr>
            <w:r w:rsidRPr="005D2116">
              <w:rPr>
                <w:sz w:val="16"/>
                <w:szCs w:val="16"/>
              </w:rPr>
              <w:t>Verplichte besteding</w:t>
            </w:r>
          </w:p>
          <w:p w:rsidRPr="005D2116" w:rsidR="00D05403" w:rsidRDefault="00615165" w14:paraId="311447C0" w14:textId="77777777">
            <w:pPr>
              <w:rPr>
                <w:sz w:val="16"/>
                <w:szCs w:val="16"/>
              </w:rPr>
            </w:pPr>
            <w:r w:rsidRPr="005D2116">
              <w:rPr>
                <w:sz w:val="16"/>
                <w:szCs w:val="16"/>
              </w:rPr>
              <w:t>(overschot wordt teruggevorderd)</w:t>
            </w:r>
          </w:p>
        </w:tc>
        <w:tc>
          <w:tcPr>
            <w:tcW w:w="127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D2116" w:rsidR="00D05403" w:rsidRDefault="00615165" w14:paraId="721164BE" w14:textId="77777777">
            <w:pPr>
              <w:rPr>
                <w:sz w:val="16"/>
                <w:szCs w:val="16"/>
                <w:lang w:val="en-US"/>
              </w:rPr>
            </w:pPr>
            <w:r w:rsidRPr="005D2116">
              <w:rPr>
                <w:sz w:val="16"/>
                <w:szCs w:val="16"/>
                <w:lang w:val="en-US"/>
              </w:rPr>
              <w:t xml:space="preserve">€125.000 </w:t>
            </w:r>
          </w:p>
          <w:p w:rsidRPr="005D2116" w:rsidR="00D05403" w:rsidRDefault="00615165" w14:paraId="2052BE9E" w14:textId="77777777">
            <w:pPr>
              <w:rPr>
                <w:sz w:val="16"/>
                <w:szCs w:val="16"/>
                <w:lang w:val="en-US"/>
              </w:rPr>
            </w:pPr>
            <w:r w:rsidRPr="005D2116">
              <w:rPr>
                <w:sz w:val="16"/>
                <w:szCs w:val="16"/>
                <w:lang w:val="en-US"/>
              </w:rPr>
              <w:t>of meer*</w:t>
            </w:r>
          </w:p>
        </w:tc>
        <w:tc>
          <w:tcPr>
            <w:tcW w:w="1701" w:type="dxa"/>
            <w:tcBorders>
              <w:top w:val="nil"/>
              <w:left w:val="nil"/>
              <w:bottom w:val="single" w:color="auto" w:sz="8" w:space="0"/>
              <w:right w:val="single" w:color="auto" w:sz="8" w:space="0"/>
            </w:tcBorders>
            <w:tcMar>
              <w:top w:w="0" w:type="dxa"/>
              <w:left w:w="108" w:type="dxa"/>
              <w:bottom w:w="0" w:type="dxa"/>
              <w:right w:w="108" w:type="dxa"/>
            </w:tcMar>
            <w:hideMark/>
          </w:tcPr>
          <w:p w:rsidRPr="005D2116" w:rsidR="00D05403" w:rsidRDefault="00615165" w14:paraId="216774F6" w14:textId="77777777">
            <w:pPr>
              <w:rPr>
                <w:sz w:val="16"/>
                <w:szCs w:val="16"/>
                <w:lang w:val="en-US"/>
              </w:rPr>
            </w:pPr>
            <w:r w:rsidRPr="005D2116">
              <w:rPr>
                <w:sz w:val="16"/>
                <w:szCs w:val="16"/>
                <w:lang w:val="en-US"/>
              </w:rPr>
              <w:t>Verlenen en vaststellen</w:t>
            </w:r>
          </w:p>
        </w:tc>
        <w:tc>
          <w:tcPr>
            <w:tcW w:w="1559" w:type="dxa"/>
            <w:tcBorders>
              <w:top w:val="nil"/>
              <w:left w:val="nil"/>
              <w:bottom w:val="single" w:color="auto" w:sz="8" w:space="0"/>
              <w:right w:val="single" w:color="auto" w:sz="8" w:space="0"/>
            </w:tcBorders>
            <w:hideMark/>
          </w:tcPr>
          <w:p w:rsidRPr="005D2116" w:rsidR="00D05403" w:rsidRDefault="00615165" w14:paraId="18FED8BC" w14:textId="77777777">
            <w:pPr>
              <w:rPr>
                <w:sz w:val="16"/>
                <w:szCs w:val="16"/>
              </w:rPr>
            </w:pPr>
            <w:r w:rsidRPr="005D2116">
              <w:rPr>
                <w:sz w:val="16"/>
                <w:szCs w:val="16"/>
              </w:rPr>
              <w:t xml:space="preserve"> 100% voorschot </w:t>
            </w:r>
          </w:p>
          <w:p w:rsidRPr="005D2116" w:rsidR="00D05403" w:rsidRDefault="00615165" w14:paraId="03CD7633" w14:textId="77777777">
            <w:pPr>
              <w:rPr>
                <w:sz w:val="16"/>
                <w:szCs w:val="16"/>
              </w:rPr>
            </w:pPr>
            <w:r w:rsidRPr="005D2116">
              <w:rPr>
                <w:sz w:val="16"/>
                <w:szCs w:val="16"/>
              </w:rPr>
              <w:t xml:space="preserve"> betaling ineens</w:t>
            </w:r>
          </w:p>
          <w:p w:rsidRPr="005D2116" w:rsidR="00D05403" w:rsidRDefault="00615165" w14:paraId="7C3C2418" w14:textId="77777777">
            <w:pPr>
              <w:rPr>
                <w:sz w:val="16"/>
                <w:szCs w:val="16"/>
              </w:rPr>
            </w:pPr>
            <w:r w:rsidRPr="005D2116">
              <w:rPr>
                <w:sz w:val="16"/>
                <w:szCs w:val="16"/>
              </w:rPr>
              <w:t>(tenzij anders geregeld)</w:t>
            </w:r>
          </w:p>
        </w:tc>
        <w:tc>
          <w:tcPr>
            <w:tcW w:w="2835" w:type="dxa"/>
            <w:tcBorders>
              <w:top w:val="nil"/>
              <w:left w:val="nil"/>
              <w:bottom w:val="single" w:color="auto" w:sz="8" w:space="0"/>
              <w:right w:val="single" w:color="auto" w:sz="8" w:space="0"/>
            </w:tcBorders>
            <w:hideMark/>
          </w:tcPr>
          <w:p w:rsidRPr="005D2116" w:rsidR="00D05403" w:rsidRDefault="00615165" w14:paraId="2A4194F2" w14:textId="77777777">
            <w:pPr>
              <w:rPr>
                <w:sz w:val="16"/>
                <w:szCs w:val="16"/>
              </w:rPr>
            </w:pPr>
            <w:r w:rsidRPr="005D2116">
              <w:rPr>
                <w:sz w:val="16"/>
                <w:szCs w:val="16"/>
              </w:rPr>
              <w:t xml:space="preserve">Jaarverslaggeving (model G2) </w:t>
            </w:r>
          </w:p>
          <w:p w:rsidRPr="005D2116" w:rsidR="00D05403" w:rsidRDefault="00615165" w14:paraId="30FBD4DE" w14:textId="77777777">
            <w:pPr>
              <w:rPr>
                <w:sz w:val="16"/>
                <w:szCs w:val="16"/>
              </w:rPr>
            </w:pPr>
            <w:r w:rsidRPr="005D2116">
              <w:rPr>
                <w:sz w:val="16"/>
                <w:szCs w:val="16"/>
              </w:rPr>
              <w:t xml:space="preserve">+ melding </w:t>
            </w:r>
          </w:p>
          <w:p w:rsidRPr="005D2116" w:rsidR="00D05403" w:rsidRDefault="00615165" w14:paraId="48221107" w14:textId="77777777">
            <w:pPr>
              <w:rPr>
                <w:sz w:val="16"/>
                <w:szCs w:val="16"/>
              </w:rPr>
            </w:pPr>
            <w:r w:rsidRPr="005D2116">
              <w:rPr>
                <w:sz w:val="16"/>
                <w:szCs w:val="16"/>
              </w:rPr>
              <w:t>+ evt. activiteitenverslag</w:t>
            </w:r>
          </w:p>
        </w:tc>
      </w:tr>
    </w:tbl>
    <w:p w:rsidRPr="005D2116" w:rsidR="00D05403" w:rsidP="00D05403" w:rsidRDefault="00615165" w14:paraId="7A44897E"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szCs w:val="18"/>
        </w:rPr>
      </w:pPr>
      <w:r w:rsidRPr="005D2116">
        <w:rPr>
          <w:rFonts w:cs="Arial"/>
          <w:szCs w:val="18"/>
        </w:rPr>
        <w:t>* Het is mogelijk om in een subsidieregeling af te wijken van de kaderregeling, en een arrangement te kiezen met minder verantwoordingslasten als de risicoanalyse dat toelaat. Een arrangement met meer uitvoeringslasten is alleen mogelijk met instemming van de Minister van Financiën (zie aanwijzing 6 van de Aanwijzingen voor subsidieverstrekking).</w:t>
      </w:r>
    </w:p>
    <w:p w:rsidR="00D05403" w:rsidP="00D05403" w:rsidRDefault="00D05403" w14:paraId="325B90CC"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D3777C" w:rsidP="00D05403" w:rsidRDefault="00D3777C" w14:paraId="1D826D47"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D3777C" w:rsidP="00D05403" w:rsidRDefault="00D3777C" w14:paraId="66096459"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D3777C" w:rsidP="00D05403" w:rsidRDefault="00D3777C" w14:paraId="719A9F4C"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D3777C" w:rsidP="00D05403" w:rsidRDefault="00D3777C" w14:paraId="58CEFF03"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B0243B" w:rsidP="00D05403" w:rsidRDefault="00B0243B" w14:paraId="4B62343C"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B0243B" w:rsidP="00D05403" w:rsidRDefault="00B0243B" w14:paraId="0BF94618"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B0243B" w:rsidP="00D05403" w:rsidRDefault="00B0243B" w14:paraId="1A61898F"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B0243B" w:rsidP="00D05403" w:rsidRDefault="00B0243B" w14:paraId="7E7D1CD0"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2D294D" w:rsidP="00D05403" w:rsidRDefault="002D294D" w14:paraId="11EC9E19"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2D294D" w:rsidP="00D05403" w:rsidRDefault="002D294D" w14:paraId="24F94C02" w14:textId="77777777">
      <w:pPr>
        <w:tabs>
          <w:tab w:val="left" w:pos="338"/>
          <w:tab w:val="left" w:pos="565"/>
          <w:tab w:val="left" w:pos="906"/>
          <w:tab w:val="left" w:pos="1189"/>
          <w:tab w:val="left" w:pos="1530"/>
          <w:tab w:val="left" w:pos="1869"/>
          <w:tab w:val="left" w:pos="2209"/>
          <w:tab w:val="left" w:pos="3174"/>
          <w:tab w:val="left" w:pos="3600"/>
          <w:tab w:val="left" w:pos="4395"/>
          <w:tab w:val="left" w:pos="7081"/>
        </w:tabs>
        <w:rPr>
          <w:rFonts w:cs="Arial"/>
          <w:color w:val="FF0000"/>
          <w:szCs w:val="18"/>
        </w:rPr>
      </w:pPr>
    </w:p>
    <w:p w:rsidR="00E778D4" w:rsidP="00D05403" w:rsidRDefault="00615165" w14:paraId="5D3C3AB2" w14:textId="2C074DDB">
      <w:pPr>
        <w:tabs>
          <w:tab w:val="left" w:pos="227"/>
          <w:tab w:val="left" w:pos="284"/>
          <w:tab w:val="left" w:pos="454"/>
          <w:tab w:val="left" w:pos="680"/>
        </w:tabs>
        <w:autoSpaceDE w:val="0"/>
        <w:autoSpaceDN w:val="0"/>
        <w:adjustRightInd w:val="0"/>
        <w:rPr>
          <w:b/>
          <w:szCs w:val="18"/>
        </w:rPr>
      </w:pPr>
      <w:r>
        <w:rPr>
          <w:b/>
          <w:szCs w:val="18"/>
        </w:rPr>
        <w:lastRenderedPageBreak/>
        <w:t>8. Risicoanalyse</w:t>
      </w:r>
      <w:r w:rsidR="00C401FB">
        <w:rPr>
          <w:b/>
          <w:szCs w:val="18"/>
        </w:rPr>
        <w:br/>
      </w:r>
    </w:p>
    <w:p w:rsidRPr="003A7965" w:rsidR="00E778D4" w:rsidP="00E778D4" w:rsidRDefault="00E778D4" w14:paraId="394E27E5" w14:textId="77777777">
      <w:pPr>
        <w:spacing w:line="240" w:lineRule="auto"/>
        <w:contextualSpacing/>
      </w:pPr>
    </w:p>
    <w:p w:rsidRPr="00B6675F" w:rsidR="005E313D" w:rsidP="005E313D" w:rsidRDefault="00E778D4" w14:paraId="04681D84" w14:textId="77777777">
      <w:pPr>
        <w:pStyle w:val="Lijstalinea"/>
        <w:numPr>
          <w:ilvl w:val="0"/>
          <w:numId w:val="38"/>
        </w:numPr>
        <w:spacing w:after="200" w:line="240" w:lineRule="auto"/>
        <w:rPr>
          <w:i/>
          <w:iCs/>
        </w:rPr>
      </w:pPr>
      <w:r w:rsidRPr="003A7965">
        <w:t xml:space="preserve">Aan de regeling wordt een laag risico toegekend voor wat betreft de </w:t>
      </w:r>
      <w:r w:rsidRPr="003A7965">
        <w:rPr>
          <w:b/>
          <w:bCs/>
        </w:rPr>
        <w:t>strategische risico’s, uitvoeringsrisico’s en financiële risico’s</w:t>
      </w:r>
      <w:r w:rsidRPr="003A7965">
        <w:t>, omdat het doel duidelijk omschreven is en te controleren is of de middelen op een juiste wijze zijn ingezet. Bovendien bestaat deze regeling al enkele jaren, waardoor de risico’s niet zullen afwijken van voorgaande jaren.</w:t>
      </w:r>
      <w:r w:rsidR="005E313D">
        <w:t xml:space="preserve"> Tenslotte gaat het om een beperkt subsidiebedrag per aanvraag (</w:t>
      </w:r>
      <w:r w:rsidRPr="008B7078" w:rsidR="005E313D">
        <w:t>tot €25.000</w:t>
      </w:r>
      <w:r w:rsidR="005E313D">
        <w:t>)</w:t>
      </w:r>
    </w:p>
    <w:p w:rsidRPr="003A7965" w:rsidR="00E778D4" w:rsidP="005E313D" w:rsidRDefault="00E778D4" w14:paraId="065D6133" w14:textId="2940F0CD">
      <w:pPr>
        <w:pStyle w:val="Lijstalinea"/>
        <w:spacing w:after="200" w:line="240" w:lineRule="auto"/>
        <w:ind w:left="360"/>
        <w:rPr>
          <w:i/>
          <w:iCs/>
        </w:rPr>
      </w:pPr>
    </w:p>
    <w:p w:rsidRPr="003A7965" w:rsidR="00E778D4" w:rsidP="00E778D4" w:rsidRDefault="00E778D4" w14:paraId="47668F4F" w14:textId="77777777">
      <w:pPr>
        <w:pStyle w:val="Lijstalinea"/>
        <w:spacing w:line="240" w:lineRule="auto"/>
        <w:ind w:left="360"/>
      </w:pPr>
    </w:p>
    <w:p w:rsidRPr="003A7965" w:rsidR="00E778D4" w:rsidP="00E778D4" w:rsidRDefault="00E778D4" w14:paraId="4494A2DD" w14:textId="049D6ACB">
      <w:pPr>
        <w:pStyle w:val="Lijstalinea"/>
        <w:numPr>
          <w:ilvl w:val="0"/>
          <w:numId w:val="38"/>
        </w:numPr>
        <w:spacing w:after="200" w:line="240" w:lineRule="auto"/>
        <w:rPr>
          <w:i/>
          <w:iCs/>
        </w:rPr>
      </w:pPr>
      <w:r w:rsidRPr="003A7965">
        <w:t xml:space="preserve">Aan de regeling wordt een laag risico toegekend voor wat betreft de </w:t>
      </w:r>
      <w:r w:rsidRPr="003A7965">
        <w:rPr>
          <w:b/>
          <w:bCs/>
        </w:rPr>
        <w:t>M&amp;O risico’s</w:t>
      </w:r>
      <w:r w:rsidRPr="003A7965">
        <w:t xml:space="preserve"> omdat de subsidieaanvrage</w:t>
      </w:r>
      <w:r w:rsidR="004F0C35">
        <w:t>r</w:t>
      </w:r>
      <w:r w:rsidRPr="003A7965">
        <w:t xml:space="preserve"> moet aantonen dat hij minimaal 15 studiepunten heeft behaald. Dit is controleerbaar via DUO. Tevens is de aanvrager in dienst van een professionele instelling</w:t>
      </w:r>
      <w:r w:rsidRPr="00B6675F" w:rsidR="005E313D">
        <w:t>.</w:t>
      </w:r>
      <w:r w:rsidR="005E313D">
        <w:t xml:space="preserve"> De MBO-instelling krijgt alleen subsidie</w:t>
      </w:r>
      <w:r w:rsidRPr="00614112" w:rsidR="005E313D">
        <w:t xml:space="preserve"> voor de te faciliteren studie-uren als de aanvrager ook een vergoeding voor studiekosten heeft aangevraagd</w:t>
      </w:r>
      <w:r w:rsidR="005E313D">
        <w:t>. Dit wordt ook vooraf door DUO gecontroleerd.</w:t>
      </w:r>
    </w:p>
    <w:p w:rsidR="00E778D4" w:rsidP="00E778D4" w:rsidRDefault="00E778D4" w14:paraId="1538D7F9" w14:textId="77777777">
      <w:pPr>
        <w:rPr>
          <w:color w:val="FF0000"/>
        </w:rPr>
      </w:pPr>
    </w:p>
    <w:p w:rsidRPr="008D6056" w:rsidR="00E778D4" w:rsidP="00E778D4" w:rsidRDefault="00E778D4" w14:paraId="40C21D36" w14:textId="77777777">
      <w:pPr>
        <w:pStyle w:val="Kop2"/>
      </w:pPr>
      <w:r w:rsidRPr="008D6056">
        <w:t>Risicoprofiel van de ontvanger</w:t>
      </w:r>
    </w:p>
    <w:p w:rsidRPr="00D3777C" w:rsidR="00C401FB" w:rsidP="00D3777C" w:rsidRDefault="00E778D4" w14:paraId="14E4C0EB" w14:textId="5DC9364B">
      <w:pPr>
        <w:pStyle w:val="Lijstalinea"/>
        <w:numPr>
          <w:ilvl w:val="0"/>
          <w:numId w:val="38"/>
        </w:numPr>
        <w:spacing w:after="200" w:line="240" w:lineRule="auto"/>
      </w:pPr>
      <w:r w:rsidRPr="008D6056">
        <w:t xml:space="preserve">Aan de ontvangers </w:t>
      </w:r>
      <w:r w:rsidR="008A774F">
        <w:t xml:space="preserve">en instellingen </w:t>
      </w:r>
      <w:r w:rsidRPr="008D6056">
        <w:t>wordt een laag risico</w:t>
      </w:r>
      <w:r w:rsidR="005E313D">
        <w:t xml:space="preserve"> </w:t>
      </w:r>
      <w:r w:rsidRPr="008D6056">
        <w:t xml:space="preserve">toegekend, omdat de instructeur minimaal 15 studiepunten moet </w:t>
      </w:r>
      <w:r w:rsidRPr="008D6056" w:rsidR="004F0C35">
        <w:t>beh</w:t>
      </w:r>
      <w:r w:rsidR="004F0C35">
        <w:t>alen</w:t>
      </w:r>
      <w:r w:rsidRPr="008D6056" w:rsidR="004F0C35">
        <w:t xml:space="preserve"> </w:t>
      </w:r>
      <w:r w:rsidRPr="008D6056">
        <w:t>voor het verkrijgen van de subsidie. Deze instructeurs zijn in dienst bij een professionele instelling</w:t>
      </w:r>
      <w:r w:rsidR="008A774F">
        <w:t xml:space="preserve"> En de instelling ontvangt de subsidie namens de instructeurs.</w:t>
      </w:r>
    </w:p>
    <w:p w:rsidR="00D05403" w:rsidP="00D05403" w:rsidRDefault="00D05403" w14:paraId="739A9624" w14:textId="77777777">
      <w:pPr>
        <w:tabs>
          <w:tab w:val="left" w:pos="227"/>
          <w:tab w:val="left" w:pos="284"/>
          <w:tab w:val="left" w:pos="454"/>
          <w:tab w:val="left" w:pos="680"/>
        </w:tabs>
        <w:autoSpaceDE w:val="0"/>
        <w:autoSpaceDN w:val="0"/>
        <w:adjustRightInd w:val="0"/>
        <w:rPr>
          <w:szCs w:val="18"/>
        </w:rPr>
      </w:pPr>
    </w:p>
    <w:p w:rsidR="00D05403" w:rsidP="00D05403" w:rsidRDefault="00615165" w14:paraId="0C7ED3D9"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r>
        <w:rPr>
          <w:b/>
          <w:szCs w:val="18"/>
        </w:rPr>
        <w:t>9. Wat zijn de kosten?</w:t>
      </w:r>
    </w:p>
    <w:p w:rsidR="00C401FB" w:rsidP="00D05403" w:rsidRDefault="00C401FB" w14:paraId="378664D8" w14:textId="77777777">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p>
    <w:p w:rsidR="00D3777C" w:rsidP="00D3777C" w:rsidRDefault="00C401FB" w14:paraId="798578DD" w14:textId="3E1173D7">
      <w:pPr>
        <w:tabs>
          <w:tab w:val="left" w:pos="284"/>
        </w:tabs>
        <w:rPr>
          <w:rFonts w:cs="BDOJM N+ Univers"/>
          <w:szCs w:val="18"/>
        </w:rPr>
      </w:pPr>
      <w:r w:rsidRPr="00C401FB">
        <w:rPr>
          <w:bCs/>
          <w:szCs w:val="18"/>
        </w:rPr>
        <w:t xml:space="preserve">De </w:t>
      </w:r>
      <w:r w:rsidRPr="004F0C35">
        <w:rPr>
          <w:bCs/>
          <w:szCs w:val="18"/>
        </w:rPr>
        <w:t xml:space="preserve">totale kosten van de Subsidieregeling </w:t>
      </w:r>
      <w:r w:rsidRPr="004F0C35" w:rsidR="00D352B1">
        <w:rPr>
          <w:bCs/>
          <w:szCs w:val="18"/>
        </w:rPr>
        <w:t>i</w:t>
      </w:r>
      <w:r w:rsidRPr="004F0C35">
        <w:rPr>
          <w:bCs/>
          <w:szCs w:val="18"/>
        </w:rPr>
        <w:t xml:space="preserve">nstructeursbeurs </w:t>
      </w:r>
      <w:r w:rsidRPr="004F0C35" w:rsidR="00D352B1">
        <w:rPr>
          <w:bCs/>
          <w:szCs w:val="18"/>
        </w:rPr>
        <w:t>mbo</w:t>
      </w:r>
      <w:r w:rsidRPr="004F0C35">
        <w:rPr>
          <w:bCs/>
          <w:szCs w:val="18"/>
        </w:rPr>
        <w:t xml:space="preserve"> bestaan uit </w:t>
      </w:r>
      <w:r w:rsidR="00227EF3">
        <w:rPr>
          <w:bCs/>
          <w:szCs w:val="18"/>
        </w:rPr>
        <w:t>het subsidieplafond van € 800.000</w:t>
      </w:r>
      <w:r w:rsidRPr="004F0C35">
        <w:rPr>
          <w:bCs/>
          <w:szCs w:val="18"/>
        </w:rPr>
        <w:t xml:space="preserve"> en </w:t>
      </w:r>
      <w:r w:rsidR="00A55A8A">
        <w:rPr>
          <w:bCs/>
          <w:szCs w:val="18"/>
        </w:rPr>
        <w:t>€</w:t>
      </w:r>
      <w:r w:rsidR="00227EF3">
        <w:rPr>
          <w:bCs/>
          <w:szCs w:val="18"/>
        </w:rPr>
        <w:t xml:space="preserve"> </w:t>
      </w:r>
      <w:r w:rsidR="00E91343">
        <w:rPr>
          <w:bCs/>
          <w:szCs w:val="18"/>
        </w:rPr>
        <w:t>28.000</w:t>
      </w:r>
      <w:r w:rsidRPr="004F0C35">
        <w:rPr>
          <w:bCs/>
          <w:szCs w:val="18"/>
        </w:rPr>
        <w:t xml:space="preserve"> uitvoeringskosten </w:t>
      </w:r>
      <w:r w:rsidRPr="004F0C35" w:rsidR="00D352B1">
        <w:rPr>
          <w:bCs/>
          <w:szCs w:val="18"/>
        </w:rPr>
        <w:t xml:space="preserve">van </w:t>
      </w:r>
      <w:r w:rsidRPr="004F0C35" w:rsidR="00370382">
        <w:rPr>
          <w:bCs/>
          <w:szCs w:val="18"/>
        </w:rPr>
        <w:t>DUO</w:t>
      </w:r>
      <w:r w:rsidR="00A55A8A">
        <w:rPr>
          <w:bCs/>
          <w:szCs w:val="18"/>
        </w:rPr>
        <w:t>.</w:t>
      </w:r>
      <w:r w:rsidR="00E91343">
        <w:rPr>
          <w:bCs/>
          <w:szCs w:val="18"/>
        </w:rPr>
        <w:t xml:space="preserve"> </w:t>
      </w:r>
      <w:r w:rsidR="00227EF3">
        <w:rPr>
          <w:bCs/>
          <w:szCs w:val="18"/>
        </w:rPr>
        <w:t xml:space="preserve">De uitvoeringskosten zijn </w:t>
      </w:r>
      <w:r w:rsidRPr="00E91343" w:rsidR="00E91343">
        <w:rPr>
          <w:bCs/>
          <w:szCs w:val="18"/>
        </w:rPr>
        <w:t xml:space="preserve"> gereserveerd op het bestedingsplan van artikel 9 van de OCW-begroting</w:t>
      </w:r>
      <w:r w:rsidR="00227EF3">
        <w:rPr>
          <w:bCs/>
          <w:szCs w:val="18"/>
        </w:rPr>
        <w:t>, de middelen voor het subsidieplafond zijn gereserveerd op het hoofdbudget zij-instroom van artikel 9</w:t>
      </w:r>
      <w:r w:rsidR="00E91343">
        <w:rPr>
          <w:bCs/>
          <w:szCs w:val="18"/>
        </w:rPr>
        <w:t xml:space="preserve">. </w:t>
      </w:r>
    </w:p>
    <w:p w:rsidRPr="00D3777C" w:rsidR="004533EF" w:rsidP="00D3777C" w:rsidRDefault="004533EF" w14:paraId="57CACD77" w14:textId="6A7A8677">
      <w:pPr>
        <w:tabs>
          <w:tab w:val="left" w:pos="284"/>
        </w:tabs>
        <w:rPr>
          <w:rFonts w:cs="BDOJM N+ Univers"/>
          <w:szCs w:val="18"/>
        </w:rPr>
      </w:pPr>
      <w:r>
        <w:rPr>
          <w:b/>
          <w:szCs w:val="18"/>
        </w:rPr>
        <w:br/>
      </w:r>
    </w:p>
    <w:p w:rsidRPr="004533EF" w:rsidR="004533EF" w:rsidP="004533EF" w:rsidRDefault="00615165" w14:paraId="63D970C5" w14:textId="3D15A4AE">
      <w:pPr>
        <w:tabs>
          <w:tab w:val="left" w:pos="227"/>
          <w:tab w:val="left" w:pos="284"/>
          <w:tab w:val="left" w:pos="454"/>
          <w:tab w:val="left"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val="0"/>
        <w:autoSpaceDN w:val="0"/>
        <w:adjustRightInd w:val="0"/>
        <w:rPr>
          <w:b/>
          <w:szCs w:val="18"/>
        </w:rPr>
      </w:pPr>
      <w:r>
        <w:rPr>
          <w:b/>
          <w:szCs w:val="18"/>
        </w:rPr>
        <w:t xml:space="preserve">10. Overige aspecten/planning </w:t>
      </w:r>
      <w:r w:rsidR="004533EF">
        <w:rPr>
          <w:b/>
          <w:szCs w:val="18"/>
        </w:rPr>
        <w:br/>
      </w:r>
    </w:p>
    <w:p w:rsidR="004533EF" w:rsidP="00D05403" w:rsidRDefault="00413AEF" w14:paraId="1C4FCCCF" w14:textId="67D906E4">
      <w:pPr>
        <w:tabs>
          <w:tab w:val="left" w:pos="227"/>
          <w:tab w:val="left" w:pos="284"/>
          <w:tab w:val="left" w:pos="454"/>
          <w:tab w:val="left" w:pos="680"/>
        </w:tabs>
        <w:autoSpaceDE w:val="0"/>
        <w:autoSpaceDN w:val="0"/>
        <w:adjustRightInd w:val="0"/>
        <w:rPr>
          <w:bCs/>
          <w:szCs w:val="18"/>
        </w:rPr>
      </w:pPr>
      <w:r>
        <w:rPr>
          <w:bCs/>
          <w:szCs w:val="18"/>
        </w:rPr>
        <w:t xml:space="preserve">In de nieuwe </w:t>
      </w:r>
      <w:r w:rsidRPr="004533EF" w:rsidR="004533EF">
        <w:rPr>
          <w:bCs/>
          <w:szCs w:val="18"/>
        </w:rPr>
        <w:t xml:space="preserve">regeling </w:t>
      </w:r>
      <w:r>
        <w:rPr>
          <w:bCs/>
          <w:szCs w:val="18"/>
        </w:rPr>
        <w:t>wordt</w:t>
      </w:r>
      <w:r w:rsidRPr="004533EF" w:rsidR="004533EF">
        <w:rPr>
          <w:bCs/>
          <w:szCs w:val="18"/>
        </w:rPr>
        <w:t xml:space="preserve"> het plafond verlaagd van </w:t>
      </w:r>
      <w:r w:rsidR="004533EF">
        <w:rPr>
          <w:bCs/>
          <w:szCs w:val="18"/>
        </w:rPr>
        <w:t>€</w:t>
      </w:r>
      <w:r w:rsidRPr="004533EF" w:rsidR="004533EF">
        <w:rPr>
          <w:bCs/>
          <w:szCs w:val="18"/>
        </w:rPr>
        <w:t xml:space="preserve">1,8 miljoen naar </w:t>
      </w:r>
      <w:r w:rsidR="004533EF">
        <w:rPr>
          <w:bCs/>
          <w:szCs w:val="18"/>
        </w:rPr>
        <w:t>€</w:t>
      </w:r>
      <w:r w:rsidRPr="004533EF" w:rsidR="004533EF">
        <w:rPr>
          <w:bCs/>
          <w:szCs w:val="18"/>
        </w:rPr>
        <w:t>800.000 als gevolg van de vastgestelde onderbenutting</w:t>
      </w:r>
      <w:r w:rsidR="00370382">
        <w:rPr>
          <w:bCs/>
          <w:szCs w:val="18"/>
        </w:rPr>
        <w:t xml:space="preserve"> én een </w:t>
      </w:r>
      <w:r w:rsidR="00E57917">
        <w:rPr>
          <w:bCs/>
          <w:szCs w:val="18"/>
        </w:rPr>
        <w:t>beperking van de werking</w:t>
      </w:r>
      <w:r w:rsidR="00370382">
        <w:rPr>
          <w:bCs/>
          <w:szCs w:val="18"/>
        </w:rPr>
        <w:t xml:space="preserve"> van artikel 6 waarbij op dit moment samenloop met andere tegemoetkomingen niet mogelijk is.</w:t>
      </w:r>
      <w:r w:rsidR="00E57917">
        <w:rPr>
          <w:bCs/>
          <w:szCs w:val="18"/>
        </w:rPr>
        <w:t xml:space="preserve"> </w:t>
      </w:r>
      <w:r w:rsidRPr="004533EF" w:rsidR="004533EF">
        <w:rPr>
          <w:bCs/>
          <w:szCs w:val="18"/>
        </w:rPr>
        <w:t>Na de evaluatie van de resultaten van het evaluatieonderzoek zullen verdere wijzigingen aan de regeling worden aangebracht op basis van inhoudelijke aspecten.</w:t>
      </w:r>
    </w:p>
    <w:p w:rsidR="004533EF" w:rsidP="00D05403" w:rsidRDefault="004533EF" w14:paraId="1D4DD1D9" w14:textId="77777777">
      <w:pPr>
        <w:tabs>
          <w:tab w:val="left" w:pos="227"/>
          <w:tab w:val="left" w:pos="284"/>
          <w:tab w:val="left" w:pos="454"/>
          <w:tab w:val="left" w:pos="680"/>
        </w:tabs>
        <w:autoSpaceDE w:val="0"/>
        <w:autoSpaceDN w:val="0"/>
        <w:adjustRightInd w:val="0"/>
        <w:rPr>
          <w:bCs/>
          <w:szCs w:val="18"/>
        </w:rPr>
      </w:pPr>
    </w:p>
    <w:p w:rsidR="00FD4DB1" w:rsidP="00D05403" w:rsidRDefault="00FD4DB1" w14:paraId="209CAF50" w14:textId="77777777">
      <w:pPr>
        <w:tabs>
          <w:tab w:val="left" w:pos="227"/>
          <w:tab w:val="left" w:pos="284"/>
          <w:tab w:val="left" w:pos="454"/>
          <w:tab w:val="left" w:pos="680"/>
        </w:tabs>
        <w:autoSpaceDE w:val="0"/>
        <w:autoSpaceDN w:val="0"/>
        <w:adjustRightInd w:val="0"/>
        <w:rPr>
          <w:bCs/>
          <w:szCs w:val="18"/>
        </w:rPr>
      </w:pPr>
    </w:p>
    <w:p w:rsidR="002C5453" w:rsidP="00CC51C5" w:rsidRDefault="002C5453" w14:paraId="71B60893" w14:textId="77777777"/>
    <w:p w:rsidR="00D3777C" w:rsidP="00CC51C5" w:rsidRDefault="00D3777C" w14:paraId="4678FE0C" w14:textId="77777777"/>
    <w:p w:rsidR="00D3777C" w:rsidP="00CC51C5" w:rsidRDefault="00D3777C" w14:paraId="11D875D1" w14:textId="77777777"/>
    <w:p w:rsidR="00D3777C" w:rsidP="00CC51C5" w:rsidRDefault="00D3777C" w14:paraId="2444ECC6" w14:textId="77777777"/>
    <w:p w:rsidR="00D3777C" w:rsidP="00CC51C5" w:rsidRDefault="00D3777C" w14:paraId="16FB94CE" w14:textId="77777777"/>
    <w:p w:rsidRPr="00F11638" w:rsidR="00D3777C" w:rsidP="00CC51C5" w:rsidRDefault="00D3777C" w14:paraId="0BAB0E64" w14:textId="77777777"/>
    <w:p w:rsidR="00407E2C" w:rsidP="00CC51C5" w:rsidRDefault="00407E2C" w14:paraId="6F73EE67" w14:textId="77777777"/>
    <w:tbl>
      <w:tblPr>
        <w:tblStyle w:val="Tabelraster"/>
        <w:tblW w:w="0" w:type="auto"/>
        <w:tblLook w:val="04A0" w:firstRow="1" w:lastRow="0" w:firstColumn="1" w:lastColumn="0" w:noHBand="0" w:noVBand="1"/>
      </w:tblPr>
      <w:tblGrid>
        <w:gridCol w:w="3745"/>
        <w:gridCol w:w="3745"/>
      </w:tblGrid>
      <w:tr w:rsidRPr="00566B42" w:rsidR="00E57917" w:rsidTr="00E57917" w14:paraId="6F61EA2F" w14:textId="77777777">
        <w:tc>
          <w:tcPr>
            <w:tcW w:w="3745" w:type="dxa"/>
          </w:tcPr>
          <w:p w:rsidRPr="00566B42" w:rsidR="00E57917" w:rsidP="00577450" w:rsidRDefault="000C3184" w14:paraId="0E776A86" w14:textId="2D26263B">
            <w:pPr>
              <w:tabs>
                <w:tab w:val="left" w:pos="5245"/>
              </w:tabs>
              <w:spacing w:line="240" w:lineRule="auto"/>
              <w:ind w:left="709" w:hanging="709"/>
              <w:rPr>
                <w:szCs w:val="18"/>
              </w:rPr>
            </w:pPr>
            <w:r w:rsidRPr="00577450">
              <w:rPr>
                <w:rFonts w:eastAsiaTheme="minorHAnsi"/>
                <w:szCs w:val="18"/>
                <w:lang w:eastAsia="en-US"/>
              </w:rPr>
              <w:t>Actie</w:t>
            </w:r>
          </w:p>
        </w:tc>
        <w:tc>
          <w:tcPr>
            <w:tcW w:w="3745" w:type="dxa"/>
          </w:tcPr>
          <w:p w:rsidRPr="00566B42" w:rsidR="00E57917" w:rsidP="00CC51C5" w:rsidRDefault="000C3184" w14:paraId="163E4ECE" w14:textId="4D0396C3">
            <w:pPr>
              <w:rPr>
                <w:szCs w:val="18"/>
              </w:rPr>
            </w:pPr>
            <w:r w:rsidRPr="00566B42">
              <w:rPr>
                <w:szCs w:val="18"/>
              </w:rPr>
              <w:t>Datum</w:t>
            </w:r>
          </w:p>
        </w:tc>
      </w:tr>
      <w:tr w:rsidRPr="00566B42" w:rsidR="00E57917" w:rsidTr="00E57917" w14:paraId="0CFBFA1B" w14:textId="77777777">
        <w:tc>
          <w:tcPr>
            <w:tcW w:w="3745" w:type="dxa"/>
          </w:tcPr>
          <w:p w:rsidRPr="00566B42" w:rsidR="00E57917" w:rsidP="00CC51C5" w:rsidRDefault="000C3184" w14:paraId="1A61F381" w14:textId="2A8DCF73">
            <w:pPr>
              <w:rPr>
                <w:szCs w:val="18"/>
              </w:rPr>
            </w:pPr>
            <w:r w:rsidRPr="00577450">
              <w:rPr>
                <w:rFonts w:eastAsiaTheme="minorHAnsi"/>
                <w:szCs w:val="18"/>
                <w:lang w:eastAsia="en-US"/>
              </w:rPr>
              <w:t>Bespreken Nota ter aanbieding subsidieregeling in ECS (inclusief staatssteunanalyse)</w:t>
            </w:r>
          </w:p>
        </w:tc>
        <w:tc>
          <w:tcPr>
            <w:tcW w:w="3745" w:type="dxa"/>
          </w:tcPr>
          <w:p w:rsidRPr="00566B42" w:rsidR="00E57917" w:rsidP="00CC51C5" w:rsidRDefault="0015348F" w14:paraId="3AC75B07" w14:textId="68DC6FDB">
            <w:pPr>
              <w:rPr>
                <w:szCs w:val="18"/>
              </w:rPr>
            </w:pPr>
            <w:r>
              <w:rPr>
                <w:szCs w:val="18"/>
              </w:rPr>
              <w:t>19- 23 augustus</w:t>
            </w:r>
            <w:r w:rsidR="00C0429B">
              <w:rPr>
                <w:szCs w:val="18"/>
              </w:rPr>
              <w:t xml:space="preserve"> 2024</w:t>
            </w:r>
          </w:p>
        </w:tc>
      </w:tr>
      <w:tr w:rsidRPr="00566B42" w:rsidR="00E57917" w:rsidTr="00E57917" w14:paraId="165B534B" w14:textId="77777777">
        <w:tc>
          <w:tcPr>
            <w:tcW w:w="3745" w:type="dxa"/>
          </w:tcPr>
          <w:p w:rsidRPr="00566B42" w:rsidR="00E57917" w:rsidP="00CC51C5" w:rsidRDefault="000C3184" w14:paraId="39B69A20" w14:textId="5370A31B">
            <w:pPr>
              <w:rPr>
                <w:szCs w:val="18"/>
              </w:rPr>
            </w:pPr>
            <w:r w:rsidRPr="00577450">
              <w:rPr>
                <w:rFonts w:eastAsiaTheme="minorHAnsi"/>
                <w:szCs w:val="18"/>
                <w:lang w:eastAsia="en-US"/>
              </w:rPr>
              <w:t>Bespreken subsidieregeling in ECS</w:t>
            </w:r>
          </w:p>
        </w:tc>
        <w:tc>
          <w:tcPr>
            <w:tcW w:w="3745" w:type="dxa"/>
          </w:tcPr>
          <w:p w:rsidRPr="00566B42" w:rsidR="00E57917" w:rsidP="00CC51C5" w:rsidRDefault="00C0429B" w14:paraId="2D439FEF" w14:textId="118638F9">
            <w:pPr>
              <w:rPr>
                <w:szCs w:val="18"/>
              </w:rPr>
            </w:pPr>
            <w:r>
              <w:rPr>
                <w:szCs w:val="18"/>
              </w:rPr>
              <w:t>29 augustus 2024</w:t>
            </w:r>
          </w:p>
        </w:tc>
      </w:tr>
      <w:tr w:rsidRPr="00566B42" w:rsidR="00E57917" w:rsidTr="00E57917" w14:paraId="58A4A77A" w14:textId="77777777">
        <w:tc>
          <w:tcPr>
            <w:tcW w:w="3745" w:type="dxa"/>
          </w:tcPr>
          <w:p w:rsidRPr="00566B42" w:rsidR="00E57917" w:rsidP="00CC51C5" w:rsidRDefault="000C3184" w14:paraId="07301A9B" w14:textId="270FDF6C">
            <w:pPr>
              <w:rPr>
                <w:szCs w:val="18"/>
              </w:rPr>
            </w:pPr>
            <w:r w:rsidRPr="00577450">
              <w:rPr>
                <w:rFonts w:eastAsiaTheme="minorHAnsi"/>
                <w:szCs w:val="18"/>
                <w:lang w:eastAsia="en-US"/>
              </w:rPr>
              <w:t>Aanvraag en uitbrengen uitvoeringstoets</w:t>
            </w:r>
          </w:p>
        </w:tc>
        <w:tc>
          <w:tcPr>
            <w:tcW w:w="3745" w:type="dxa"/>
          </w:tcPr>
          <w:p w:rsidR="00E57917" w:rsidP="00CC51C5" w:rsidRDefault="00C0429B" w14:paraId="6E03B7E6" w14:textId="74E317F0">
            <w:pPr>
              <w:rPr>
                <w:szCs w:val="18"/>
              </w:rPr>
            </w:pPr>
            <w:r>
              <w:rPr>
                <w:szCs w:val="18"/>
              </w:rPr>
              <w:t xml:space="preserve">Aanvraag: </w:t>
            </w:r>
            <w:r w:rsidR="009C49B8">
              <w:rPr>
                <w:szCs w:val="18"/>
              </w:rPr>
              <w:t>7</w:t>
            </w:r>
            <w:r>
              <w:rPr>
                <w:szCs w:val="18"/>
              </w:rPr>
              <w:t xml:space="preserve"> </w:t>
            </w:r>
            <w:r w:rsidR="009C49B8">
              <w:rPr>
                <w:szCs w:val="18"/>
              </w:rPr>
              <w:t>oktober</w:t>
            </w:r>
            <w:r>
              <w:rPr>
                <w:szCs w:val="18"/>
              </w:rPr>
              <w:t xml:space="preserve"> 2024</w:t>
            </w:r>
          </w:p>
          <w:p w:rsidRPr="00566B42" w:rsidR="00C0429B" w:rsidP="00CC51C5" w:rsidRDefault="00C0429B" w14:paraId="5B795452" w14:textId="78513B28">
            <w:pPr>
              <w:rPr>
                <w:szCs w:val="18"/>
              </w:rPr>
            </w:pPr>
            <w:r>
              <w:rPr>
                <w:szCs w:val="18"/>
              </w:rPr>
              <w:t>Uitbrengen:</w:t>
            </w:r>
            <w:r w:rsidR="00125F10">
              <w:rPr>
                <w:szCs w:val="18"/>
              </w:rPr>
              <w:t xml:space="preserve"> </w:t>
            </w:r>
            <w:r w:rsidR="009C49B8">
              <w:rPr>
                <w:szCs w:val="18"/>
              </w:rPr>
              <w:t>31 oktober</w:t>
            </w:r>
            <w:r w:rsidR="00125F10">
              <w:rPr>
                <w:szCs w:val="18"/>
              </w:rPr>
              <w:t xml:space="preserve"> 2024</w:t>
            </w:r>
          </w:p>
        </w:tc>
      </w:tr>
      <w:tr w:rsidRPr="00566B42" w:rsidR="006D0F0A" w:rsidTr="00E57917" w14:paraId="5D36AAD8" w14:textId="77777777">
        <w:tc>
          <w:tcPr>
            <w:tcW w:w="3745" w:type="dxa"/>
          </w:tcPr>
          <w:p w:rsidRPr="00577450" w:rsidR="006D0F0A" w:rsidP="00CC51C5" w:rsidRDefault="006D0F0A" w14:paraId="54CB9479" w14:textId="65A91362">
            <w:pPr>
              <w:rPr>
                <w:rFonts w:eastAsiaTheme="minorHAnsi"/>
                <w:szCs w:val="18"/>
                <w:lang w:eastAsia="en-US"/>
              </w:rPr>
            </w:pPr>
            <w:r>
              <w:rPr>
                <w:rFonts w:eastAsiaTheme="minorHAnsi"/>
                <w:szCs w:val="18"/>
                <w:lang w:eastAsia="en-US"/>
              </w:rPr>
              <w:t>Start voorhang</w:t>
            </w:r>
          </w:p>
        </w:tc>
        <w:tc>
          <w:tcPr>
            <w:tcW w:w="3745" w:type="dxa"/>
          </w:tcPr>
          <w:p w:rsidR="006D0F0A" w:rsidP="00CC51C5" w:rsidRDefault="00917F69" w14:paraId="210BCFFC" w14:textId="68324DFD">
            <w:pPr>
              <w:rPr>
                <w:szCs w:val="18"/>
              </w:rPr>
            </w:pPr>
            <w:r>
              <w:rPr>
                <w:szCs w:val="18"/>
              </w:rPr>
              <w:t>30</w:t>
            </w:r>
            <w:r w:rsidR="006D0F0A">
              <w:rPr>
                <w:szCs w:val="18"/>
              </w:rPr>
              <w:t xml:space="preserve"> </w:t>
            </w:r>
            <w:r>
              <w:rPr>
                <w:szCs w:val="18"/>
              </w:rPr>
              <w:t>januari</w:t>
            </w:r>
          </w:p>
        </w:tc>
      </w:tr>
      <w:tr w:rsidRPr="00566B42" w:rsidR="000C3184" w:rsidTr="00E57917" w14:paraId="54F228AF" w14:textId="77777777">
        <w:tc>
          <w:tcPr>
            <w:tcW w:w="3745" w:type="dxa"/>
          </w:tcPr>
          <w:p w:rsidRPr="00577450" w:rsidR="000C3184" w:rsidP="00CC51C5" w:rsidRDefault="000C3184" w14:paraId="31D10F7F" w14:textId="766339E3">
            <w:pPr>
              <w:rPr>
                <w:rFonts w:eastAsiaTheme="minorHAnsi"/>
                <w:szCs w:val="18"/>
                <w:lang w:eastAsia="en-US"/>
              </w:rPr>
            </w:pPr>
            <w:r w:rsidRPr="00577450">
              <w:rPr>
                <w:rFonts w:eastAsiaTheme="minorHAnsi"/>
                <w:szCs w:val="18"/>
                <w:lang w:eastAsia="en-US"/>
              </w:rPr>
              <w:t>Ondertekening door M</w:t>
            </w:r>
          </w:p>
        </w:tc>
        <w:tc>
          <w:tcPr>
            <w:tcW w:w="3745" w:type="dxa"/>
          </w:tcPr>
          <w:p w:rsidRPr="00566B42" w:rsidR="000C3184" w:rsidP="00CC51C5" w:rsidRDefault="00917F69" w14:paraId="3C4C44A4" w14:textId="59688444">
            <w:pPr>
              <w:rPr>
                <w:szCs w:val="18"/>
              </w:rPr>
            </w:pPr>
            <w:r>
              <w:rPr>
                <w:szCs w:val="18"/>
              </w:rPr>
              <w:t>28</w:t>
            </w:r>
            <w:r w:rsidR="006D0F0A">
              <w:rPr>
                <w:szCs w:val="18"/>
              </w:rPr>
              <w:t xml:space="preserve"> </w:t>
            </w:r>
            <w:r>
              <w:rPr>
                <w:szCs w:val="18"/>
              </w:rPr>
              <w:t>februari</w:t>
            </w:r>
          </w:p>
        </w:tc>
      </w:tr>
      <w:tr w:rsidRPr="00566B42" w:rsidR="000C3184" w:rsidTr="00E57917" w14:paraId="76E47D82" w14:textId="77777777">
        <w:tc>
          <w:tcPr>
            <w:tcW w:w="3745" w:type="dxa"/>
          </w:tcPr>
          <w:p w:rsidRPr="00577450" w:rsidR="000C3184" w:rsidP="00CC51C5" w:rsidRDefault="000C3184" w14:paraId="04341520" w14:textId="3E049F80">
            <w:pPr>
              <w:rPr>
                <w:rFonts w:eastAsiaTheme="minorHAnsi"/>
                <w:szCs w:val="18"/>
                <w:lang w:eastAsia="en-US"/>
              </w:rPr>
            </w:pPr>
            <w:r w:rsidRPr="00577450">
              <w:rPr>
                <w:rFonts w:eastAsiaTheme="minorHAnsi"/>
                <w:szCs w:val="18"/>
                <w:lang w:eastAsia="en-US"/>
              </w:rPr>
              <w:t>Publicatie door WJZ</w:t>
            </w:r>
          </w:p>
        </w:tc>
        <w:tc>
          <w:tcPr>
            <w:tcW w:w="3745" w:type="dxa"/>
          </w:tcPr>
          <w:p w:rsidRPr="00566B42" w:rsidR="000C3184" w:rsidP="00CC51C5" w:rsidRDefault="001B6C64" w14:paraId="5D1B2EEF" w14:textId="2C7E9B89">
            <w:pPr>
              <w:rPr>
                <w:szCs w:val="18"/>
              </w:rPr>
            </w:pPr>
            <w:r>
              <w:rPr>
                <w:szCs w:val="18"/>
              </w:rPr>
              <w:t>E</w:t>
            </w:r>
            <w:r w:rsidRPr="001B6C64">
              <w:rPr>
                <w:szCs w:val="18"/>
              </w:rPr>
              <w:t>én dag na uitgifte in de Staatscourant</w:t>
            </w:r>
          </w:p>
        </w:tc>
      </w:tr>
    </w:tbl>
    <w:p w:rsidRPr="00F11638" w:rsidR="00E57917" w:rsidP="00CC51C5" w:rsidRDefault="00E57917" w14:paraId="30D2791E" w14:textId="22B0FD8C"/>
    <w:sectPr w:rsidRPr="00F11638" w:rsidR="00E57917" w:rsidSect="00F72B08">
      <w:headerReference w:type="default" r:id="rId8"/>
      <w:footerReference w:type="default" r:id="rId9"/>
      <w:headerReference w:type="first" r:id="rId10"/>
      <w:footerReference w:type="first" r:id="rId11"/>
      <w:type w:val="continuous"/>
      <w:pgSz w:w="11906" w:h="16838" w:code="9"/>
      <w:pgMar w:top="3180" w:right="2818" w:bottom="1077" w:left="1588" w:header="2398"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DE69" w14:textId="77777777" w:rsidR="009D264F" w:rsidRDefault="00615165">
      <w:r>
        <w:separator/>
      </w:r>
    </w:p>
    <w:p w14:paraId="2A584D38" w14:textId="77777777" w:rsidR="009D264F" w:rsidRDefault="009D264F"/>
  </w:endnote>
  <w:endnote w:type="continuationSeparator" w:id="0">
    <w:p w14:paraId="79AEB474" w14:textId="77777777" w:rsidR="009D264F" w:rsidRDefault="00615165">
      <w:r>
        <w:continuationSeparator/>
      </w:r>
    </w:p>
    <w:p w14:paraId="3E4DC00D" w14:textId="77777777" w:rsidR="009D264F" w:rsidRDefault="009D2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DOJM N+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44D3"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23B91" w14:paraId="5C91ADEA" w14:textId="77777777" w:rsidTr="001E4C6B">
      <w:trPr>
        <w:trHeight w:hRule="exact" w:val="240"/>
      </w:trPr>
      <w:tc>
        <w:tcPr>
          <w:tcW w:w="7601" w:type="dxa"/>
          <w:shd w:val="clear" w:color="auto" w:fill="auto"/>
        </w:tcPr>
        <w:p w14:paraId="32164D50" w14:textId="77777777" w:rsidR="00137AC0" w:rsidRDefault="00137AC0" w:rsidP="003F1F6B">
          <w:pPr>
            <w:pStyle w:val="Huisstijl-Rubricering"/>
          </w:pPr>
        </w:p>
      </w:tc>
      <w:tc>
        <w:tcPr>
          <w:tcW w:w="2156" w:type="dxa"/>
        </w:tcPr>
        <w:p w14:paraId="1CA0B6CE" w14:textId="728C1939" w:rsidR="00137AC0" w:rsidRPr="00236CFE" w:rsidRDefault="00615165"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A9595F">
            <w:t>4</w:t>
          </w:r>
          <w:r w:rsidRPr="00CB7ABA">
            <w:fldChar w:fldCharType="end"/>
          </w:r>
          <w:r w:rsidRPr="00CB7ABA">
            <w:t xml:space="preserve"> van </w:t>
          </w:r>
          <w:r w:rsidR="00A9595F">
            <w:fldChar w:fldCharType="begin"/>
          </w:r>
          <w:r>
            <w:instrText xml:space="preserve"> SECTIONPAGES   \* MERGEFORMAT </w:instrText>
          </w:r>
          <w:r w:rsidR="00A9595F">
            <w:fldChar w:fldCharType="separate"/>
          </w:r>
          <w:r w:rsidR="00FA23CC">
            <w:t>7</w:t>
          </w:r>
          <w:r w:rsidR="00A9595F">
            <w:fldChar w:fldCharType="end"/>
          </w:r>
        </w:p>
      </w:tc>
    </w:tr>
  </w:tbl>
  <w:p w14:paraId="5BC9C2DF" w14:textId="77777777" w:rsidR="00137AC0" w:rsidRPr="00BC3B53" w:rsidRDefault="00137AC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C23B91" w14:paraId="264A6853" w14:textId="77777777" w:rsidTr="00301C26">
      <w:trPr>
        <w:trHeight w:hRule="exact" w:val="240"/>
      </w:trPr>
      <w:tc>
        <w:tcPr>
          <w:tcW w:w="7713" w:type="dxa"/>
          <w:shd w:val="clear" w:color="auto" w:fill="auto"/>
        </w:tcPr>
        <w:p w14:paraId="20A22E8C" w14:textId="77777777" w:rsidR="00137AC0" w:rsidRDefault="00137AC0" w:rsidP="008C356D">
          <w:pPr>
            <w:pStyle w:val="Huisstijl-Rubricering"/>
          </w:pPr>
        </w:p>
      </w:tc>
      <w:tc>
        <w:tcPr>
          <w:tcW w:w="2058" w:type="dxa"/>
        </w:tcPr>
        <w:p w14:paraId="08E07739" w14:textId="01470468" w:rsidR="00137AC0" w:rsidRPr="00CB7ABA" w:rsidRDefault="00615165"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A9595F">
            <w:t>1</w:t>
          </w:r>
          <w:r w:rsidRPr="00CB7ABA">
            <w:fldChar w:fldCharType="end"/>
          </w:r>
          <w:r w:rsidRPr="00CB7ABA">
            <w:t xml:space="preserve"> van</w:t>
          </w:r>
          <w:r w:rsidRPr="00CB7ABA">
            <w:rPr>
              <w:rStyle w:val="Huisstijl-GegevenCharChar"/>
            </w:rPr>
            <w:t xml:space="preserve"> </w:t>
          </w:r>
          <w:r w:rsidR="00596E4B">
            <w:fldChar w:fldCharType="begin"/>
          </w:r>
          <w:r>
            <w:instrText xml:space="preserve"> SECTIONPAGES   \* MERGEFORMAT </w:instrText>
          </w:r>
          <w:r w:rsidR="00596E4B">
            <w:fldChar w:fldCharType="separate"/>
          </w:r>
          <w:r w:rsidR="00FA23CC">
            <w:t>7</w:t>
          </w:r>
          <w:r w:rsidR="00596E4B">
            <w:fldChar w:fldCharType="end"/>
          </w:r>
        </w:p>
      </w:tc>
    </w:tr>
  </w:tbl>
  <w:p w14:paraId="0F910ED9" w14:textId="77777777" w:rsidR="00137AC0" w:rsidRPr="00BC3B53" w:rsidRDefault="00137AC0" w:rsidP="008C356D">
    <w:pPr>
      <w:pStyle w:val="Voettekst"/>
      <w:spacing w:line="240" w:lineRule="auto"/>
      <w:rPr>
        <w:sz w:val="2"/>
        <w:szCs w:val="2"/>
      </w:rPr>
    </w:pPr>
  </w:p>
  <w:p w14:paraId="4AF35460" w14:textId="77777777" w:rsidR="00137AC0" w:rsidRPr="00BC3B53" w:rsidRDefault="00137AC0"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E120" w14:textId="77777777" w:rsidR="009D264F" w:rsidRDefault="00615165">
      <w:r>
        <w:separator/>
      </w:r>
    </w:p>
    <w:p w14:paraId="57025E44" w14:textId="77777777" w:rsidR="009D264F" w:rsidRDefault="009D264F"/>
  </w:footnote>
  <w:footnote w:type="continuationSeparator" w:id="0">
    <w:p w14:paraId="13C78D6F" w14:textId="77777777" w:rsidR="009D264F" w:rsidRDefault="00615165">
      <w:r>
        <w:continuationSeparator/>
      </w:r>
    </w:p>
    <w:p w14:paraId="69899491" w14:textId="77777777" w:rsidR="009D264F" w:rsidRDefault="009D2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49BF"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23B91" w14:paraId="03E21CC6" w14:textId="77777777" w:rsidTr="005558E0">
      <w:tc>
        <w:tcPr>
          <w:tcW w:w="2160" w:type="dxa"/>
          <w:shd w:val="clear" w:color="auto" w:fill="auto"/>
        </w:tcPr>
        <w:p w14:paraId="15E817B4" w14:textId="77777777" w:rsidR="00137AC0" w:rsidRPr="00044613" w:rsidRDefault="00137AC0" w:rsidP="005558E0">
          <w:pPr>
            <w:pStyle w:val="Huisstijl-Adres"/>
          </w:pPr>
        </w:p>
      </w:tc>
    </w:tr>
    <w:tr w:rsidR="00C23B91" w14:paraId="257B07AD" w14:textId="77777777" w:rsidTr="005558E0">
      <w:trPr>
        <w:trHeight w:hRule="exact" w:val="200"/>
      </w:trPr>
      <w:tc>
        <w:tcPr>
          <w:tcW w:w="2160" w:type="dxa"/>
          <w:shd w:val="clear" w:color="auto" w:fill="auto"/>
        </w:tcPr>
        <w:p w14:paraId="14769D3E" w14:textId="77777777" w:rsidR="00137AC0" w:rsidRPr="005819CE" w:rsidRDefault="00137AC0" w:rsidP="005558E0"/>
      </w:tc>
    </w:tr>
    <w:tr w:rsidR="00C23B91" w14:paraId="11BB3094" w14:textId="77777777" w:rsidTr="005558E0">
      <w:tc>
        <w:tcPr>
          <w:tcW w:w="2160" w:type="dxa"/>
          <w:shd w:val="clear" w:color="auto" w:fill="auto"/>
        </w:tcPr>
        <w:p w14:paraId="7BE23B81" w14:textId="77777777" w:rsidR="00137AC0" w:rsidRDefault="00615165" w:rsidP="00C54BBB">
          <w:pPr>
            <w:spacing w:line="180" w:lineRule="exact"/>
            <w:rPr>
              <w:b/>
              <w:sz w:val="13"/>
              <w:szCs w:val="13"/>
            </w:rPr>
          </w:pPr>
          <w:r>
            <w:rPr>
              <w:b/>
              <w:sz w:val="13"/>
              <w:szCs w:val="13"/>
            </w:rPr>
            <w:t>Datum</w:t>
          </w:r>
        </w:p>
        <w:p w14:paraId="3111C4E4" w14:textId="5BA28382" w:rsidR="00C54BBB" w:rsidRPr="00C54BBB" w:rsidRDefault="003F0042" w:rsidP="00C54BBB">
          <w:pPr>
            <w:spacing w:after="92" w:line="180" w:lineRule="exact"/>
            <w:rPr>
              <w:sz w:val="13"/>
              <w:szCs w:val="13"/>
            </w:rPr>
          </w:pPr>
          <w:r>
            <w:rPr>
              <w:sz w:val="13"/>
              <w:szCs w:val="13"/>
            </w:rPr>
            <w:t xml:space="preserve">9 december </w:t>
          </w:r>
          <w:r w:rsidR="00615165">
            <w:rPr>
              <w:sz w:val="13"/>
              <w:szCs w:val="13"/>
            </w:rPr>
            <w:t>2024</w:t>
          </w:r>
        </w:p>
      </w:tc>
    </w:tr>
  </w:tbl>
  <w:p w14:paraId="554357C2" w14:textId="77777777" w:rsidR="007A3F7B" w:rsidRPr="007A3F7B" w:rsidRDefault="007A3F7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C23B91" w14:paraId="47DA190B" w14:textId="77777777" w:rsidTr="009D5D50">
      <w:trPr>
        <w:trHeight w:hRule="exact" w:val="400"/>
      </w:trPr>
      <w:tc>
        <w:tcPr>
          <w:tcW w:w="7520" w:type="dxa"/>
          <w:shd w:val="clear" w:color="auto" w:fill="auto"/>
        </w:tcPr>
        <w:p w14:paraId="138A9DF2" w14:textId="77777777" w:rsidR="00137AC0" w:rsidRPr="00275984" w:rsidRDefault="00137AC0" w:rsidP="009D5D50">
          <w:pPr>
            <w:spacing w:line="240" w:lineRule="auto"/>
            <w:rPr>
              <w:sz w:val="12"/>
              <w:szCs w:val="12"/>
            </w:rPr>
          </w:pPr>
        </w:p>
      </w:tc>
    </w:tr>
  </w:tbl>
  <w:p w14:paraId="14FF8374" w14:textId="77777777" w:rsidR="00137AC0" w:rsidRPr="00740712" w:rsidRDefault="00137AC0" w:rsidP="004F44C2"/>
  <w:p w14:paraId="2962C56B" w14:textId="77777777" w:rsidR="00137AC0" w:rsidRPr="00217880" w:rsidRDefault="00137AC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26AD" w14:textId="77777777" w:rsidR="00137AC0" w:rsidRDefault="00615165">
    <w:pPr>
      <w:framePr w:w="737" w:h="2104" w:hRule="exact" w:wrap="around" w:vAnchor="page" w:hAnchor="page" w:x="5586" w:y="1" w:anchorLock="1"/>
    </w:pPr>
    <w:r>
      <w:rPr>
        <w:noProof/>
        <w:lang w:val="en-US" w:eastAsia="en-US"/>
      </w:rPr>
      <w:drawing>
        <wp:inline distT="0" distB="0" distL="0" distR="0" wp14:anchorId="2C5DDBB8" wp14:editId="27C2EAD3">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2F1A8434" w14:textId="77777777" w:rsidR="005C2465" w:rsidRDefault="00615165" w:rsidP="00401545">
    <w:pPr>
      <w:framePr w:w="3873" w:h="2625" w:hRule="exact" w:wrap="around" w:vAnchor="page" w:hAnchor="page" w:x="6323" w:y="1"/>
    </w:pPr>
    <w:r>
      <w:rPr>
        <w:noProof/>
        <w:lang w:val="en-US" w:eastAsia="en-US"/>
      </w:rPr>
      <w:drawing>
        <wp:inline distT="0" distB="0" distL="0" distR="0" wp14:anchorId="7BB77757" wp14:editId="486A4AE0">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74E9210" w14:textId="77777777" w:rsidR="00483ECA" w:rsidRPr="009A1115" w:rsidRDefault="00483ECA" w:rsidP="00D037A9">
    <w:pPr>
      <w:rPr>
        <w:rFonts w:ascii="Times New Roman" w:hAnsi="Times New Roman"/>
        <w:sz w:val="20"/>
        <w:szCs w:val="20"/>
      </w:rPr>
    </w:pPr>
  </w:p>
  <w:tbl>
    <w:tblPr>
      <w:tblW w:w="7520" w:type="dxa"/>
      <w:tblLayout w:type="fixed"/>
      <w:tblCellMar>
        <w:left w:w="0" w:type="dxa"/>
        <w:right w:w="0" w:type="dxa"/>
      </w:tblCellMar>
      <w:tblLook w:val="0000" w:firstRow="0" w:lastRow="0" w:firstColumn="0" w:lastColumn="0" w:noHBand="0" w:noVBand="0"/>
    </w:tblPr>
    <w:tblGrid>
      <w:gridCol w:w="2220"/>
      <w:gridCol w:w="5300"/>
    </w:tblGrid>
    <w:tr w:rsidR="00C23B91" w:rsidRPr="009A1115" w14:paraId="7D56B66D" w14:textId="77777777" w:rsidTr="00DA6C91">
      <w:trPr>
        <w:trHeight w:hRule="exact" w:val="397"/>
      </w:trPr>
      <w:tc>
        <w:tcPr>
          <w:tcW w:w="7520" w:type="dxa"/>
          <w:gridSpan w:val="2"/>
          <w:shd w:val="clear" w:color="auto" w:fill="auto"/>
        </w:tcPr>
        <w:p w14:paraId="0C463B1E" w14:textId="77777777" w:rsidR="00137AC0" w:rsidRPr="009A1115" w:rsidRDefault="00137AC0" w:rsidP="00A273D8">
          <w:pPr>
            <w:spacing w:line="180" w:lineRule="exact"/>
            <w:rPr>
              <w:rFonts w:ascii="Times New Roman" w:hAnsi="Times New Roman"/>
              <w:b/>
              <w:sz w:val="20"/>
              <w:szCs w:val="20"/>
            </w:rPr>
          </w:pPr>
        </w:p>
      </w:tc>
    </w:tr>
    <w:tr w:rsidR="00C23B91" w:rsidRPr="009A1115" w14:paraId="17D84B54" w14:textId="77777777" w:rsidTr="00D858B8">
      <w:trPr>
        <w:cantSplit/>
        <w:trHeight w:hRule="exact" w:val="1758"/>
      </w:trPr>
      <w:tc>
        <w:tcPr>
          <w:tcW w:w="7520" w:type="dxa"/>
          <w:gridSpan w:val="2"/>
          <w:shd w:val="clear" w:color="auto" w:fill="auto"/>
        </w:tcPr>
        <w:p w14:paraId="02A16D36" w14:textId="77777777" w:rsidR="00301C26" w:rsidRPr="009A1115" w:rsidRDefault="00615165" w:rsidP="00301C26">
          <w:pPr>
            <w:spacing w:line="180" w:lineRule="exact"/>
            <w:rPr>
              <w:rFonts w:ascii="Times New Roman" w:hAnsi="Times New Roman"/>
              <w:b/>
              <w:sz w:val="20"/>
              <w:szCs w:val="20"/>
            </w:rPr>
          </w:pPr>
          <w:r w:rsidRPr="009A1115">
            <w:rPr>
              <w:rFonts w:ascii="Times New Roman" w:hAnsi="Times New Roman"/>
              <w:b/>
              <w:sz w:val="20"/>
              <w:szCs w:val="20"/>
            </w:rPr>
            <w:t>Nota ter aanbieding subsidieregeling</w:t>
          </w:r>
        </w:p>
        <w:p w14:paraId="05E75C9B" w14:textId="77777777" w:rsidR="00D858B8" w:rsidRPr="009A1115" w:rsidRDefault="00615165" w:rsidP="00F40BA4">
          <w:pPr>
            <w:rPr>
              <w:rFonts w:ascii="Times New Roman" w:hAnsi="Times New Roman"/>
              <w:sz w:val="20"/>
              <w:szCs w:val="20"/>
            </w:rPr>
          </w:pPr>
          <w:r w:rsidRPr="009A1115">
            <w:rPr>
              <w:rFonts w:ascii="Times New Roman" w:hAnsi="Times New Roman"/>
              <w:sz w:val="20"/>
              <w:szCs w:val="20"/>
            </w:rPr>
            <w:t>Aan: MOCW</w:t>
          </w:r>
        </w:p>
      </w:tc>
    </w:tr>
    <w:tr w:rsidR="00C23B91" w:rsidRPr="009A1115" w14:paraId="74571888" w14:textId="77777777" w:rsidTr="009D5D50">
      <w:trPr>
        <w:trHeight w:val="460"/>
      </w:trPr>
      <w:tc>
        <w:tcPr>
          <w:tcW w:w="2220" w:type="dxa"/>
          <w:vMerge w:val="restart"/>
          <w:shd w:val="clear" w:color="auto" w:fill="auto"/>
        </w:tcPr>
        <w:p w14:paraId="5FCE95A5" w14:textId="77777777" w:rsidR="00BE69B9" w:rsidRPr="009A1115" w:rsidRDefault="00615165" w:rsidP="009D5D50">
          <w:pPr>
            <w:rPr>
              <w:rFonts w:ascii="Times New Roman" w:hAnsi="Times New Roman"/>
              <w:sz w:val="20"/>
              <w:szCs w:val="20"/>
            </w:rPr>
          </w:pPr>
          <w:r w:rsidRPr="009A1115">
            <w:rPr>
              <w:rFonts w:ascii="Times New Roman" w:hAnsi="Times New Roman"/>
              <w:noProof/>
              <w:sz w:val="20"/>
              <w:szCs w:val="20"/>
            </w:rPr>
            <w:drawing>
              <wp:anchor distT="0" distB="0" distL="114300" distR="114300" simplePos="0" relativeHeight="251658240" behindDoc="0" locked="0" layoutInCell="1" allowOverlap="0" wp14:anchorId="30C76066" wp14:editId="6BC9E78B">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134FB81E" w14:textId="77777777" w:rsidR="00137AC0" w:rsidRPr="009A1115" w:rsidRDefault="00137AC0" w:rsidP="009D5D50">
          <w:pPr>
            <w:rPr>
              <w:rFonts w:ascii="Times New Roman" w:hAnsi="Times New Roman"/>
              <w:sz w:val="20"/>
              <w:szCs w:val="20"/>
            </w:rPr>
          </w:pPr>
        </w:p>
      </w:tc>
    </w:tr>
    <w:tr w:rsidR="00C23B91" w:rsidRPr="009A1115" w14:paraId="187585AC" w14:textId="77777777" w:rsidTr="009D5D50">
      <w:trPr>
        <w:trHeight w:val="560"/>
      </w:trPr>
      <w:tc>
        <w:tcPr>
          <w:tcW w:w="2220" w:type="dxa"/>
          <w:vMerge/>
          <w:shd w:val="clear" w:color="auto" w:fill="auto"/>
        </w:tcPr>
        <w:p w14:paraId="4C551E1B" w14:textId="77777777" w:rsidR="00137AC0" w:rsidRPr="009A1115" w:rsidRDefault="00137AC0" w:rsidP="009D5D50">
          <w:pPr>
            <w:rPr>
              <w:rFonts w:ascii="Times New Roman" w:hAnsi="Times New Roman"/>
              <w:sz w:val="20"/>
              <w:szCs w:val="20"/>
            </w:rPr>
          </w:pPr>
        </w:p>
      </w:tc>
      <w:tc>
        <w:tcPr>
          <w:tcW w:w="5300" w:type="dxa"/>
          <w:shd w:val="clear" w:color="auto" w:fill="auto"/>
        </w:tcPr>
        <w:p w14:paraId="7870BFA8" w14:textId="03005371" w:rsidR="00137AC0" w:rsidRPr="009A1115" w:rsidRDefault="006821EE" w:rsidP="00F06766">
          <w:pPr>
            <w:rPr>
              <w:rFonts w:ascii="Times New Roman" w:hAnsi="Times New Roman"/>
              <w:sz w:val="20"/>
              <w:szCs w:val="20"/>
            </w:rPr>
          </w:pPr>
          <w:r>
            <w:rPr>
              <w:rFonts w:ascii="Times New Roman" w:hAnsi="Times New Roman"/>
              <w:sz w:val="20"/>
              <w:szCs w:val="20"/>
            </w:rPr>
            <w:t>S</w:t>
          </w:r>
          <w:r w:rsidR="00540BF6" w:rsidRPr="009A1115">
            <w:rPr>
              <w:rFonts w:ascii="Times New Roman" w:hAnsi="Times New Roman"/>
              <w:sz w:val="20"/>
              <w:szCs w:val="20"/>
            </w:rPr>
            <w:t>ubsidieregeling</w:t>
          </w:r>
          <w:r w:rsidR="00615165" w:rsidRPr="009A1115">
            <w:rPr>
              <w:rFonts w:ascii="Times New Roman" w:hAnsi="Times New Roman"/>
              <w:sz w:val="20"/>
              <w:szCs w:val="20"/>
            </w:rPr>
            <w:t xml:space="preserve"> instructeursbeurs mbo</w:t>
          </w:r>
          <w:r>
            <w:rPr>
              <w:rFonts w:ascii="Times New Roman" w:hAnsi="Times New Roman"/>
              <w:sz w:val="20"/>
              <w:szCs w:val="20"/>
            </w:rPr>
            <w:t xml:space="preserve"> 2025</w:t>
          </w:r>
        </w:p>
      </w:tc>
    </w:tr>
  </w:tbl>
  <w:p w14:paraId="6F95D1DA" w14:textId="77777777" w:rsidR="00137AC0" w:rsidRPr="009A1115" w:rsidRDefault="00137AC0" w:rsidP="00044613">
    <w:pPr>
      <w:pStyle w:val="Koptekst"/>
      <w:rPr>
        <w:rFonts w:ascii="Times New Roman" w:hAnsi="Times New Roman"/>
        <w:sz w:val="20"/>
        <w:szCs w:val="20"/>
      </w:rPr>
    </w:pPr>
  </w:p>
  <w:p w14:paraId="61A08524" w14:textId="77777777" w:rsidR="00570965" w:rsidRDefault="00570965" w:rsidP="00044613">
    <w:pPr>
      <w:pStyle w:val="Koptekst"/>
    </w:pPr>
  </w:p>
  <w:p w14:paraId="6620941C" w14:textId="77777777" w:rsidR="00C30273" w:rsidRDefault="00C30273" w:rsidP="00044613">
    <w:pPr>
      <w:pStyle w:val="Koptekst"/>
    </w:pPr>
  </w:p>
  <w:p w14:paraId="0ADEF4CE" w14:textId="77777777" w:rsidR="00C30273" w:rsidRPr="00BC4AE3" w:rsidRDefault="00C30273"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36629F"/>
    <w:multiLevelType w:val="hybridMultilevel"/>
    <w:tmpl w:val="60341636"/>
    <w:lvl w:ilvl="0" w:tplc="04130001">
      <w:start w:val="1"/>
      <w:numFmt w:val="bullet"/>
      <w:lvlText w:val=""/>
      <w:lvlJc w:val="left"/>
      <w:pPr>
        <w:ind w:left="587" w:hanging="360"/>
      </w:pPr>
      <w:rPr>
        <w:rFonts w:ascii="Symbol" w:hAnsi="Symbol" w:hint="default"/>
      </w:rPr>
    </w:lvl>
    <w:lvl w:ilvl="1" w:tplc="04130003">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0" w15:restartNumberingAfterBreak="0">
    <w:nsid w:val="081A0AA7"/>
    <w:multiLevelType w:val="hybridMultilevel"/>
    <w:tmpl w:val="28AC98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E8906284">
      <w:start w:val="1"/>
      <w:numFmt w:val="bullet"/>
      <w:pStyle w:val="Lijstopsomteken"/>
      <w:lvlText w:val="•"/>
      <w:lvlJc w:val="left"/>
      <w:pPr>
        <w:tabs>
          <w:tab w:val="num" w:pos="227"/>
        </w:tabs>
        <w:ind w:left="227" w:hanging="227"/>
      </w:pPr>
      <w:rPr>
        <w:rFonts w:ascii="Verdana" w:hAnsi="Verdana" w:hint="default"/>
        <w:sz w:val="18"/>
        <w:szCs w:val="18"/>
      </w:rPr>
    </w:lvl>
    <w:lvl w:ilvl="1" w:tplc="D37E3D26" w:tentative="1">
      <w:start w:val="1"/>
      <w:numFmt w:val="bullet"/>
      <w:lvlText w:val="o"/>
      <w:lvlJc w:val="left"/>
      <w:pPr>
        <w:tabs>
          <w:tab w:val="num" w:pos="1440"/>
        </w:tabs>
        <w:ind w:left="1440" w:hanging="360"/>
      </w:pPr>
      <w:rPr>
        <w:rFonts w:ascii="Courier New" w:hAnsi="Courier New" w:cs="Courier New" w:hint="default"/>
      </w:rPr>
    </w:lvl>
    <w:lvl w:ilvl="2" w:tplc="55F05512" w:tentative="1">
      <w:start w:val="1"/>
      <w:numFmt w:val="bullet"/>
      <w:lvlText w:val=""/>
      <w:lvlJc w:val="left"/>
      <w:pPr>
        <w:tabs>
          <w:tab w:val="num" w:pos="2160"/>
        </w:tabs>
        <w:ind w:left="2160" w:hanging="360"/>
      </w:pPr>
      <w:rPr>
        <w:rFonts w:ascii="Wingdings" w:hAnsi="Wingdings" w:hint="default"/>
      </w:rPr>
    </w:lvl>
    <w:lvl w:ilvl="3" w:tplc="E67A71CE" w:tentative="1">
      <w:start w:val="1"/>
      <w:numFmt w:val="bullet"/>
      <w:lvlText w:val=""/>
      <w:lvlJc w:val="left"/>
      <w:pPr>
        <w:tabs>
          <w:tab w:val="num" w:pos="2880"/>
        </w:tabs>
        <w:ind w:left="2880" w:hanging="360"/>
      </w:pPr>
      <w:rPr>
        <w:rFonts w:ascii="Symbol" w:hAnsi="Symbol" w:hint="default"/>
      </w:rPr>
    </w:lvl>
    <w:lvl w:ilvl="4" w:tplc="565EC8FA" w:tentative="1">
      <w:start w:val="1"/>
      <w:numFmt w:val="bullet"/>
      <w:lvlText w:val="o"/>
      <w:lvlJc w:val="left"/>
      <w:pPr>
        <w:tabs>
          <w:tab w:val="num" w:pos="3600"/>
        </w:tabs>
        <w:ind w:left="3600" w:hanging="360"/>
      </w:pPr>
      <w:rPr>
        <w:rFonts w:ascii="Courier New" w:hAnsi="Courier New" w:cs="Courier New" w:hint="default"/>
      </w:rPr>
    </w:lvl>
    <w:lvl w:ilvl="5" w:tplc="CB9CA670" w:tentative="1">
      <w:start w:val="1"/>
      <w:numFmt w:val="bullet"/>
      <w:lvlText w:val=""/>
      <w:lvlJc w:val="left"/>
      <w:pPr>
        <w:tabs>
          <w:tab w:val="num" w:pos="4320"/>
        </w:tabs>
        <w:ind w:left="4320" w:hanging="360"/>
      </w:pPr>
      <w:rPr>
        <w:rFonts w:ascii="Wingdings" w:hAnsi="Wingdings" w:hint="default"/>
      </w:rPr>
    </w:lvl>
    <w:lvl w:ilvl="6" w:tplc="84960AB4" w:tentative="1">
      <w:start w:val="1"/>
      <w:numFmt w:val="bullet"/>
      <w:lvlText w:val=""/>
      <w:lvlJc w:val="left"/>
      <w:pPr>
        <w:tabs>
          <w:tab w:val="num" w:pos="5040"/>
        </w:tabs>
        <w:ind w:left="5040" w:hanging="360"/>
      </w:pPr>
      <w:rPr>
        <w:rFonts w:ascii="Symbol" w:hAnsi="Symbol" w:hint="default"/>
      </w:rPr>
    </w:lvl>
    <w:lvl w:ilvl="7" w:tplc="E53A6794" w:tentative="1">
      <w:start w:val="1"/>
      <w:numFmt w:val="bullet"/>
      <w:lvlText w:val="o"/>
      <w:lvlJc w:val="left"/>
      <w:pPr>
        <w:tabs>
          <w:tab w:val="num" w:pos="5760"/>
        </w:tabs>
        <w:ind w:left="5760" w:hanging="360"/>
      </w:pPr>
      <w:rPr>
        <w:rFonts w:ascii="Courier New" w:hAnsi="Courier New" w:cs="Courier New" w:hint="default"/>
      </w:rPr>
    </w:lvl>
    <w:lvl w:ilvl="8" w:tplc="058407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8B3969"/>
    <w:multiLevelType w:val="multilevel"/>
    <w:tmpl w:val="7098F0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F7430"/>
    <w:multiLevelType w:val="multilevel"/>
    <w:tmpl w:val="4EB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FD7482"/>
    <w:multiLevelType w:val="multilevel"/>
    <w:tmpl w:val="F01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0699D"/>
    <w:multiLevelType w:val="hybridMultilevel"/>
    <w:tmpl w:val="1220BE82"/>
    <w:lvl w:ilvl="0" w:tplc="C05AE534">
      <w:start w:val="1"/>
      <w:numFmt w:val="bullet"/>
      <w:lvlText w:val=""/>
      <w:lvlJc w:val="left"/>
      <w:pPr>
        <w:ind w:left="720" w:hanging="360"/>
      </w:pPr>
      <w:rPr>
        <w:rFonts w:ascii="Symbol" w:hAnsi="Symbol" w:hint="default"/>
      </w:rPr>
    </w:lvl>
    <w:lvl w:ilvl="1" w:tplc="B0E4B354" w:tentative="1">
      <w:start w:val="1"/>
      <w:numFmt w:val="bullet"/>
      <w:lvlText w:val="o"/>
      <w:lvlJc w:val="left"/>
      <w:pPr>
        <w:ind w:left="1440" w:hanging="360"/>
      </w:pPr>
      <w:rPr>
        <w:rFonts w:ascii="Courier New" w:hAnsi="Courier New" w:cs="Courier New" w:hint="default"/>
      </w:rPr>
    </w:lvl>
    <w:lvl w:ilvl="2" w:tplc="54B8B07C" w:tentative="1">
      <w:start w:val="1"/>
      <w:numFmt w:val="bullet"/>
      <w:lvlText w:val=""/>
      <w:lvlJc w:val="left"/>
      <w:pPr>
        <w:ind w:left="2160" w:hanging="360"/>
      </w:pPr>
      <w:rPr>
        <w:rFonts w:ascii="Wingdings" w:hAnsi="Wingdings" w:hint="default"/>
      </w:rPr>
    </w:lvl>
    <w:lvl w:ilvl="3" w:tplc="288CDEF8" w:tentative="1">
      <w:start w:val="1"/>
      <w:numFmt w:val="bullet"/>
      <w:lvlText w:val=""/>
      <w:lvlJc w:val="left"/>
      <w:pPr>
        <w:ind w:left="2880" w:hanging="360"/>
      </w:pPr>
      <w:rPr>
        <w:rFonts w:ascii="Symbol" w:hAnsi="Symbol" w:hint="default"/>
      </w:rPr>
    </w:lvl>
    <w:lvl w:ilvl="4" w:tplc="7AD49B82" w:tentative="1">
      <w:start w:val="1"/>
      <w:numFmt w:val="bullet"/>
      <w:lvlText w:val="o"/>
      <w:lvlJc w:val="left"/>
      <w:pPr>
        <w:ind w:left="3600" w:hanging="360"/>
      </w:pPr>
      <w:rPr>
        <w:rFonts w:ascii="Courier New" w:hAnsi="Courier New" w:cs="Courier New" w:hint="default"/>
      </w:rPr>
    </w:lvl>
    <w:lvl w:ilvl="5" w:tplc="54048110" w:tentative="1">
      <w:start w:val="1"/>
      <w:numFmt w:val="bullet"/>
      <w:lvlText w:val=""/>
      <w:lvlJc w:val="left"/>
      <w:pPr>
        <w:ind w:left="4320" w:hanging="360"/>
      </w:pPr>
      <w:rPr>
        <w:rFonts w:ascii="Wingdings" w:hAnsi="Wingdings" w:hint="default"/>
      </w:rPr>
    </w:lvl>
    <w:lvl w:ilvl="6" w:tplc="BA4A4FB6" w:tentative="1">
      <w:start w:val="1"/>
      <w:numFmt w:val="bullet"/>
      <w:lvlText w:val=""/>
      <w:lvlJc w:val="left"/>
      <w:pPr>
        <w:ind w:left="5040" w:hanging="360"/>
      </w:pPr>
      <w:rPr>
        <w:rFonts w:ascii="Symbol" w:hAnsi="Symbol" w:hint="default"/>
      </w:rPr>
    </w:lvl>
    <w:lvl w:ilvl="7" w:tplc="6E5E8012" w:tentative="1">
      <w:start w:val="1"/>
      <w:numFmt w:val="bullet"/>
      <w:lvlText w:val="o"/>
      <w:lvlJc w:val="left"/>
      <w:pPr>
        <w:ind w:left="5760" w:hanging="360"/>
      </w:pPr>
      <w:rPr>
        <w:rFonts w:ascii="Courier New" w:hAnsi="Courier New" w:cs="Courier New" w:hint="default"/>
      </w:rPr>
    </w:lvl>
    <w:lvl w:ilvl="8" w:tplc="98BC0BF0" w:tentative="1">
      <w:start w:val="1"/>
      <w:numFmt w:val="bullet"/>
      <w:lvlText w:val=""/>
      <w:lvlJc w:val="left"/>
      <w:pPr>
        <w:ind w:left="6480" w:hanging="360"/>
      </w:pPr>
      <w:rPr>
        <w:rFonts w:ascii="Wingdings" w:hAnsi="Wingdings" w:hint="default"/>
      </w:rPr>
    </w:lvl>
  </w:abstractNum>
  <w:abstractNum w:abstractNumId="18" w15:restartNumberingAfterBreak="0">
    <w:nsid w:val="1D876CAA"/>
    <w:multiLevelType w:val="multilevel"/>
    <w:tmpl w:val="148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555FEF"/>
    <w:multiLevelType w:val="hybridMultilevel"/>
    <w:tmpl w:val="50F0923E"/>
    <w:lvl w:ilvl="0" w:tplc="26AAD036">
      <w:start w:val="1"/>
      <w:numFmt w:val="bullet"/>
      <w:pStyle w:val="Lijstopsomteken2"/>
      <w:lvlText w:val="–"/>
      <w:lvlJc w:val="left"/>
      <w:pPr>
        <w:tabs>
          <w:tab w:val="num" w:pos="227"/>
        </w:tabs>
        <w:ind w:left="227" w:firstLine="0"/>
      </w:pPr>
      <w:rPr>
        <w:rFonts w:ascii="Verdana" w:hAnsi="Verdana" w:hint="default"/>
      </w:rPr>
    </w:lvl>
    <w:lvl w:ilvl="1" w:tplc="2D6619A6" w:tentative="1">
      <w:start w:val="1"/>
      <w:numFmt w:val="bullet"/>
      <w:lvlText w:val="o"/>
      <w:lvlJc w:val="left"/>
      <w:pPr>
        <w:tabs>
          <w:tab w:val="num" w:pos="1440"/>
        </w:tabs>
        <w:ind w:left="1440" w:hanging="360"/>
      </w:pPr>
      <w:rPr>
        <w:rFonts w:ascii="Courier New" w:hAnsi="Courier New" w:cs="Courier New" w:hint="default"/>
      </w:rPr>
    </w:lvl>
    <w:lvl w:ilvl="2" w:tplc="7EE48438" w:tentative="1">
      <w:start w:val="1"/>
      <w:numFmt w:val="bullet"/>
      <w:lvlText w:val=""/>
      <w:lvlJc w:val="left"/>
      <w:pPr>
        <w:tabs>
          <w:tab w:val="num" w:pos="2160"/>
        </w:tabs>
        <w:ind w:left="2160" w:hanging="360"/>
      </w:pPr>
      <w:rPr>
        <w:rFonts w:ascii="Wingdings" w:hAnsi="Wingdings" w:hint="default"/>
      </w:rPr>
    </w:lvl>
    <w:lvl w:ilvl="3" w:tplc="C08EBA62" w:tentative="1">
      <w:start w:val="1"/>
      <w:numFmt w:val="bullet"/>
      <w:lvlText w:val=""/>
      <w:lvlJc w:val="left"/>
      <w:pPr>
        <w:tabs>
          <w:tab w:val="num" w:pos="2880"/>
        </w:tabs>
        <w:ind w:left="2880" w:hanging="360"/>
      </w:pPr>
      <w:rPr>
        <w:rFonts w:ascii="Symbol" w:hAnsi="Symbol" w:hint="default"/>
      </w:rPr>
    </w:lvl>
    <w:lvl w:ilvl="4" w:tplc="CFD47C4C" w:tentative="1">
      <w:start w:val="1"/>
      <w:numFmt w:val="bullet"/>
      <w:lvlText w:val="o"/>
      <w:lvlJc w:val="left"/>
      <w:pPr>
        <w:tabs>
          <w:tab w:val="num" w:pos="3600"/>
        </w:tabs>
        <w:ind w:left="3600" w:hanging="360"/>
      </w:pPr>
      <w:rPr>
        <w:rFonts w:ascii="Courier New" w:hAnsi="Courier New" w:cs="Courier New" w:hint="default"/>
      </w:rPr>
    </w:lvl>
    <w:lvl w:ilvl="5" w:tplc="05C22666" w:tentative="1">
      <w:start w:val="1"/>
      <w:numFmt w:val="bullet"/>
      <w:lvlText w:val=""/>
      <w:lvlJc w:val="left"/>
      <w:pPr>
        <w:tabs>
          <w:tab w:val="num" w:pos="4320"/>
        </w:tabs>
        <w:ind w:left="4320" w:hanging="360"/>
      </w:pPr>
      <w:rPr>
        <w:rFonts w:ascii="Wingdings" w:hAnsi="Wingdings" w:hint="default"/>
      </w:rPr>
    </w:lvl>
    <w:lvl w:ilvl="6" w:tplc="652A8F86" w:tentative="1">
      <w:start w:val="1"/>
      <w:numFmt w:val="bullet"/>
      <w:lvlText w:val=""/>
      <w:lvlJc w:val="left"/>
      <w:pPr>
        <w:tabs>
          <w:tab w:val="num" w:pos="5040"/>
        </w:tabs>
        <w:ind w:left="5040" w:hanging="360"/>
      </w:pPr>
      <w:rPr>
        <w:rFonts w:ascii="Symbol" w:hAnsi="Symbol" w:hint="default"/>
      </w:rPr>
    </w:lvl>
    <w:lvl w:ilvl="7" w:tplc="7730D868" w:tentative="1">
      <w:start w:val="1"/>
      <w:numFmt w:val="bullet"/>
      <w:lvlText w:val="o"/>
      <w:lvlJc w:val="left"/>
      <w:pPr>
        <w:tabs>
          <w:tab w:val="num" w:pos="5760"/>
        </w:tabs>
        <w:ind w:left="5760" w:hanging="360"/>
      </w:pPr>
      <w:rPr>
        <w:rFonts w:ascii="Courier New" w:hAnsi="Courier New" w:cs="Courier New" w:hint="default"/>
      </w:rPr>
    </w:lvl>
    <w:lvl w:ilvl="8" w:tplc="CD001B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10518B"/>
    <w:multiLevelType w:val="multilevel"/>
    <w:tmpl w:val="2B3C1D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B020C2"/>
    <w:multiLevelType w:val="multilevel"/>
    <w:tmpl w:val="F88C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E15BD9"/>
    <w:multiLevelType w:val="multilevel"/>
    <w:tmpl w:val="D3027B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CD1411"/>
    <w:multiLevelType w:val="multilevel"/>
    <w:tmpl w:val="11626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C23A31"/>
    <w:multiLevelType w:val="hybridMultilevel"/>
    <w:tmpl w:val="4E2AF73C"/>
    <w:lvl w:ilvl="0" w:tplc="F7DEAAF6">
      <w:start w:val="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777742"/>
    <w:multiLevelType w:val="multilevel"/>
    <w:tmpl w:val="EF5E79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F4B8E"/>
    <w:multiLevelType w:val="multilevel"/>
    <w:tmpl w:val="A03836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163D66"/>
    <w:multiLevelType w:val="hybridMultilevel"/>
    <w:tmpl w:val="E3748E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11A1934"/>
    <w:multiLevelType w:val="multilevel"/>
    <w:tmpl w:val="1E04F2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E30D2"/>
    <w:multiLevelType w:val="multilevel"/>
    <w:tmpl w:val="66EE3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623222"/>
    <w:multiLevelType w:val="multilevel"/>
    <w:tmpl w:val="DBDADA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065FE6"/>
    <w:multiLevelType w:val="multilevel"/>
    <w:tmpl w:val="968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3620FE"/>
    <w:multiLevelType w:val="multilevel"/>
    <w:tmpl w:val="C46295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EA0B25"/>
    <w:multiLevelType w:val="hybridMultilevel"/>
    <w:tmpl w:val="966C2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A5052CE"/>
    <w:multiLevelType w:val="multilevel"/>
    <w:tmpl w:val="FFBE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E50C45"/>
    <w:multiLevelType w:val="multilevel"/>
    <w:tmpl w:val="E236D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14591D"/>
    <w:multiLevelType w:val="multilevel"/>
    <w:tmpl w:val="E1E6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E47EC7"/>
    <w:multiLevelType w:val="multilevel"/>
    <w:tmpl w:val="EB9682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F37DA1"/>
    <w:multiLevelType w:val="multilevel"/>
    <w:tmpl w:val="D972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5838135">
    <w:abstractNumId w:val="12"/>
  </w:num>
  <w:num w:numId="2" w16cid:durableId="189532419">
    <w:abstractNumId w:val="7"/>
  </w:num>
  <w:num w:numId="3" w16cid:durableId="7143904">
    <w:abstractNumId w:val="6"/>
  </w:num>
  <w:num w:numId="4" w16cid:durableId="855538387">
    <w:abstractNumId w:val="5"/>
  </w:num>
  <w:num w:numId="5" w16cid:durableId="949553383">
    <w:abstractNumId w:val="4"/>
  </w:num>
  <w:num w:numId="6" w16cid:durableId="2010789126">
    <w:abstractNumId w:val="8"/>
  </w:num>
  <w:num w:numId="7" w16cid:durableId="181676566">
    <w:abstractNumId w:val="3"/>
  </w:num>
  <w:num w:numId="8" w16cid:durableId="611789902">
    <w:abstractNumId w:val="2"/>
  </w:num>
  <w:num w:numId="9" w16cid:durableId="1171719418">
    <w:abstractNumId w:val="1"/>
  </w:num>
  <w:num w:numId="10" w16cid:durableId="3286575">
    <w:abstractNumId w:val="0"/>
  </w:num>
  <w:num w:numId="11" w16cid:durableId="1868518010">
    <w:abstractNumId w:val="11"/>
  </w:num>
  <w:num w:numId="12" w16cid:durableId="386073120">
    <w:abstractNumId w:val="14"/>
  </w:num>
  <w:num w:numId="13" w16cid:durableId="1360546726">
    <w:abstractNumId w:val="29"/>
  </w:num>
  <w:num w:numId="14" w16cid:durableId="803699533">
    <w:abstractNumId w:val="19"/>
  </w:num>
  <w:num w:numId="15" w16cid:durableId="1423184935">
    <w:abstractNumId w:val="17"/>
  </w:num>
  <w:num w:numId="16" w16cid:durableId="2061439238">
    <w:abstractNumId w:val="33"/>
  </w:num>
  <w:num w:numId="17" w16cid:durableId="1394692197">
    <w:abstractNumId w:val="37"/>
  </w:num>
  <w:num w:numId="18" w16cid:durableId="16126626">
    <w:abstractNumId w:val="35"/>
  </w:num>
  <w:num w:numId="19" w16cid:durableId="102265164">
    <w:abstractNumId w:val="32"/>
  </w:num>
  <w:num w:numId="20" w16cid:durableId="1103375299">
    <w:abstractNumId w:val="39"/>
  </w:num>
  <w:num w:numId="21" w16cid:durableId="418412372">
    <w:abstractNumId w:val="18"/>
  </w:num>
  <w:num w:numId="22" w16cid:durableId="179585501">
    <w:abstractNumId w:val="28"/>
  </w:num>
  <w:num w:numId="23" w16cid:durableId="105272159">
    <w:abstractNumId w:val="22"/>
  </w:num>
  <w:num w:numId="24" w16cid:durableId="752118355">
    <w:abstractNumId w:val="25"/>
  </w:num>
  <w:num w:numId="25" w16cid:durableId="886113206">
    <w:abstractNumId w:val="36"/>
  </w:num>
  <w:num w:numId="26" w16cid:durableId="197936187">
    <w:abstractNumId w:val="13"/>
  </w:num>
  <w:num w:numId="27" w16cid:durableId="1066145464">
    <w:abstractNumId w:val="23"/>
  </w:num>
  <w:num w:numId="28" w16cid:durableId="1093093806">
    <w:abstractNumId w:val="16"/>
  </w:num>
  <w:num w:numId="29" w16cid:durableId="668555744">
    <w:abstractNumId w:val="31"/>
  </w:num>
  <w:num w:numId="30" w16cid:durableId="1088888776">
    <w:abstractNumId w:val="26"/>
  </w:num>
  <w:num w:numId="31" w16cid:durableId="60106015">
    <w:abstractNumId w:val="20"/>
  </w:num>
  <w:num w:numId="32" w16cid:durableId="1467625403">
    <w:abstractNumId w:val="30"/>
  </w:num>
  <w:num w:numId="33" w16cid:durableId="1543245721">
    <w:abstractNumId w:val="38"/>
  </w:num>
  <w:num w:numId="34" w16cid:durableId="1298756021">
    <w:abstractNumId w:val="34"/>
  </w:num>
  <w:num w:numId="35" w16cid:durableId="1752584877">
    <w:abstractNumId w:val="21"/>
  </w:num>
  <w:num w:numId="36" w16cid:durableId="156579719">
    <w:abstractNumId w:val="15"/>
  </w:num>
  <w:num w:numId="37" w16cid:durableId="1885605306">
    <w:abstractNumId w:val="9"/>
  </w:num>
  <w:num w:numId="38" w16cid:durableId="443963130">
    <w:abstractNumId w:val="27"/>
  </w:num>
  <w:num w:numId="39" w16cid:durableId="1783574390">
    <w:abstractNumId w:val="24"/>
  </w:num>
  <w:num w:numId="40" w16cid:durableId="957534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C"/>
    <w:rsid w:val="0000006B"/>
    <w:rsid w:val="000024E4"/>
    <w:rsid w:val="00002F7F"/>
    <w:rsid w:val="00007339"/>
    <w:rsid w:val="000104C9"/>
    <w:rsid w:val="00011694"/>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44BA6"/>
    <w:rsid w:val="00050578"/>
    <w:rsid w:val="0005498A"/>
    <w:rsid w:val="00071F28"/>
    <w:rsid w:val="0007250C"/>
    <w:rsid w:val="00074079"/>
    <w:rsid w:val="000754C7"/>
    <w:rsid w:val="00077947"/>
    <w:rsid w:val="0008484A"/>
    <w:rsid w:val="000861DD"/>
    <w:rsid w:val="00092799"/>
    <w:rsid w:val="00092C5F"/>
    <w:rsid w:val="00096680"/>
    <w:rsid w:val="000A174A"/>
    <w:rsid w:val="000A3B08"/>
    <w:rsid w:val="000A3E0A"/>
    <w:rsid w:val="000A3EC1"/>
    <w:rsid w:val="000A65AC"/>
    <w:rsid w:val="000B49CB"/>
    <w:rsid w:val="000B7281"/>
    <w:rsid w:val="000B7FAB"/>
    <w:rsid w:val="000C07DC"/>
    <w:rsid w:val="000C3184"/>
    <w:rsid w:val="000C3EA9"/>
    <w:rsid w:val="000D0225"/>
    <w:rsid w:val="000D119D"/>
    <w:rsid w:val="000D1CDA"/>
    <w:rsid w:val="000F161D"/>
    <w:rsid w:val="000F5737"/>
    <w:rsid w:val="000F78B0"/>
    <w:rsid w:val="00105DFC"/>
    <w:rsid w:val="001200DE"/>
    <w:rsid w:val="00123704"/>
    <w:rsid w:val="00125F10"/>
    <w:rsid w:val="00126721"/>
    <w:rsid w:val="001270C7"/>
    <w:rsid w:val="00132540"/>
    <w:rsid w:val="00132CAA"/>
    <w:rsid w:val="00137AC0"/>
    <w:rsid w:val="00141F55"/>
    <w:rsid w:val="0014786A"/>
    <w:rsid w:val="001516A4"/>
    <w:rsid w:val="00151E5F"/>
    <w:rsid w:val="0015348F"/>
    <w:rsid w:val="00153DEA"/>
    <w:rsid w:val="001559D7"/>
    <w:rsid w:val="001569AB"/>
    <w:rsid w:val="001612F5"/>
    <w:rsid w:val="00165724"/>
    <w:rsid w:val="00171E2F"/>
    <w:rsid w:val="001726F3"/>
    <w:rsid w:val="00173BFD"/>
    <w:rsid w:val="00174CC2"/>
    <w:rsid w:val="00176CC6"/>
    <w:rsid w:val="00177766"/>
    <w:rsid w:val="00181BE4"/>
    <w:rsid w:val="00184454"/>
    <w:rsid w:val="00185576"/>
    <w:rsid w:val="001855FA"/>
    <w:rsid w:val="00185951"/>
    <w:rsid w:val="00190030"/>
    <w:rsid w:val="00196B8B"/>
    <w:rsid w:val="001A166D"/>
    <w:rsid w:val="001A2035"/>
    <w:rsid w:val="001A2BEA"/>
    <w:rsid w:val="001A6D93"/>
    <w:rsid w:val="001B1586"/>
    <w:rsid w:val="001B1802"/>
    <w:rsid w:val="001B39AD"/>
    <w:rsid w:val="001B6C64"/>
    <w:rsid w:val="001C10F4"/>
    <w:rsid w:val="001C32EC"/>
    <w:rsid w:val="001C4D5A"/>
    <w:rsid w:val="001D332B"/>
    <w:rsid w:val="001E0A39"/>
    <w:rsid w:val="001E34C6"/>
    <w:rsid w:val="001E4C6B"/>
    <w:rsid w:val="001E5368"/>
    <w:rsid w:val="001E5581"/>
    <w:rsid w:val="001E60C5"/>
    <w:rsid w:val="001F1443"/>
    <w:rsid w:val="001F3C70"/>
    <w:rsid w:val="001F56DE"/>
    <w:rsid w:val="00200B5C"/>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27EF3"/>
    <w:rsid w:val="002309A8"/>
    <w:rsid w:val="00233813"/>
    <w:rsid w:val="00236CFE"/>
    <w:rsid w:val="00240C98"/>
    <w:rsid w:val="00241498"/>
    <w:rsid w:val="002428E3"/>
    <w:rsid w:val="00242A2F"/>
    <w:rsid w:val="00242E5B"/>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1738"/>
    <w:rsid w:val="002C2830"/>
    <w:rsid w:val="002C533C"/>
    <w:rsid w:val="002C5453"/>
    <w:rsid w:val="002C62C3"/>
    <w:rsid w:val="002D001A"/>
    <w:rsid w:val="002D2265"/>
    <w:rsid w:val="002D294D"/>
    <w:rsid w:val="002D317B"/>
    <w:rsid w:val="002D3587"/>
    <w:rsid w:val="002D37AE"/>
    <w:rsid w:val="002D3DAE"/>
    <w:rsid w:val="002D502D"/>
    <w:rsid w:val="002D6F3F"/>
    <w:rsid w:val="002E0F69"/>
    <w:rsid w:val="002E63D8"/>
    <w:rsid w:val="002F2DA3"/>
    <w:rsid w:val="002F5147"/>
    <w:rsid w:val="002F7084"/>
    <w:rsid w:val="00300D8A"/>
    <w:rsid w:val="00301C26"/>
    <w:rsid w:val="00302E7B"/>
    <w:rsid w:val="00307F3F"/>
    <w:rsid w:val="003117FA"/>
    <w:rsid w:val="00312597"/>
    <w:rsid w:val="00314870"/>
    <w:rsid w:val="00315A63"/>
    <w:rsid w:val="00315EBC"/>
    <w:rsid w:val="0032529B"/>
    <w:rsid w:val="00325EF7"/>
    <w:rsid w:val="003305A5"/>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674C0"/>
    <w:rsid w:val="00370382"/>
    <w:rsid w:val="003708ED"/>
    <w:rsid w:val="003709A1"/>
    <w:rsid w:val="0037421D"/>
    <w:rsid w:val="00377351"/>
    <w:rsid w:val="003813B8"/>
    <w:rsid w:val="00383DA1"/>
    <w:rsid w:val="0039043D"/>
    <w:rsid w:val="003908EB"/>
    <w:rsid w:val="0039354B"/>
    <w:rsid w:val="0039361F"/>
    <w:rsid w:val="00393963"/>
    <w:rsid w:val="00395575"/>
    <w:rsid w:val="00395672"/>
    <w:rsid w:val="003A06C8"/>
    <w:rsid w:val="003A0D7C"/>
    <w:rsid w:val="003B02CD"/>
    <w:rsid w:val="003B7675"/>
    <w:rsid w:val="003B7EE7"/>
    <w:rsid w:val="003C12AD"/>
    <w:rsid w:val="003C19D3"/>
    <w:rsid w:val="003C2CCB"/>
    <w:rsid w:val="003C6804"/>
    <w:rsid w:val="003D39EC"/>
    <w:rsid w:val="003E3B3C"/>
    <w:rsid w:val="003E3DD5"/>
    <w:rsid w:val="003E7ECD"/>
    <w:rsid w:val="003F0042"/>
    <w:rsid w:val="003F07C6"/>
    <w:rsid w:val="003F1F6B"/>
    <w:rsid w:val="003F3757"/>
    <w:rsid w:val="003F44B7"/>
    <w:rsid w:val="003F7B49"/>
    <w:rsid w:val="00401545"/>
    <w:rsid w:val="00402948"/>
    <w:rsid w:val="00402CCC"/>
    <w:rsid w:val="00405BFE"/>
    <w:rsid w:val="00407E2C"/>
    <w:rsid w:val="004120F2"/>
    <w:rsid w:val="00413AEF"/>
    <w:rsid w:val="00413D48"/>
    <w:rsid w:val="004272F7"/>
    <w:rsid w:val="0043294A"/>
    <w:rsid w:val="00432D52"/>
    <w:rsid w:val="00437529"/>
    <w:rsid w:val="00441AC2"/>
    <w:rsid w:val="0044249B"/>
    <w:rsid w:val="004439F8"/>
    <w:rsid w:val="0044526D"/>
    <w:rsid w:val="00447A37"/>
    <w:rsid w:val="004501AF"/>
    <w:rsid w:val="0045023C"/>
    <w:rsid w:val="00451A5B"/>
    <w:rsid w:val="00452BCD"/>
    <w:rsid w:val="00452CEA"/>
    <w:rsid w:val="004533EF"/>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709"/>
    <w:rsid w:val="004D39C8"/>
    <w:rsid w:val="004D505E"/>
    <w:rsid w:val="004D60DE"/>
    <w:rsid w:val="004D72CA"/>
    <w:rsid w:val="004E2242"/>
    <w:rsid w:val="004E3E47"/>
    <w:rsid w:val="004E5DA5"/>
    <w:rsid w:val="004F0877"/>
    <w:rsid w:val="004F0C35"/>
    <w:rsid w:val="004F23FC"/>
    <w:rsid w:val="004F2F52"/>
    <w:rsid w:val="004F42FF"/>
    <w:rsid w:val="004F44C2"/>
    <w:rsid w:val="0050022B"/>
    <w:rsid w:val="005110D6"/>
    <w:rsid w:val="00512A6C"/>
    <w:rsid w:val="00516022"/>
    <w:rsid w:val="005169C3"/>
    <w:rsid w:val="00516A48"/>
    <w:rsid w:val="00521952"/>
    <w:rsid w:val="00521CEE"/>
    <w:rsid w:val="0052761F"/>
    <w:rsid w:val="00527E27"/>
    <w:rsid w:val="0053251D"/>
    <w:rsid w:val="00540BF6"/>
    <w:rsid w:val="005429DC"/>
    <w:rsid w:val="00543709"/>
    <w:rsid w:val="005443D2"/>
    <w:rsid w:val="00544D40"/>
    <w:rsid w:val="00547073"/>
    <w:rsid w:val="00550D96"/>
    <w:rsid w:val="00554E13"/>
    <w:rsid w:val="005558E0"/>
    <w:rsid w:val="00556D9B"/>
    <w:rsid w:val="00564783"/>
    <w:rsid w:val="00566B42"/>
    <w:rsid w:val="00570965"/>
    <w:rsid w:val="0057232E"/>
    <w:rsid w:val="00573041"/>
    <w:rsid w:val="00574E00"/>
    <w:rsid w:val="00575B80"/>
    <w:rsid w:val="00577450"/>
    <w:rsid w:val="005819CE"/>
    <w:rsid w:val="0058298D"/>
    <w:rsid w:val="0059296F"/>
    <w:rsid w:val="00592A56"/>
    <w:rsid w:val="00593C2B"/>
    <w:rsid w:val="00594D2B"/>
    <w:rsid w:val="00596166"/>
    <w:rsid w:val="00596E4B"/>
    <w:rsid w:val="005C2465"/>
    <w:rsid w:val="005C2ED4"/>
    <w:rsid w:val="005C3602"/>
    <w:rsid w:val="005C3FE0"/>
    <w:rsid w:val="005C5875"/>
    <w:rsid w:val="005C740C"/>
    <w:rsid w:val="005C79EE"/>
    <w:rsid w:val="005D03C8"/>
    <w:rsid w:val="005D2116"/>
    <w:rsid w:val="005D625B"/>
    <w:rsid w:val="005E27A3"/>
    <w:rsid w:val="005E313D"/>
    <w:rsid w:val="005E7758"/>
    <w:rsid w:val="005F0C4E"/>
    <w:rsid w:val="005F1DBC"/>
    <w:rsid w:val="005F22CC"/>
    <w:rsid w:val="005F6D11"/>
    <w:rsid w:val="00600CF0"/>
    <w:rsid w:val="00601976"/>
    <w:rsid w:val="00601A57"/>
    <w:rsid w:val="006022BA"/>
    <w:rsid w:val="006048F4"/>
    <w:rsid w:val="0060660A"/>
    <w:rsid w:val="00607115"/>
    <w:rsid w:val="00615165"/>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49C2"/>
    <w:rsid w:val="006563CE"/>
    <w:rsid w:val="0065795F"/>
    <w:rsid w:val="00661591"/>
    <w:rsid w:val="0066195F"/>
    <w:rsid w:val="00664877"/>
    <w:rsid w:val="00665F29"/>
    <w:rsid w:val="0066632F"/>
    <w:rsid w:val="006732F4"/>
    <w:rsid w:val="00673F9D"/>
    <w:rsid w:val="00674A89"/>
    <w:rsid w:val="0068167E"/>
    <w:rsid w:val="006821EE"/>
    <w:rsid w:val="00685545"/>
    <w:rsid w:val="006864B3"/>
    <w:rsid w:val="006A10F8"/>
    <w:rsid w:val="006A2100"/>
    <w:rsid w:val="006A7295"/>
    <w:rsid w:val="006B0209"/>
    <w:rsid w:val="006B0BF3"/>
    <w:rsid w:val="006B1D6E"/>
    <w:rsid w:val="006B775E"/>
    <w:rsid w:val="006C16BD"/>
    <w:rsid w:val="006C2535"/>
    <w:rsid w:val="006C3461"/>
    <w:rsid w:val="006C441E"/>
    <w:rsid w:val="006C48C1"/>
    <w:rsid w:val="006C4939"/>
    <w:rsid w:val="006C4B90"/>
    <w:rsid w:val="006C65C7"/>
    <w:rsid w:val="006D0F0A"/>
    <w:rsid w:val="006D1016"/>
    <w:rsid w:val="006D17F2"/>
    <w:rsid w:val="006D7D2E"/>
    <w:rsid w:val="006E049C"/>
    <w:rsid w:val="006E1B37"/>
    <w:rsid w:val="006E3546"/>
    <w:rsid w:val="006E3FA9"/>
    <w:rsid w:val="006E7D82"/>
    <w:rsid w:val="006F0F93"/>
    <w:rsid w:val="006F31F2"/>
    <w:rsid w:val="006F6C83"/>
    <w:rsid w:val="00701F97"/>
    <w:rsid w:val="007020FB"/>
    <w:rsid w:val="00705F99"/>
    <w:rsid w:val="007128C8"/>
    <w:rsid w:val="00714DC5"/>
    <w:rsid w:val="00715237"/>
    <w:rsid w:val="00715374"/>
    <w:rsid w:val="00715644"/>
    <w:rsid w:val="0072232C"/>
    <w:rsid w:val="00722CA6"/>
    <w:rsid w:val="007254A5"/>
    <w:rsid w:val="007254D3"/>
    <w:rsid w:val="00725748"/>
    <w:rsid w:val="00725819"/>
    <w:rsid w:val="00725EE2"/>
    <w:rsid w:val="00732028"/>
    <w:rsid w:val="00735158"/>
    <w:rsid w:val="00735505"/>
    <w:rsid w:val="00735D88"/>
    <w:rsid w:val="0073720D"/>
    <w:rsid w:val="00737507"/>
    <w:rsid w:val="00740712"/>
    <w:rsid w:val="00742AB9"/>
    <w:rsid w:val="00743824"/>
    <w:rsid w:val="00743E73"/>
    <w:rsid w:val="00743FC1"/>
    <w:rsid w:val="00746233"/>
    <w:rsid w:val="00754FBF"/>
    <w:rsid w:val="0075648C"/>
    <w:rsid w:val="00760008"/>
    <w:rsid w:val="00760CA0"/>
    <w:rsid w:val="00770062"/>
    <w:rsid w:val="0077006F"/>
    <w:rsid w:val="007709EF"/>
    <w:rsid w:val="00775D44"/>
    <w:rsid w:val="00777D85"/>
    <w:rsid w:val="00782EBA"/>
    <w:rsid w:val="00783559"/>
    <w:rsid w:val="00784B37"/>
    <w:rsid w:val="00787C6B"/>
    <w:rsid w:val="00797AA5"/>
    <w:rsid w:val="007A3F7B"/>
    <w:rsid w:val="007A4105"/>
    <w:rsid w:val="007B4503"/>
    <w:rsid w:val="007B6D1A"/>
    <w:rsid w:val="007B70D5"/>
    <w:rsid w:val="007C1617"/>
    <w:rsid w:val="007C406E"/>
    <w:rsid w:val="007C5183"/>
    <w:rsid w:val="007C6F03"/>
    <w:rsid w:val="007C7692"/>
    <w:rsid w:val="007D0A6B"/>
    <w:rsid w:val="007D21B7"/>
    <w:rsid w:val="007D264F"/>
    <w:rsid w:val="007D3A8C"/>
    <w:rsid w:val="007E0639"/>
    <w:rsid w:val="007E2B20"/>
    <w:rsid w:val="007F2868"/>
    <w:rsid w:val="007F5331"/>
    <w:rsid w:val="00800CCA"/>
    <w:rsid w:val="00802763"/>
    <w:rsid w:val="00806120"/>
    <w:rsid w:val="00812028"/>
    <w:rsid w:val="00813082"/>
    <w:rsid w:val="0081475E"/>
    <w:rsid w:val="00814D03"/>
    <w:rsid w:val="0081547C"/>
    <w:rsid w:val="00816D33"/>
    <w:rsid w:val="00830196"/>
    <w:rsid w:val="0083178B"/>
    <w:rsid w:val="00831EED"/>
    <w:rsid w:val="00833695"/>
    <w:rsid w:val="008336B7"/>
    <w:rsid w:val="00833872"/>
    <w:rsid w:val="00833A8E"/>
    <w:rsid w:val="00834231"/>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91B83"/>
    <w:rsid w:val="008A28F5"/>
    <w:rsid w:val="008A774F"/>
    <w:rsid w:val="008B05A6"/>
    <w:rsid w:val="008B3929"/>
    <w:rsid w:val="008B4CB3"/>
    <w:rsid w:val="008B6F54"/>
    <w:rsid w:val="008B750E"/>
    <w:rsid w:val="008B7B24"/>
    <w:rsid w:val="008C356D"/>
    <w:rsid w:val="008D01B8"/>
    <w:rsid w:val="008D261C"/>
    <w:rsid w:val="008D6C99"/>
    <w:rsid w:val="008E49AD"/>
    <w:rsid w:val="008F0880"/>
    <w:rsid w:val="008F13DB"/>
    <w:rsid w:val="008F2731"/>
    <w:rsid w:val="008F2C94"/>
    <w:rsid w:val="008F3246"/>
    <w:rsid w:val="008F3C1B"/>
    <w:rsid w:val="008F41D7"/>
    <w:rsid w:val="008F508C"/>
    <w:rsid w:val="0090271B"/>
    <w:rsid w:val="0090599F"/>
    <w:rsid w:val="00910642"/>
    <w:rsid w:val="0091088D"/>
    <w:rsid w:val="00910DDF"/>
    <w:rsid w:val="00911435"/>
    <w:rsid w:val="00912647"/>
    <w:rsid w:val="009164EA"/>
    <w:rsid w:val="00916E2E"/>
    <w:rsid w:val="00917F69"/>
    <w:rsid w:val="009231F9"/>
    <w:rsid w:val="00923672"/>
    <w:rsid w:val="009311C8"/>
    <w:rsid w:val="00933376"/>
    <w:rsid w:val="00933A2F"/>
    <w:rsid w:val="00933DD1"/>
    <w:rsid w:val="00946973"/>
    <w:rsid w:val="009517CD"/>
    <w:rsid w:val="00956DBF"/>
    <w:rsid w:val="009718F9"/>
    <w:rsid w:val="00972FB9"/>
    <w:rsid w:val="00975112"/>
    <w:rsid w:val="009809C0"/>
    <w:rsid w:val="00981768"/>
    <w:rsid w:val="009839D2"/>
    <w:rsid w:val="00983E8F"/>
    <w:rsid w:val="00986041"/>
    <w:rsid w:val="00986AA4"/>
    <w:rsid w:val="00992619"/>
    <w:rsid w:val="00994FDA"/>
    <w:rsid w:val="00997AB1"/>
    <w:rsid w:val="009A1115"/>
    <w:rsid w:val="009A1637"/>
    <w:rsid w:val="009A2FD7"/>
    <w:rsid w:val="009A3B71"/>
    <w:rsid w:val="009A4FE9"/>
    <w:rsid w:val="009A52B4"/>
    <w:rsid w:val="009A61BC"/>
    <w:rsid w:val="009A7B11"/>
    <w:rsid w:val="009B0138"/>
    <w:rsid w:val="009B0FE9"/>
    <w:rsid w:val="009B4319"/>
    <w:rsid w:val="009B567E"/>
    <w:rsid w:val="009B64CB"/>
    <w:rsid w:val="009C0CCD"/>
    <w:rsid w:val="009C3F20"/>
    <w:rsid w:val="009C49B8"/>
    <w:rsid w:val="009C7CA1"/>
    <w:rsid w:val="009D043D"/>
    <w:rsid w:val="009D264F"/>
    <w:rsid w:val="009D386C"/>
    <w:rsid w:val="009D485F"/>
    <w:rsid w:val="009D5D50"/>
    <w:rsid w:val="009D67D1"/>
    <w:rsid w:val="009D7B4A"/>
    <w:rsid w:val="009E27B9"/>
    <w:rsid w:val="009E43BE"/>
    <w:rsid w:val="009F3259"/>
    <w:rsid w:val="00A10115"/>
    <w:rsid w:val="00A108E7"/>
    <w:rsid w:val="00A11848"/>
    <w:rsid w:val="00A128AD"/>
    <w:rsid w:val="00A14F53"/>
    <w:rsid w:val="00A14FC6"/>
    <w:rsid w:val="00A165F6"/>
    <w:rsid w:val="00A21E76"/>
    <w:rsid w:val="00A23BC8"/>
    <w:rsid w:val="00A2457A"/>
    <w:rsid w:val="00A24F15"/>
    <w:rsid w:val="00A273D8"/>
    <w:rsid w:val="00A27CE4"/>
    <w:rsid w:val="00A30E68"/>
    <w:rsid w:val="00A31933"/>
    <w:rsid w:val="00A33573"/>
    <w:rsid w:val="00A34AA0"/>
    <w:rsid w:val="00A41F6E"/>
    <w:rsid w:val="00A41FE2"/>
    <w:rsid w:val="00A47948"/>
    <w:rsid w:val="00A50824"/>
    <w:rsid w:val="00A55A8A"/>
    <w:rsid w:val="00A56946"/>
    <w:rsid w:val="00A63B8C"/>
    <w:rsid w:val="00A77A59"/>
    <w:rsid w:val="00A77F6F"/>
    <w:rsid w:val="00A831FD"/>
    <w:rsid w:val="00A9016E"/>
    <w:rsid w:val="00A91952"/>
    <w:rsid w:val="00A91FA3"/>
    <w:rsid w:val="00A9595F"/>
    <w:rsid w:val="00AA4029"/>
    <w:rsid w:val="00AA609E"/>
    <w:rsid w:val="00AA7908"/>
    <w:rsid w:val="00AA7FC9"/>
    <w:rsid w:val="00AB237D"/>
    <w:rsid w:val="00AB5933"/>
    <w:rsid w:val="00AB5B3D"/>
    <w:rsid w:val="00AB6CB2"/>
    <w:rsid w:val="00AC3DF5"/>
    <w:rsid w:val="00AD7B8D"/>
    <w:rsid w:val="00AE013D"/>
    <w:rsid w:val="00AE11B7"/>
    <w:rsid w:val="00AE2AF0"/>
    <w:rsid w:val="00AE322A"/>
    <w:rsid w:val="00AE7214"/>
    <w:rsid w:val="00AE7419"/>
    <w:rsid w:val="00AF1260"/>
    <w:rsid w:val="00AF13DA"/>
    <w:rsid w:val="00AF1CF1"/>
    <w:rsid w:val="00AF52F6"/>
    <w:rsid w:val="00AF7237"/>
    <w:rsid w:val="00AF78B4"/>
    <w:rsid w:val="00B0043A"/>
    <w:rsid w:val="00B00D75"/>
    <w:rsid w:val="00B0243B"/>
    <w:rsid w:val="00B070CB"/>
    <w:rsid w:val="00B134B0"/>
    <w:rsid w:val="00B15907"/>
    <w:rsid w:val="00B24290"/>
    <w:rsid w:val="00B259C8"/>
    <w:rsid w:val="00B26CCF"/>
    <w:rsid w:val="00B30052"/>
    <w:rsid w:val="00B3162F"/>
    <w:rsid w:val="00B349FA"/>
    <w:rsid w:val="00B34C10"/>
    <w:rsid w:val="00B41DF5"/>
    <w:rsid w:val="00B425F0"/>
    <w:rsid w:val="00B42DFA"/>
    <w:rsid w:val="00B44934"/>
    <w:rsid w:val="00B531DD"/>
    <w:rsid w:val="00B53D5F"/>
    <w:rsid w:val="00B55014"/>
    <w:rsid w:val="00B62232"/>
    <w:rsid w:val="00B71DC2"/>
    <w:rsid w:val="00B73CA7"/>
    <w:rsid w:val="00B754E8"/>
    <w:rsid w:val="00B84720"/>
    <w:rsid w:val="00B932A5"/>
    <w:rsid w:val="00B93893"/>
    <w:rsid w:val="00B95BDB"/>
    <w:rsid w:val="00B969C9"/>
    <w:rsid w:val="00BC164E"/>
    <w:rsid w:val="00BC3B53"/>
    <w:rsid w:val="00BC3B96"/>
    <w:rsid w:val="00BC4AE3"/>
    <w:rsid w:val="00BC7A3A"/>
    <w:rsid w:val="00BD2380"/>
    <w:rsid w:val="00BD4C77"/>
    <w:rsid w:val="00BD6EE4"/>
    <w:rsid w:val="00BE06F0"/>
    <w:rsid w:val="00BE18BD"/>
    <w:rsid w:val="00BE3F88"/>
    <w:rsid w:val="00BE4756"/>
    <w:rsid w:val="00BE5DF2"/>
    <w:rsid w:val="00BE5ED9"/>
    <w:rsid w:val="00BE69B9"/>
    <w:rsid w:val="00BE77D3"/>
    <w:rsid w:val="00BE7B41"/>
    <w:rsid w:val="00BF58C8"/>
    <w:rsid w:val="00BF5BBC"/>
    <w:rsid w:val="00BF7E56"/>
    <w:rsid w:val="00C009EF"/>
    <w:rsid w:val="00C0429B"/>
    <w:rsid w:val="00C1212C"/>
    <w:rsid w:val="00C16472"/>
    <w:rsid w:val="00C206F1"/>
    <w:rsid w:val="00C217E1"/>
    <w:rsid w:val="00C2315C"/>
    <w:rsid w:val="00C23B91"/>
    <w:rsid w:val="00C2567C"/>
    <w:rsid w:val="00C27750"/>
    <w:rsid w:val="00C30273"/>
    <w:rsid w:val="00C33094"/>
    <w:rsid w:val="00C3524C"/>
    <w:rsid w:val="00C401FB"/>
    <w:rsid w:val="00C40C60"/>
    <w:rsid w:val="00C41E3A"/>
    <w:rsid w:val="00C435D1"/>
    <w:rsid w:val="00C47047"/>
    <w:rsid w:val="00C51FF9"/>
    <w:rsid w:val="00C5258E"/>
    <w:rsid w:val="00C54BBB"/>
    <w:rsid w:val="00C553A6"/>
    <w:rsid w:val="00C63C8D"/>
    <w:rsid w:val="00C70B0B"/>
    <w:rsid w:val="00C72038"/>
    <w:rsid w:val="00C7352A"/>
    <w:rsid w:val="00C74B0F"/>
    <w:rsid w:val="00C802AF"/>
    <w:rsid w:val="00C97C80"/>
    <w:rsid w:val="00CA0AB3"/>
    <w:rsid w:val="00CA15CA"/>
    <w:rsid w:val="00CA278F"/>
    <w:rsid w:val="00CA47D3"/>
    <w:rsid w:val="00CA6A3F"/>
    <w:rsid w:val="00CA7C99"/>
    <w:rsid w:val="00CB5733"/>
    <w:rsid w:val="00CB7ABA"/>
    <w:rsid w:val="00CC23A4"/>
    <w:rsid w:val="00CC37F2"/>
    <w:rsid w:val="00CC51C5"/>
    <w:rsid w:val="00CC71D3"/>
    <w:rsid w:val="00CD362D"/>
    <w:rsid w:val="00CD6F77"/>
    <w:rsid w:val="00CD746E"/>
    <w:rsid w:val="00CE0475"/>
    <w:rsid w:val="00CE1C84"/>
    <w:rsid w:val="00CE498D"/>
    <w:rsid w:val="00CF053F"/>
    <w:rsid w:val="00D01D66"/>
    <w:rsid w:val="00D037A9"/>
    <w:rsid w:val="00D05403"/>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52B1"/>
    <w:rsid w:val="00D36653"/>
    <w:rsid w:val="00D370F4"/>
    <w:rsid w:val="00D376A3"/>
    <w:rsid w:val="00D3777C"/>
    <w:rsid w:val="00D44704"/>
    <w:rsid w:val="00D516BE"/>
    <w:rsid w:val="00D5423B"/>
    <w:rsid w:val="00D54F4E"/>
    <w:rsid w:val="00D60BA4"/>
    <w:rsid w:val="00D62419"/>
    <w:rsid w:val="00D66CBB"/>
    <w:rsid w:val="00D77870"/>
    <w:rsid w:val="00D80CCE"/>
    <w:rsid w:val="00D823EB"/>
    <w:rsid w:val="00D83AA1"/>
    <w:rsid w:val="00D858B8"/>
    <w:rsid w:val="00D87D03"/>
    <w:rsid w:val="00D95C88"/>
    <w:rsid w:val="00D97B2E"/>
    <w:rsid w:val="00DA07B4"/>
    <w:rsid w:val="00DA39D0"/>
    <w:rsid w:val="00DA6AF0"/>
    <w:rsid w:val="00DA6C91"/>
    <w:rsid w:val="00DA76B1"/>
    <w:rsid w:val="00DB36FE"/>
    <w:rsid w:val="00DB533A"/>
    <w:rsid w:val="00DC157C"/>
    <w:rsid w:val="00DC494C"/>
    <w:rsid w:val="00DD0751"/>
    <w:rsid w:val="00DD0841"/>
    <w:rsid w:val="00DD48B6"/>
    <w:rsid w:val="00DD66F2"/>
    <w:rsid w:val="00DE30DC"/>
    <w:rsid w:val="00DE38E5"/>
    <w:rsid w:val="00DE3FE0"/>
    <w:rsid w:val="00DE578A"/>
    <w:rsid w:val="00DE71E5"/>
    <w:rsid w:val="00DE792B"/>
    <w:rsid w:val="00DF2583"/>
    <w:rsid w:val="00DF5450"/>
    <w:rsid w:val="00DF54D9"/>
    <w:rsid w:val="00E01A59"/>
    <w:rsid w:val="00E05467"/>
    <w:rsid w:val="00E0640A"/>
    <w:rsid w:val="00E100AF"/>
    <w:rsid w:val="00E10DC6"/>
    <w:rsid w:val="00E11D85"/>
    <w:rsid w:val="00E11F8E"/>
    <w:rsid w:val="00E1378B"/>
    <w:rsid w:val="00E15185"/>
    <w:rsid w:val="00E21DE3"/>
    <w:rsid w:val="00E3731D"/>
    <w:rsid w:val="00E42F02"/>
    <w:rsid w:val="00E46CF1"/>
    <w:rsid w:val="00E51469"/>
    <w:rsid w:val="00E57917"/>
    <w:rsid w:val="00E6078E"/>
    <w:rsid w:val="00E61BA3"/>
    <w:rsid w:val="00E634E3"/>
    <w:rsid w:val="00E63FDC"/>
    <w:rsid w:val="00E700C8"/>
    <w:rsid w:val="00E778D4"/>
    <w:rsid w:val="00E77F89"/>
    <w:rsid w:val="00E80984"/>
    <w:rsid w:val="00E80E71"/>
    <w:rsid w:val="00E84333"/>
    <w:rsid w:val="00E850D3"/>
    <w:rsid w:val="00E86281"/>
    <w:rsid w:val="00E862B5"/>
    <w:rsid w:val="00E876B9"/>
    <w:rsid w:val="00E90061"/>
    <w:rsid w:val="00E912C7"/>
    <w:rsid w:val="00E91343"/>
    <w:rsid w:val="00E93A24"/>
    <w:rsid w:val="00E95410"/>
    <w:rsid w:val="00E96686"/>
    <w:rsid w:val="00EA0A79"/>
    <w:rsid w:val="00EB01F6"/>
    <w:rsid w:val="00EB0477"/>
    <w:rsid w:val="00EB458F"/>
    <w:rsid w:val="00EB5540"/>
    <w:rsid w:val="00EC0333"/>
    <w:rsid w:val="00EC0DFF"/>
    <w:rsid w:val="00EC237D"/>
    <w:rsid w:val="00EC3419"/>
    <w:rsid w:val="00EC4D0E"/>
    <w:rsid w:val="00ED072A"/>
    <w:rsid w:val="00ED4D81"/>
    <w:rsid w:val="00EE4A1F"/>
    <w:rsid w:val="00EE4C2D"/>
    <w:rsid w:val="00EF1B5A"/>
    <w:rsid w:val="00EF24FB"/>
    <w:rsid w:val="00EF2CCA"/>
    <w:rsid w:val="00EF6CF9"/>
    <w:rsid w:val="00F03963"/>
    <w:rsid w:val="00F05C22"/>
    <w:rsid w:val="00F06766"/>
    <w:rsid w:val="00F11068"/>
    <w:rsid w:val="00F1163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732B"/>
    <w:rsid w:val="00F50F86"/>
    <w:rsid w:val="00F5258C"/>
    <w:rsid w:val="00F53F91"/>
    <w:rsid w:val="00F61A72"/>
    <w:rsid w:val="00F62B67"/>
    <w:rsid w:val="00F66F13"/>
    <w:rsid w:val="00F70D6E"/>
    <w:rsid w:val="00F70EF7"/>
    <w:rsid w:val="00F72B08"/>
    <w:rsid w:val="00F74073"/>
    <w:rsid w:val="00F75603"/>
    <w:rsid w:val="00F767F0"/>
    <w:rsid w:val="00F808C3"/>
    <w:rsid w:val="00F812E8"/>
    <w:rsid w:val="00F814DC"/>
    <w:rsid w:val="00F82EEF"/>
    <w:rsid w:val="00F845B4"/>
    <w:rsid w:val="00F8713B"/>
    <w:rsid w:val="00F93F9E"/>
    <w:rsid w:val="00F96399"/>
    <w:rsid w:val="00FA23CC"/>
    <w:rsid w:val="00FA265D"/>
    <w:rsid w:val="00FA2CD7"/>
    <w:rsid w:val="00FB06ED"/>
    <w:rsid w:val="00FB44E8"/>
    <w:rsid w:val="00FB4BDF"/>
    <w:rsid w:val="00FC3165"/>
    <w:rsid w:val="00FC36AB"/>
    <w:rsid w:val="00FC7F66"/>
    <w:rsid w:val="00FD12A6"/>
    <w:rsid w:val="00FD3421"/>
    <w:rsid w:val="00FD4B8E"/>
    <w:rsid w:val="00FD4DB1"/>
    <w:rsid w:val="00FD4F01"/>
    <w:rsid w:val="00FD5899"/>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9E9A9"/>
  <w15:docId w15:val="{B26AA5CA-0DFC-4365-8706-8C7F3D2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C401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6455CC"/>
    <w:rPr>
      <w:szCs w:val="22"/>
      <w:lang w:val="nl-NL"/>
    </w:rPr>
  </w:style>
  <w:style w:type="character" w:customStyle="1" w:styleId="VoettekstChar">
    <w:name w:val="Voettekst Char"/>
    <w:basedOn w:val="Standaardalinea-lettertype"/>
    <w:link w:val="Voettekst"/>
    <w:uiPriority w:val="99"/>
    <w:rsid w:val="006455CC"/>
    <w:rPr>
      <w:szCs w:val="22"/>
      <w:lang w:val="nl-NL"/>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character" w:styleId="Verwijzingopmerking">
    <w:name w:val="annotation reference"/>
    <w:basedOn w:val="Standaardalinea-lettertype"/>
    <w:unhideWhenUsed/>
    <w:rsid w:val="00B24290"/>
    <w:rPr>
      <w:sz w:val="16"/>
      <w:szCs w:val="16"/>
    </w:rPr>
  </w:style>
  <w:style w:type="paragraph" w:styleId="Tekstopmerking">
    <w:name w:val="annotation text"/>
    <w:basedOn w:val="Standaard"/>
    <w:link w:val="TekstopmerkingChar"/>
    <w:unhideWhenUsed/>
    <w:rsid w:val="00B24290"/>
    <w:pPr>
      <w:spacing w:line="240" w:lineRule="auto"/>
    </w:pPr>
    <w:rPr>
      <w:sz w:val="20"/>
      <w:szCs w:val="20"/>
    </w:rPr>
  </w:style>
  <w:style w:type="character" w:customStyle="1" w:styleId="TekstopmerkingChar">
    <w:name w:val="Tekst opmerking Char"/>
    <w:basedOn w:val="Standaardalinea-lettertype"/>
    <w:link w:val="Tekstopmerking"/>
    <w:rsid w:val="00B2429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24290"/>
    <w:rPr>
      <w:b/>
      <w:bCs/>
    </w:rPr>
  </w:style>
  <w:style w:type="character" w:customStyle="1" w:styleId="OnderwerpvanopmerkingChar">
    <w:name w:val="Onderwerp van opmerking Char"/>
    <w:basedOn w:val="TekstopmerkingChar"/>
    <w:link w:val="Onderwerpvanopmerking"/>
    <w:semiHidden/>
    <w:rsid w:val="00B24290"/>
    <w:rPr>
      <w:rFonts w:ascii="Verdana" w:hAnsi="Verdana"/>
      <w:b/>
      <w:bCs/>
      <w:lang w:val="nl-NL" w:eastAsia="nl-NL"/>
    </w:rPr>
  </w:style>
  <w:style w:type="character" w:styleId="Zwaar">
    <w:name w:val="Strong"/>
    <w:basedOn w:val="Standaardalinea-lettertype"/>
    <w:uiPriority w:val="22"/>
    <w:qFormat/>
    <w:rsid w:val="007254D3"/>
    <w:rPr>
      <w:b/>
      <w:bCs/>
    </w:rPr>
  </w:style>
  <w:style w:type="paragraph" w:styleId="Lijstalinea">
    <w:name w:val="List Paragraph"/>
    <w:basedOn w:val="Standaard"/>
    <w:uiPriority w:val="34"/>
    <w:qFormat/>
    <w:rsid w:val="007254D3"/>
    <w:pPr>
      <w:ind w:left="720"/>
      <w:contextualSpacing/>
    </w:pPr>
  </w:style>
  <w:style w:type="paragraph" w:styleId="Normaalweb">
    <w:name w:val="Normal (Web)"/>
    <w:basedOn w:val="Standaard"/>
    <w:uiPriority w:val="99"/>
    <w:semiHidden/>
    <w:unhideWhenUsed/>
    <w:rsid w:val="00E912C7"/>
    <w:rPr>
      <w:rFonts w:ascii="Times New Roman" w:hAnsi="Times New Roman"/>
      <w:sz w:val="24"/>
    </w:rPr>
  </w:style>
  <w:style w:type="character" w:customStyle="1" w:styleId="wtiflow">
    <w:name w:val="wti_flow"/>
    <w:basedOn w:val="Standaardalinea-lettertype"/>
    <w:rsid w:val="00200B5C"/>
  </w:style>
  <w:style w:type="character" w:customStyle="1" w:styleId="Kop4Char">
    <w:name w:val="Kop 4 Char"/>
    <w:basedOn w:val="Standaardalinea-lettertype"/>
    <w:link w:val="Kop4"/>
    <w:semiHidden/>
    <w:rsid w:val="00C401FB"/>
    <w:rPr>
      <w:rFonts w:asciiTheme="majorHAnsi" w:eastAsiaTheme="majorEastAsia" w:hAnsiTheme="majorHAnsi" w:cstheme="majorBidi"/>
      <w:i/>
      <w:iCs/>
      <w:color w:val="365F91" w:themeColor="accent1" w:themeShade="BF"/>
      <w:sz w:val="18"/>
      <w:szCs w:val="24"/>
      <w:lang w:val="nl-NL" w:eastAsia="nl-NL"/>
    </w:rPr>
  </w:style>
  <w:style w:type="paragraph" w:styleId="Revisie">
    <w:name w:val="Revision"/>
    <w:hidden/>
    <w:uiPriority w:val="99"/>
    <w:semiHidden/>
    <w:rsid w:val="00CB5733"/>
    <w:rPr>
      <w:rFonts w:ascii="Verdana" w:hAnsi="Verdana"/>
      <w:sz w:val="18"/>
      <w:szCs w:val="24"/>
      <w:lang w:val="nl-NL" w:eastAsia="nl-NL"/>
    </w:rPr>
  </w:style>
  <w:style w:type="paragraph" w:customStyle="1" w:styleId="pf0">
    <w:name w:val="pf0"/>
    <w:basedOn w:val="Standaard"/>
    <w:rsid w:val="00E90061"/>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E900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895">
      <w:bodyDiv w:val="1"/>
      <w:marLeft w:val="0"/>
      <w:marRight w:val="0"/>
      <w:marTop w:val="0"/>
      <w:marBottom w:val="0"/>
      <w:divBdr>
        <w:top w:val="none" w:sz="0" w:space="0" w:color="auto"/>
        <w:left w:val="none" w:sz="0" w:space="0" w:color="auto"/>
        <w:bottom w:val="none" w:sz="0" w:space="0" w:color="auto"/>
        <w:right w:val="none" w:sz="0" w:space="0" w:color="auto"/>
      </w:divBdr>
    </w:div>
    <w:div w:id="100690751">
      <w:bodyDiv w:val="1"/>
      <w:marLeft w:val="0"/>
      <w:marRight w:val="0"/>
      <w:marTop w:val="0"/>
      <w:marBottom w:val="0"/>
      <w:divBdr>
        <w:top w:val="none" w:sz="0" w:space="0" w:color="auto"/>
        <w:left w:val="none" w:sz="0" w:space="0" w:color="auto"/>
        <w:bottom w:val="none" w:sz="0" w:space="0" w:color="auto"/>
        <w:right w:val="none" w:sz="0" w:space="0" w:color="auto"/>
      </w:divBdr>
    </w:div>
    <w:div w:id="248193447">
      <w:bodyDiv w:val="1"/>
      <w:marLeft w:val="0"/>
      <w:marRight w:val="0"/>
      <w:marTop w:val="0"/>
      <w:marBottom w:val="0"/>
      <w:divBdr>
        <w:top w:val="none" w:sz="0" w:space="0" w:color="auto"/>
        <w:left w:val="none" w:sz="0" w:space="0" w:color="auto"/>
        <w:bottom w:val="none" w:sz="0" w:space="0" w:color="auto"/>
        <w:right w:val="none" w:sz="0" w:space="0" w:color="auto"/>
      </w:divBdr>
    </w:div>
    <w:div w:id="322779194">
      <w:bodyDiv w:val="1"/>
      <w:marLeft w:val="0"/>
      <w:marRight w:val="0"/>
      <w:marTop w:val="0"/>
      <w:marBottom w:val="0"/>
      <w:divBdr>
        <w:top w:val="none" w:sz="0" w:space="0" w:color="auto"/>
        <w:left w:val="none" w:sz="0" w:space="0" w:color="auto"/>
        <w:bottom w:val="none" w:sz="0" w:space="0" w:color="auto"/>
        <w:right w:val="none" w:sz="0" w:space="0" w:color="auto"/>
      </w:divBdr>
    </w:div>
    <w:div w:id="628441151">
      <w:bodyDiv w:val="1"/>
      <w:marLeft w:val="0"/>
      <w:marRight w:val="0"/>
      <w:marTop w:val="0"/>
      <w:marBottom w:val="0"/>
      <w:divBdr>
        <w:top w:val="none" w:sz="0" w:space="0" w:color="auto"/>
        <w:left w:val="none" w:sz="0" w:space="0" w:color="auto"/>
        <w:bottom w:val="none" w:sz="0" w:space="0" w:color="auto"/>
        <w:right w:val="none" w:sz="0" w:space="0" w:color="auto"/>
      </w:divBdr>
    </w:div>
    <w:div w:id="703290575">
      <w:bodyDiv w:val="1"/>
      <w:marLeft w:val="0"/>
      <w:marRight w:val="0"/>
      <w:marTop w:val="0"/>
      <w:marBottom w:val="0"/>
      <w:divBdr>
        <w:top w:val="none" w:sz="0" w:space="0" w:color="auto"/>
        <w:left w:val="none" w:sz="0" w:space="0" w:color="auto"/>
        <w:bottom w:val="none" w:sz="0" w:space="0" w:color="auto"/>
        <w:right w:val="none" w:sz="0" w:space="0" w:color="auto"/>
      </w:divBdr>
    </w:div>
    <w:div w:id="864633438">
      <w:bodyDiv w:val="1"/>
      <w:marLeft w:val="0"/>
      <w:marRight w:val="0"/>
      <w:marTop w:val="0"/>
      <w:marBottom w:val="0"/>
      <w:divBdr>
        <w:top w:val="none" w:sz="0" w:space="0" w:color="auto"/>
        <w:left w:val="none" w:sz="0" w:space="0" w:color="auto"/>
        <w:bottom w:val="none" w:sz="0" w:space="0" w:color="auto"/>
        <w:right w:val="none" w:sz="0" w:space="0" w:color="auto"/>
      </w:divBdr>
    </w:div>
    <w:div w:id="959989905">
      <w:bodyDiv w:val="1"/>
      <w:marLeft w:val="0"/>
      <w:marRight w:val="0"/>
      <w:marTop w:val="0"/>
      <w:marBottom w:val="0"/>
      <w:divBdr>
        <w:top w:val="none" w:sz="0" w:space="0" w:color="auto"/>
        <w:left w:val="none" w:sz="0" w:space="0" w:color="auto"/>
        <w:bottom w:val="none" w:sz="0" w:space="0" w:color="auto"/>
        <w:right w:val="none" w:sz="0" w:space="0" w:color="auto"/>
      </w:divBdr>
    </w:div>
    <w:div w:id="1245846129">
      <w:bodyDiv w:val="1"/>
      <w:marLeft w:val="0"/>
      <w:marRight w:val="0"/>
      <w:marTop w:val="0"/>
      <w:marBottom w:val="0"/>
      <w:divBdr>
        <w:top w:val="none" w:sz="0" w:space="0" w:color="auto"/>
        <w:left w:val="none" w:sz="0" w:space="0" w:color="auto"/>
        <w:bottom w:val="none" w:sz="0" w:space="0" w:color="auto"/>
        <w:right w:val="none" w:sz="0" w:space="0" w:color="auto"/>
      </w:divBdr>
    </w:div>
    <w:div w:id="1274020456">
      <w:bodyDiv w:val="1"/>
      <w:marLeft w:val="0"/>
      <w:marRight w:val="0"/>
      <w:marTop w:val="0"/>
      <w:marBottom w:val="0"/>
      <w:divBdr>
        <w:top w:val="none" w:sz="0" w:space="0" w:color="auto"/>
        <w:left w:val="none" w:sz="0" w:space="0" w:color="auto"/>
        <w:bottom w:val="none" w:sz="0" w:space="0" w:color="auto"/>
        <w:right w:val="none" w:sz="0" w:space="0" w:color="auto"/>
      </w:divBdr>
    </w:div>
    <w:div w:id="1533764189">
      <w:bodyDiv w:val="1"/>
      <w:marLeft w:val="0"/>
      <w:marRight w:val="0"/>
      <w:marTop w:val="0"/>
      <w:marBottom w:val="0"/>
      <w:divBdr>
        <w:top w:val="none" w:sz="0" w:space="0" w:color="auto"/>
        <w:left w:val="none" w:sz="0" w:space="0" w:color="auto"/>
        <w:bottom w:val="none" w:sz="0" w:space="0" w:color="auto"/>
        <w:right w:val="none" w:sz="0" w:space="0" w:color="auto"/>
      </w:divBdr>
    </w:div>
    <w:div w:id="1539583313">
      <w:bodyDiv w:val="1"/>
      <w:marLeft w:val="0"/>
      <w:marRight w:val="0"/>
      <w:marTop w:val="0"/>
      <w:marBottom w:val="0"/>
      <w:divBdr>
        <w:top w:val="none" w:sz="0" w:space="0" w:color="auto"/>
        <w:left w:val="none" w:sz="0" w:space="0" w:color="auto"/>
        <w:bottom w:val="none" w:sz="0" w:space="0" w:color="auto"/>
        <w:right w:val="none" w:sz="0" w:space="0" w:color="auto"/>
      </w:divBdr>
    </w:div>
    <w:div w:id="1780224361">
      <w:bodyDiv w:val="1"/>
      <w:marLeft w:val="0"/>
      <w:marRight w:val="0"/>
      <w:marTop w:val="0"/>
      <w:marBottom w:val="0"/>
      <w:divBdr>
        <w:top w:val="none" w:sz="0" w:space="0" w:color="auto"/>
        <w:left w:val="none" w:sz="0" w:space="0" w:color="auto"/>
        <w:bottom w:val="none" w:sz="0" w:space="0" w:color="auto"/>
        <w:right w:val="none" w:sz="0" w:space="0" w:color="auto"/>
      </w:divBdr>
    </w:div>
    <w:div w:id="1916091484">
      <w:bodyDiv w:val="1"/>
      <w:marLeft w:val="0"/>
      <w:marRight w:val="0"/>
      <w:marTop w:val="0"/>
      <w:marBottom w:val="0"/>
      <w:divBdr>
        <w:top w:val="none" w:sz="0" w:space="0" w:color="auto"/>
        <w:left w:val="none" w:sz="0" w:space="0" w:color="auto"/>
        <w:bottom w:val="none" w:sz="0" w:space="0" w:color="auto"/>
        <w:right w:val="none" w:sz="0" w:space="0" w:color="auto"/>
      </w:divBdr>
    </w:div>
    <w:div w:id="2027361274">
      <w:bodyDiv w:val="1"/>
      <w:marLeft w:val="0"/>
      <w:marRight w:val="0"/>
      <w:marTop w:val="0"/>
      <w:marBottom w:val="0"/>
      <w:divBdr>
        <w:top w:val="none" w:sz="0" w:space="0" w:color="auto"/>
        <w:left w:val="none" w:sz="0" w:space="0" w:color="auto"/>
        <w:bottom w:val="none" w:sz="0" w:space="0" w:color="auto"/>
        <w:right w:val="none" w:sz="0" w:space="0" w:color="auto"/>
      </w:divBdr>
    </w:div>
    <w:div w:id="20880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1822</ap:Words>
  <ap:Characters>11155</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2008-07-25T16:17:00.0000000Z</lastPrinted>
  <dcterms:created xsi:type="dcterms:W3CDTF">2025-01-29T10:40:00.0000000Z</dcterms:created>
  <dcterms:modified xsi:type="dcterms:W3CDTF">2025-01-29T10:40:00.0000000Z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O205DEM</vt:lpwstr>
  </property>
  <property fmtid="{D5CDD505-2E9C-101B-9397-08002B2CF9AE}" pid="3" name="Author">
    <vt:lpwstr>O205DEM</vt:lpwstr>
  </property>
  <property fmtid="{D5CDD505-2E9C-101B-9397-08002B2CF9AE}" pid="4" name="cs_objectid">
    <vt:lpwstr>50210220</vt:lpwstr>
  </property>
  <property fmtid="{D5CDD505-2E9C-101B-9397-08002B2CF9AE}" pid="5" name="Header">
    <vt:lpwstr>Nota - zonder parafen ivm digitalisering</vt:lpwstr>
  </property>
  <property fmtid="{D5CDD505-2E9C-101B-9397-08002B2CF9AE}" pid="6" name="HeaderId">
    <vt:lpwstr>F4804AF482E74147827EBBD2970BD060</vt:lpwstr>
  </property>
  <property fmtid="{D5CDD505-2E9C-101B-9397-08002B2CF9AE}" pid="7" name="ocw_betreft">
    <vt:lpwstr>Verlenging subsiedieregeling instructeursbeurs mbo</vt:lpwstr>
  </property>
  <property fmtid="{D5CDD505-2E9C-101B-9397-08002B2CF9AE}" pid="8" name="ocw_directie">
    <vt:lpwstr>MBO/1</vt:lpwstr>
  </property>
  <property fmtid="{D5CDD505-2E9C-101B-9397-08002B2CF9AE}" pid="9" name="ocw_naw_org">
    <vt:lpwstr>MOCW</vt:lpwstr>
  </property>
  <property fmtid="{D5CDD505-2E9C-101B-9397-08002B2CF9AE}" pid="10" name="sjabloon.edocs.documenttype">
    <vt:lpwstr>NOTA</vt:lpwstr>
  </property>
  <property fmtid="{D5CDD505-2E9C-101B-9397-08002B2CF9AE}" pid="11" name="sjabloon.edocs.richting">
    <vt:lpwstr>INTERN</vt:lpwstr>
  </property>
  <property fmtid="{D5CDD505-2E9C-101B-9397-08002B2CF9AE}" pid="12" name="Template">
    <vt:lpwstr>Nota ter aanbieding subsidieregeling</vt:lpwstr>
  </property>
  <property fmtid="{D5CDD505-2E9C-101B-9397-08002B2CF9AE}" pid="13" name="TemplateId">
    <vt:lpwstr>1DD78391E2A64B6D91FF143CEDC8D7FE</vt:lpwstr>
  </property>
  <property fmtid="{D5CDD505-2E9C-101B-9397-08002B2CF9AE}" pid="14" name="Typist">
    <vt:lpwstr>O205DEM</vt:lpwstr>
  </property>
</Properties>
</file>