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34633" w:rsidTr="00D9561B" w14:paraId="2E75C4C6" w14:textId="77777777">
        <w:trPr>
          <w:trHeight w:val="1514"/>
        </w:trPr>
        <w:tc>
          <w:tcPr>
            <w:tcW w:w="7522" w:type="dxa"/>
            <w:tcBorders>
              <w:top w:val="nil"/>
              <w:left w:val="nil"/>
              <w:bottom w:val="nil"/>
              <w:right w:val="nil"/>
            </w:tcBorders>
            <w:tcMar>
              <w:left w:w="0" w:type="dxa"/>
              <w:right w:w="0" w:type="dxa"/>
            </w:tcMar>
          </w:tcPr>
          <w:p w:rsidR="00374412" w:rsidP="00D9561B" w:rsidRDefault="00D87F23" w14:paraId="6FA736C7" w14:textId="77777777">
            <w:r>
              <w:t>De v</w:t>
            </w:r>
            <w:r w:rsidR="008E3932">
              <w:t>oorzitter van de Tweede Kamer der Staten-Generaal</w:t>
            </w:r>
          </w:p>
          <w:p w:rsidR="00374412" w:rsidP="00D9561B" w:rsidRDefault="00D87F23" w14:paraId="7CED59B7" w14:textId="77777777">
            <w:r>
              <w:t>Postbus 20018</w:t>
            </w:r>
          </w:p>
          <w:p w:rsidR="008E3932" w:rsidP="00D9561B" w:rsidRDefault="00D87F23" w14:paraId="3897B13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34633" w:rsidTr="00FF66F9" w14:paraId="299A12AB" w14:textId="77777777">
        <w:trPr>
          <w:trHeight w:val="289" w:hRule="exact"/>
        </w:trPr>
        <w:tc>
          <w:tcPr>
            <w:tcW w:w="929" w:type="dxa"/>
          </w:tcPr>
          <w:p w:rsidRPr="00434042" w:rsidR="0005404B" w:rsidP="00FF66F9" w:rsidRDefault="00D87F23" w14:paraId="770AB233" w14:textId="77777777">
            <w:pPr>
              <w:rPr>
                <w:lang w:eastAsia="en-US"/>
              </w:rPr>
            </w:pPr>
            <w:r>
              <w:rPr>
                <w:lang w:eastAsia="en-US"/>
              </w:rPr>
              <w:t>Datum</w:t>
            </w:r>
          </w:p>
        </w:tc>
        <w:tc>
          <w:tcPr>
            <w:tcW w:w="6581" w:type="dxa"/>
          </w:tcPr>
          <w:p w:rsidRPr="00434042" w:rsidR="0005404B" w:rsidP="00FF66F9" w:rsidRDefault="00566559" w14:paraId="7063394C" w14:textId="15E16410">
            <w:pPr>
              <w:rPr>
                <w:lang w:eastAsia="en-US"/>
              </w:rPr>
            </w:pPr>
            <w:r>
              <w:rPr>
                <w:lang w:eastAsia="en-US"/>
              </w:rPr>
              <w:t>17 januari 2025</w:t>
            </w:r>
          </w:p>
        </w:tc>
      </w:tr>
      <w:tr w:rsidR="00134633" w:rsidTr="00FF66F9" w14:paraId="1CD6F0EE" w14:textId="77777777">
        <w:trPr>
          <w:trHeight w:val="368"/>
        </w:trPr>
        <w:tc>
          <w:tcPr>
            <w:tcW w:w="929" w:type="dxa"/>
          </w:tcPr>
          <w:p w:rsidR="0005404B" w:rsidP="00FF66F9" w:rsidRDefault="00D87F23" w14:paraId="16CAFFEB" w14:textId="77777777">
            <w:pPr>
              <w:rPr>
                <w:lang w:eastAsia="en-US"/>
              </w:rPr>
            </w:pPr>
            <w:r>
              <w:rPr>
                <w:lang w:eastAsia="en-US"/>
              </w:rPr>
              <w:t>Betreft</w:t>
            </w:r>
          </w:p>
        </w:tc>
        <w:tc>
          <w:tcPr>
            <w:tcW w:w="6581" w:type="dxa"/>
          </w:tcPr>
          <w:p w:rsidR="0005404B" w:rsidP="00FF66F9" w:rsidRDefault="00D87F23" w14:paraId="04C88D07" w14:textId="77777777">
            <w:pPr>
              <w:rPr>
                <w:lang w:eastAsia="en-US"/>
              </w:rPr>
            </w:pPr>
            <w:r>
              <w:rPr>
                <w:lang w:eastAsia="en-US"/>
              </w:rPr>
              <w:t>Afbakening doelgroep wetsvoorstel screening kennisveiligheid</w:t>
            </w:r>
          </w:p>
        </w:tc>
      </w:tr>
    </w:tbl>
    <w:tbl>
      <w:tblPr>
        <w:tblpPr w:leftFromText="142" w:rightFromText="142" w:vertAnchor="page" w:horzAnchor="page" w:tblpX="9228" w:tblpY="3042"/>
        <w:tblW w:w="2160" w:type="dxa"/>
        <w:tblLayout w:type="fixed"/>
        <w:tblCellMar>
          <w:left w:w="0" w:type="dxa"/>
          <w:right w:w="0" w:type="dxa"/>
        </w:tblCellMar>
        <w:tblLook w:val="0000" w:firstRow="0" w:lastRow="0" w:firstColumn="0" w:lastColumn="0" w:noHBand="0" w:noVBand="0"/>
      </w:tblPr>
      <w:tblGrid>
        <w:gridCol w:w="2160"/>
      </w:tblGrid>
      <w:tr w:rsidR="00D87F23" w:rsidTr="00D87F23" w14:paraId="63F9982D" w14:textId="77777777">
        <w:tc>
          <w:tcPr>
            <w:tcW w:w="2160" w:type="dxa"/>
          </w:tcPr>
          <w:p w:rsidRPr="00F53C9D" w:rsidR="00D87F23" w:rsidP="00D87F23" w:rsidRDefault="00D87F23" w14:paraId="17064563" w14:textId="77777777">
            <w:pPr>
              <w:pStyle w:val="Colofonkop"/>
              <w:framePr w:hSpace="0" w:wrap="auto" w:hAnchor="text" w:vAnchor="margin" w:xAlign="left" w:yAlign="inline"/>
            </w:pPr>
            <w:r>
              <w:t>Onderzoek en Wetenschapsbeleid</w:t>
            </w:r>
          </w:p>
          <w:p w:rsidR="00D87F23" w:rsidP="00D87F23" w:rsidRDefault="00D87F23" w14:paraId="66A0A8AD" w14:textId="77777777">
            <w:pPr>
              <w:pStyle w:val="Huisstijl-Gegeven"/>
              <w:spacing w:after="0"/>
            </w:pPr>
            <w:r>
              <w:t xml:space="preserve">Rijnstraat 50 </w:t>
            </w:r>
          </w:p>
          <w:p w:rsidR="00D87F23" w:rsidP="00D87F23" w:rsidRDefault="00D87F23" w14:paraId="3C73DA27" w14:textId="77777777">
            <w:pPr>
              <w:pStyle w:val="Huisstijl-Gegeven"/>
              <w:spacing w:after="0"/>
            </w:pPr>
            <w:r>
              <w:t>Den Haag</w:t>
            </w:r>
          </w:p>
          <w:p w:rsidR="00D87F23" w:rsidP="00D87F23" w:rsidRDefault="00D87F23" w14:paraId="4384D3D3" w14:textId="77777777">
            <w:pPr>
              <w:pStyle w:val="Huisstijl-Gegeven"/>
              <w:spacing w:after="0"/>
            </w:pPr>
            <w:r>
              <w:t>Postbus 16375</w:t>
            </w:r>
          </w:p>
          <w:p w:rsidR="00D87F23" w:rsidP="00D87F23" w:rsidRDefault="00D87F23" w14:paraId="59BF0E55" w14:textId="77777777">
            <w:pPr>
              <w:pStyle w:val="Huisstijl-Gegeven"/>
              <w:spacing w:after="0"/>
            </w:pPr>
            <w:r>
              <w:t>2500 BJ Den Haag</w:t>
            </w:r>
          </w:p>
          <w:p w:rsidR="00D87F23" w:rsidP="00D87F23" w:rsidRDefault="00D87F23" w14:paraId="1195B410" w14:textId="77777777">
            <w:pPr>
              <w:pStyle w:val="Huisstijl-Gegeven"/>
              <w:spacing w:after="90"/>
            </w:pPr>
            <w:r>
              <w:t>www.rijksoverheid.nl</w:t>
            </w:r>
          </w:p>
          <w:p w:rsidRPr="00A32073" w:rsidR="00D87F23" w:rsidP="00D87F23" w:rsidRDefault="00D87F23" w14:paraId="7096CB13" w14:textId="36CF3575">
            <w:pPr>
              <w:spacing w:line="180" w:lineRule="exact"/>
              <w:rPr>
                <w:sz w:val="13"/>
                <w:szCs w:val="13"/>
              </w:rPr>
            </w:pPr>
          </w:p>
        </w:tc>
      </w:tr>
      <w:tr w:rsidR="00D87F23" w:rsidTr="00D87F23" w14:paraId="0B8452F8" w14:textId="77777777">
        <w:trPr>
          <w:trHeight w:val="200" w:hRule="exact"/>
        </w:trPr>
        <w:tc>
          <w:tcPr>
            <w:tcW w:w="2160" w:type="dxa"/>
          </w:tcPr>
          <w:p w:rsidRPr="00356D2B" w:rsidR="00D87F23" w:rsidP="00D87F23" w:rsidRDefault="00D87F23" w14:paraId="794FF559" w14:textId="77777777">
            <w:pPr>
              <w:spacing w:after="90" w:line="180" w:lineRule="exact"/>
              <w:rPr>
                <w:sz w:val="13"/>
                <w:szCs w:val="13"/>
              </w:rPr>
            </w:pPr>
          </w:p>
        </w:tc>
      </w:tr>
      <w:tr w:rsidR="00D87F23" w:rsidTr="00D87F23" w14:paraId="196EB0D7" w14:textId="77777777">
        <w:trPr>
          <w:trHeight w:val="450"/>
        </w:trPr>
        <w:tc>
          <w:tcPr>
            <w:tcW w:w="2160" w:type="dxa"/>
          </w:tcPr>
          <w:p w:rsidR="00D87F23" w:rsidP="00D87F23" w:rsidRDefault="00D87F23" w14:paraId="6E6F9C7A" w14:textId="77777777">
            <w:pPr>
              <w:spacing w:line="180" w:lineRule="exact"/>
              <w:rPr>
                <w:b/>
                <w:sz w:val="13"/>
                <w:szCs w:val="13"/>
              </w:rPr>
            </w:pPr>
            <w:r>
              <w:rPr>
                <w:b/>
                <w:sz w:val="13"/>
                <w:szCs w:val="13"/>
              </w:rPr>
              <w:t>Onze referentie</w:t>
            </w:r>
          </w:p>
          <w:p w:rsidRPr="00FA7882" w:rsidR="00D87F23" w:rsidP="00D87F23" w:rsidRDefault="00D87F23" w14:paraId="4AD2F0DA" w14:textId="77777777">
            <w:pPr>
              <w:spacing w:line="180" w:lineRule="exact"/>
              <w:rPr>
                <w:sz w:val="13"/>
                <w:szCs w:val="13"/>
              </w:rPr>
            </w:pPr>
            <w:r>
              <w:rPr>
                <w:sz w:val="13"/>
                <w:szCs w:val="13"/>
              </w:rPr>
              <w:t>49441144</w:t>
            </w:r>
          </w:p>
        </w:tc>
      </w:tr>
    </w:tbl>
    <w:p w:rsidR="00D87F23" w:rsidP="00D87F23" w:rsidRDefault="00D87F23" w14:paraId="71B0CBA7" w14:textId="5B39DA5D">
      <w:bookmarkStart w:name="_Hlk184307737" w:id="0"/>
      <w:r>
        <w:t>In de voortgangsbrief kennisveiligheid van 24 oktober jl.</w:t>
      </w:r>
      <w:r>
        <w:rPr>
          <w:rStyle w:val="Voetnootmarkering"/>
        </w:rPr>
        <w:footnoteReference w:id="1"/>
      </w:r>
      <w:r>
        <w:t xml:space="preserve"> heb ik toegezegd uw Kamer nader te informeren </w:t>
      </w:r>
      <w:r w:rsidRPr="004D0CF2">
        <w:t>over de uitkomsten van de adviezen van het College voor de Rechten v</w:t>
      </w:r>
      <w:r>
        <w:t>an</w:t>
      </w:r>
      <w:r w:rsidRPr="004D0CF2">
        <w:t xml:space="preserve"> de Mens</w:t>
      </w:r>
      <w:r>
        <w:t xml:space="preserve"> </w:t>
      </w:r>
      <w:r w:rsidRPr="004D0CF2">
        <w:t>en de Landsadvocaat inzake de</w:t>
      </w:r>
      <w:r>
        <w:t xml:space="preserve"> </w:t>
      </w:r>
      <w:r w:rsidRPr="004D0CF2">
        <w:t xml:space="preserve">doelgroepafbakening van het wetsvoorstel screening kennisveiligheid. </w:t>
      </w:r>
      <w:bookmarkStart w:name="_Hlk184203569" w:id="1"/>
      <w:r>
        <w:t xml:space="preserve">Met deze brief geef ik daar, mede namens de minister van Justitie en Veiligheid (JenV) en de minister van Economische Zaken (EZ), gevolg aan. </w:t>
      </w:r>
      <w:bookmarkEnd w:id="1"/>
    </w:p>
    <w:p w:rsidR="00D87F23" w:rsidP="00D87F23" w:rsidRDefault="00D87F23" w14:paraId="2681C160" w14:textId="77777777"/>
    <w:p w:rsidR="00D87F23" w:rsidP="00D87F23" w:rsidRDefault="00D87F23" w14:paraId="5AE45584" w14:textId="24BBF4AE">
      <w:pPr>
        <w:rPr>
          <w:szCs w:val="18"/>
        </w:rPr>
      </w:pPr>
      <w:bookmarkStart w:name="_Hlk181705104" w:id="2"/>
      <w:r w:rsidRPr="00FB3F08">
        <w:rPr>
          <w:szCs w:val="18"/>
        </w:rPr>
        <w:t xml:space="preserve">Voor het wetsvoorstel screening kennisveiligheid </w:t>
      </w:r>
      <w:r>
        <w:rPr>
          <w:szCs w:val="18"/>
        </w:rPr>
        <w:t>was</w:t>
      </w:r>
      <w:r w:rsidRPr="00FB3F08">
        <w:rPr>
          <w:szCs w:val="18"/>
        </w:rPr>
        <w:t xml:space="preserve"> het voornemen om onderzoekers en (master)studenten uit derde landen</w:t>
      </w:r>
      <w:r w:rsidRPr="00FB3F08">
        <w:rPr>
          <w:szCs w:val="18"/>
          <w:vertAlign w:val="superscript"/>
        </w:rPr>
        <w:footnoteReference w:id="2"/>
      </w:r>
      <w:r w:rsidRPr="00FB3F08">
        <w:rPr>
          <w:szCs w:val="18"/>
        </w:rPr>
        <w:t xml:space="preserve"> te screenen </w:t>
      </w:r>
      <w:r w:rsidRPr="00FB3F08">
        <w:rPr>
          <w:i/>
          <w:iCs/>
          <w:szCs w:val="18"/>
        </w:rPr>
        <w:t>voorafgaand aan</w:t>
      </w:r>
      <w:r w:rsidRPr="00FB3F08">
        <w:rPr>
          <w:szCs w:val="18"/>
        </w:rPr>
        <w:t xml:space="preserve"> en </w:t>
      </w:r>
      <w:r w:rsidRPr="00FB3F08">
        <w:rPr>
          <w:i/>
          <w:iCs/>
          <w:szCs w:val="18"/>
        </w:rPr>
        <w:t>met het oog op</w:t>
      </w:r>
      <w:r w:rsidRPr="00FB3F08">
        <w:rPr>
          <w:szCs w:val="18"/>
        </w:rPr>
        <w:t xml:space="preserve"> een verblijfsrechtelijke procedure.</w:t>
      </w:r>
      <w:r>
        <w:t xml:space="preserve"> </w:t>
      </w:r>
      <w:r w:rsidRPr="0098360B">
        <w:rPr>
          <w:szCs w:val="18"/>
        </w:rPr>
        <w:t>Deze doelgroep leek proportioneel en doelmatig in het licht van dreigingsanalyses</w:t>
      </w:r>
      <w:r>
        <w:rPr>
          <w:szCs w:val="18"/>
        </w:rPr>
        <w:t>.</w:t>
      </w:r>
      <w:r>
        <w:rPr>
          <w:rStyle w:val="Voetnootmarkering"/>
          <w:szCs w:val="18"/>
        </w:rPr>
        <w:footnoteReference w:id="3"/>
      </w:r>
      <w:r>
        <w:rPr>
          <w:szCs w:val="18"/>
        </w:rPr>
        <w:t xml:space="preserve"> Echter, de voornoemde adviezen geven aanleiding om dit voornemen te herzien. Ik licht dit hieronder toe.</w:t>
      </w:r>
      <w:r w:rsidR="00583684">
        <w:rPr>
          <w:szCs w:val="18"/>
        </w:rPr>
        <w:t xml:space="preserve"> Kort gezegd, het maken van een onderscheid op basis van nationaliteit kan niet worden toegepast om de doelgroep van de screening af te bakenen.</w:t>
      </w:r>
    </w:p>
    <w:p w:rsidR="00D87F23" w:rsidP="00D87F23" w:rsidRDefault="00D87F23" w14:paraId="04B19A66" w14:textId="77777777">
      <w:pPr>
        <w:rPr>
          <w:szCs w:val="18"/>
        </w:rPr>
      </w:pPr>
    </w:p>
    <w:p w:rsidRPr="0001129B" w:rsidR="00D87F23" w:rsidP="00D87F23" w:rsidRDefault="00D87F23" w14:paraId="2C7CEEAF" w14:textId="77777777">
      <w:pPr>
        <w:rPr>
          <w:i/>
          <w:iCs/>
          <w:szCs w:val="18"/>
        </w:rPr>
      </w:pPr>
      <w:r w:rsidRPr="0001129B">
        <w:rPr>
          <w:i/>
          <w:iCs/>
          <w:szCs w:val="18"/>
        </w:rPr>
        <w:t>Aanleiding</w:t>
      </w:r>
    </w:p>
    <w:p w:rsidR="00D87F23" w:rsidP="00D87F23" w:rsidRDefault="00D87F23" w14:paraId="4FDD68D2" w14:textId="77777777">
      <w:pPr>
        <w:rPr>
          <w:szCs w:val="18"/>
        </w:rPr>
      </w:pPr>
      <w:r>
        <w:rPr>
          <w:szCs w:val="18"/>
        </w:rPr>
        <w:t xml:space="preserve">Vanuit het </w:t>
      </w:r>
      <w:r w:rsidRPr="008B4C7E">
        <w:rPr>
          <w:szCs w:val="18"/>
        </w:rPr>
        <w:t>oogpunt van het voorkomen van discriminatie</w:t>
      </w:r>
      <w:r>
        <w:rPr>
          <w:szCs w:val="18"/>
        </w:rPr>
        <w:t xml:space="preserve"> en het borgen van </w:t>
      </w:r>
      <w:r w:rsidRPr="00D6785A">
        <w:rPr>
          <w:szCs w:val="18"/>
        </w:rPr>
        <w:t>rechtszekerheid, rechtsgelijkheid en voorspelbaarheid</w:t>
      </w:r>
      <w:r>
        <w:rPr>
          <w:szCs w:val="18"/>
        </w:rPr>
        <w:t xml:space="preserve"> is het </w:t>
      </w:r>
      <w:r w:rsidRPr="008B4C7E">
        <w:rPr>
          <w:szCs w:val="18"/>
        </w:rPr>
        <w:t>noodzakelijk</w:t>
      </w:r>
      <w:r>
        <w:rPr>
          <w:szCs w:val="18"/>
        </w:rPr>
        <w:t xml:space="preserve"> </w:t>
      </w:r>
      <w:r w:rsidRPr="008B4C7E">
        <w:rPr>
          <w:szCs w:val="18"/>
        </w:rPr>
        <w:t xml:space="preserve">dat de juridische houdbaarheid van de </w:t>
      </w:r>
      <w:r>
        <w:rPr>
          <w:szCs w:val="18"/>
        </w:rPr>
        <w:t xml:space="preserve">voorgenomen </w:t>
      </w:r>
      <w:r w:rsidRPr="008B4C7E">
        <w:rPr>
          <w:szCs w:val="18"/>
        </w:rPr>
        <w:t>doelgroepafbakening boven alle twijfel is verheven</w:t>
      </w:r>
      <w:r>
        <w:rPr>
          <w:szCs w:val="18"/>
        </w:rPr>
        <w:t xml:space="preserve">. Duidelijkheid hierover is nodig voordat ik het wetsvoorstel ga publiceren voor openbare (internet)consultatie. </w:t>
      </w:r>
    </w:p>
    <w:p w:rsidR="00D87F23" w:rsidP="00D87F23" w:rsidRDefault="00D87F23" w14:paraId="7C0B116F" w14:textId="77777777">
      <w:pPr>
        <w:rPr>
          <w:szCs w:val="18"/>
        </w:rPr>
      </w:pPr>
    </w:p>
    <w:p w:rsidR="00D87F23" w:rsidP="00D87F23" w:rsidRDefault="00D87F23" w14:paraId="4FA8C4A9" w14:textId="77777777">
      <w:pPr>
        <w:rPr>
          <w:szCs w:val="18"/>
        </w:rPr>
      </w:pPr>
      <w:r>
        <w:rPr>
          <w:szCs w:val="18"/>
        </w:rPr>
        <w:t xml:space="preserve">Mijn ambtsvoorganger heeft daarom aan </w:t>
      </w:r>
      <w:bookmarkEnd w:id="2"/>
      <w:r>
        <w:rPr>
          <w:szCs w:val="18"/>
        </w:rPr>
        <w:t>het</w:t>
      </w:r>
      <w:r w:rsidRPr="00FB3F08">
        <w:rPr>
          <w:szCs w:val="18"/>
        </w:rPr>
        <w:t xml:space="preserve"> College voor de Rechten van de Mens (hierna: het College) advies </w:t>
      </w:r>
      <w:r>
        <w:rPr>
          <w:szCs w:val="18"/>
        </w:rPr>
        <w:t xml:space="preserve">gevraagd </w:t>
      </w:r>
      <w:r w:rsidRPr="00FB3F08">
        <w:rPr>
          <w:szCs w:val="18"/>
        </w:rPr>
        <w:t xml:space="preserve">over de </w:t>
      </w:r>
      <w:r>
        <w:rPr>
          <w:szCs w:val="18"/>
        </w:rPr>
        <w:t xml:space="preserve">voorgenomen </w:t>
      </w:r>
      <w:r w:rsidRPr="00FB3F08">
        <w:rPr>
          <w:szCs w:val="18"/>
        </w:rPr>
        <w:t>doelgroep</w:t>
      </w:r>
      <w:r>
        <w:rPr>
          <w:szCs w:val="18"/>
        </w:rPr>
        <w:t>afbakening. Dit advies gaf</w:t>
      </w:r>
      <w:r w:rsidRPr="000D4AEA">
        <w:rPr>
          <w:szCs w:val="18"/>
        </w:rPr>
        <w:t xml:space="preserve"> niet op alle elementen</w:t>
      </w:r>
      <w:r>
        <w:rPr>
          <w:szCs w:val="18"/>
        </w:rPr>
        <w:t>, specifiek ten aanzien van de uitleg van het Unierecht,</w:t>
      </w:r>
      <w:r w:rsidRPr="000D4AEA">
        <w:rPr>
          <w:szCs w:val="18"/>
        </w:rPr>
        <w:t xml:space="preserve"> volledig uitsluitsel</w:t>
      </w:r>
      <w:r>
        <w:rPr>
          <w:szCs w:val="18"/>
        </w:rPr>
        <w:t xml:space="preserve">. Daarom </w:t>
      </w:r>
      <w:r w:rsidRPr="000D4AEA">
        <w:rPr>
          <w:szCs w:val="18"/>
        </w:rPr>
        <w:t xml:space="preserve">heb ik besloten om </w:t>
      </w:r>
      <w:r>
        <w:rPr>
          <w:szCs w:val="18"/>
        </w:rPr>
        <w:t xml:space="preserve">over die elementen </w:t>
      </w:r>
      <w:r w:rsidRPr="000D4AEA">
        <w:rPr>
          <w:szCs w:val="18"/>
        </w:rPr>
        <w:t>nader advies te vragen aan de Landsadvocaat.</w:t>
      </w:r>
      <w:r>
        <w:rPr>
          <w:szCs w:val="18"/>
        </w:rPr>
        <w:t xml:space="preserve"> </w:t>
      </w:r>
      <w:r w:rsidRPr="00FB3F08">
        <w:rPr>
          <w:szCs w:val="18"/>
        </w:rPr>
        <w:t xml:space="preserve">Inmiddels heb ik </w:t>
      </w:r>
      <w:r>
        <w:rPr>
          <w:szCs w:val="18"/>
        </w:rPr>
        <w:t xml:space="preserve">het advies van de Landsadvocaat ontvangen en bestudeerd. </w:t>
      </w:r>
      <w:bookmarkStart w:name="_Hlk184202766" w:id="3"/>
      <w:r>
        <w:rPr>
          <w:szCs w:val="18"/>
        </w:rPr>
        <w:t xml:space="preserve">In deze brief zet ik </w:t>
      </w:r>
      <w:r>
        <w:rPr>
          <w:szCs w:val="18"/>
        </w:rPr>
        <w:lastRenderedPageBreak/>
        <w:t xml:space="preserve">uiteen wat er uit deze adviezen volgt en wat hiervan de gevolgen zijn voor het wetsvoorstel screening kennisveiligheid. </w:t>
      </w:r>
      <w:bookmarkEnd w:id="3"/>
    </w:p>
    <w:p w:rsidR="00D87F23" w:rsidP="00D87F23" w:rsidRDefault="00D87F23" w14:paraId="188D729F" w14:textId="77777777">
      <w:pPr>
        <w:rPr>
          <w:szCs w:val="18"/>
        </w:rPr>
      </w:pPr>
    </w:p>
    <w:p w:rsidR="00D87F23" w:rsidP="00D87F23" w:rsidRDefault="00D87F23" w14:paraId="0572EE78" w14:textId="77777777">
      <w:pPr>
        <w:rPr>
          <w:i/>
          <w:iCs/>
          <w:szCs w:val="18"/>
        </w:rPr>
      </w:pPr>
      <w:r>
        <w:rPr>
          <w:i/>
          <w:iCs/>
          <w:szCs w:val="18"/>
        </w:rPr>
        <w:t xml:space="preserve">Adviezen </w:t>
      </w:r>
    </w:p>
    <w:p w:rsidRPr="002B4420" w:rsidR="00D87F23" w:rsidP="00D87F23" w:rsidRDefault="00583684" w14:paraId="2533279E" w14:textId="5022DD44">
      <w:pPr>
        <w:rPr>
          <w:szCs w:val="18"/>
        </w:rPr>
      </w:pPr>
      <w:r>
        <w:rPr>
          <w:szCs w:val="18"/>
        </w:rPr>
        <w:t xml:space="preserve">Leidend in de screening kennisveiligheid is een naar risico’s gedifferentieerde aanpak, </w:t>
      </w:r>
      <w:r w:rsidR="0038493E">
        <w:rPr>
          <w:szCs w:val="18"/>
        </w:rPr>
        <w:t xml:space="preserve">onder meer </w:t>
      </w:r>
      <w:r>
        <w:rPr>
          <w:szCs w:val="18"/>
        </w:rPr>
        <w:t xml:space="preserve">gebaseerd op het dreigingsbeeld statelijke actoren (DBSA I en II). </w:t>
      </w:r>
      <w:r w:rsidRPr="002B4420" w:rsidR="00D87F23">
        <w:rPr>
          <w:szCs w:val="18"/>
        </w:rPr>
        <w:t xml:space="preserve">De </w:t>
      </w:r>
      <w:r w:rsidR="00D87F23">
        <w:rPr>
          <w:szCs w:val="18"/>
        </w:rPr>
        <w:t xml:space="preserve">voorgenomen </w:t>
      </w:r>
      <w:r w:rsidRPr="002B4420" w:rsidR="00D87F23">
        <w:rPr>
          <w:szCs w:val="18"/>
        </w:rPr>
        <w:t>doelgroep van het wetsvoorstel best</w:t>
      </w:r>
      <w:r w:rsidR="00D87F23">
        <w:rPr>
          <w:szCs w:val="18"/>
        </w:rPr>
        <w:t xml:space="preserve">ond </w:t>
      </w:r>
      <w:r w:rsidRPr="002B4420" w:rsidR="00D87F23">
        <w:rPr>
          <w:szCs w:val="18"/>
        </w:rPr>
        <w:t xml:space="preserve">uit derdelanders, </w:t>
      </w:r>
      <w:r w:rsidR="00D87F23">
        <w:rPr>
          <w:szCs w:val="18"/>
        </w:rPr>
        <w:t>in dit geval</w:t>
      </w:r>
      <w:r w:rsidRPr="002B4420" w:rsidR="00D87F23">
        <w:rPr>
          <w:szCs w:val="18"/>
        </w:rPr>
        <w:t xml:space="preserve"> </w:t>
      </w:r>
      <w:r w:rsidR="00D87F23">
        <w:rPr>
          <w:szCs w:val="18"/>
        </w:rPr>
        <w:t>onderzoekers en (master)</w:t>
      </w:r>
      <w:r w:rsidRPr="002B4420" w:rsidR="00D87F23">
        <w:rPr>
          <w:szCs w:val="18"/>
        </w:rPr>
        <w:t>studenten, die</w:t>
      </w:r>
      <w:r w:rsidRPr="008329FE" w:rsidR="00D87F23">
        <w:rPr>
          <w:szCs w:val="18"/>
        </w:rPr>
        <w:t xml:space="preserve"> voornemens</w:t>
      </w:r>
      <w:r w:rsidRPr="002B4420" w:rsidR="00D87F23">
        <w:rPr>
          <w:szCs w:val="18"/>
        </w:rPr>
        <w:t xml:space="preserve"> zijn om op grond van de nationale regelgeving gebaseerd</w:t>
      </w:r>
      <w:r w:rsidR="00D87F23">
        <w:rPr>
          <w:szCs w:val="18"/>
        </w:rPr>
        <w:t xml:space="preserve"> op</w:t>
      </w:r>
      <w:r w:rsidRPr="002B4420" w:rsidR="00D87F23">
        <w:rPr>
          <w:szCs w:val="18"/>
        </w:rPr>
        <w:t xml:space="preserve"> </w:t>
      </w:r>
      <w:r w:rsidR="00D87F23">
        <w:rPr>
          <w:szCs w:val="18"/>
        </w:rPr>
        <w:t>het Unierecht</w:t>
      </w:r>
      <w:r w:rsidR="00D87F23">
        <w:rPr>
          <w:rStyle w:val="Voetnootmarkering"/>
          <w:szCs w:val="18"/>
        </w:rPr>
        <w:footnoteReference w:id="4"/>
      </w:r>
      <w:r w:rsidRPr="002B4420" w:rsidR="00D87F23">
        <w:rPr>
          <w:szCs w:val="18"/>
        </w:rPr>
        <w:t xml:space="preserve"> een verblijfsvergunning met het doel </w:t>
      </w:r>
      <w:r w:rsidR="00D87F23">
        <w:rPr>
          <w:szCs w:val="18"/>
        </w:rPr>
        <w:t xml:space="preserve">onderzoek of </w:t>
      </w:r>
      <w:r w:rsidRPr="002B4420" w:rsidR="00D87F23">
        <w:rPr>
          <w:szCs w:val="18"/>
        </w:rPr>
        <w:t xml:space="preserve">studie aan te vragen. </w:t>
      </w:r>
      <w:bookmarkStart w:name="_Hlk169188693" w:id="4"/>
      <w:r w:rsidRPr="002B4420" w:rsidR="00D87F23">
        <w:rPr>
          <w:szCs w:val="18"/>
        </w:rPr>
        <w:t xml:space="preserve">Omdat op grond van </w:t>
      </w:r>
      <w:r w:rsidR="00D87F23">
        <w:rPr>
          <w:szCs w:val="18"/>
        </w:rPr>
        <w:t>het Unierecht</w:t>
      </w:r>
      <w:r w:rsidRPr="002B4420" w:rsidR="00D87F23">
        <w:rPr>
          <w:szCs w:val="18"/>
        </w:rPr>
        <w:t xml:space="preserve"> en de verblijfsrechtelijke procedure onderscheid wordt gemaakt tussen Unieburgers en derdelanders</w:t>
      </w:r>
      <w:r w:rsidR="00D87F23">
        <w:rPr>
          <w:szCs w:val="18"/>
        </w:rPr>
        <w:t xml:space="preserve"> die naar Nederland willen komen voor het doen van onderzoek of om te studeren</w:t>
      </w:r>
      <w:r w:rsidRPr="002B4420" w:rsidR="00D87F23">
        <w:rPr>
          <w:szCs w:val="18"/>
        </w:rPr>
        <w:t>, he</w:t>
      </w:r>
      <w:r w:rsidR="00D87F23">
        <w:rPr>
          <w:szCs w:val="18"/>
        </w:rPr>
        <w:t>b ik</w:t>
      </w:r>
      <w:r w:rsidRPr="002B4420" w:rsidR="00D87F23">
        <w:rPr>
          <w:szCs w:val="18"/>
        </w:rPr>
        <w:t xml:space="preserve"> aan het College de vraag voorgelegd of hierom het discriminatieverbod niet van toepassing is en</w:t>
      </w:r>
      <w:r w:rsidR="00D87F23">
        <w:rPr>
          <w:szCs w:val="18"/>
        </w:rPr>
        <w:t xml:space="preserve"> dus h</w:t>
      </w:r>
      <w:r w:rsidRPr="002B4420" w:rsidR="00D87F23">
        <w:rPr>
          <w:szCs w:val="18"/>
        </w:rPr>
        <w:t>et onderscheid</w:t>
      </w:r>
      <w:r w:rsidR="00D87F23">
        <w:rPr>
          <w:szCs w:val="18"/>
        </w:rPr>
        <w:t xml:space="preserve"> tussen Unieburgers en derdelanders</w:t>
      </w:r>
      <w:r w:rsidRPr="002B4420" w:rsidR="00D87F23">
        <w:rPr>
          <w:szCs w:val="18"/>
        </w:rPr>
        <w:t xml:space="preserve"> niet gerechtvaardigd hoeft te worden.</w:t>
      </w:r>
    </w:p>
    <w:bookmarkEnd w:id="4"/>
    <w:p w:rsidR="00D87F23" w:rsidP="00D87F23" w:rsidRDefault="00D87F23" w14:paraId="3683B0D1" w14:textId="77777777">
      <w:pPr>
        <w:rPr>
          <w:szCs w:val="18"/>
        </w:rPr>
      </w:pPr>
    </w:p>
    <w:p w:rsidRPr="00BB7943" w:rsidR="00D87F23" w:rsidP="00D87F23" w:rsidRDefault="00D87F23" w14:paraId="75230249" w14:textId="5A82E405">
      <w:pPr>
        <w:rPr>
          <w:szCs w:val="18"/>
        </w:rPr>
      </w:pPr>
      <w:r w:rsidRPr="00144525">
        <w:rPr>
          <w:szCs w:val="18"/>
        </w:rPr>
        <w:t>Het College heeft in het advies</w:t>
      </w:r>
      <w:r>
        <w:rPr>
          <w:szCs w:val="18"/>
        </w:rPr>
        <w:t xml:space="preserve"> </w:t>
      </w:r>
      <w:r w:rsidRPr="00144525">
        <w:rPr>
          <w:szCs w:val="18"/>
        </w:rPr>
        <w:t xml:space="preserve">– kort gezegd - aangegeven te twijfelen of het Unie- en vreemdelingenrecht een basis biedt voor de voorgestelde screening </w:t>
      </w:r>
      <w:r w:rsidRPr="00144525">
        <w:rPr>
          <w:i/>
          <w:iCs/>
          <w:szCs w:val="18"/>
        </w:rPr>
        <w:t>voorafgaand aan</w:t>
      </w:r>
      <w:r w:rsidRPr="00144525">
        <w:rPr>
          <w:szCs w:val="18"/>
        </w:rPr>
        <w:t xml:space="preserve"> en </w:t>
      </w:r>
      <w:r w:rsidRPr="00144525">
        <w:rPr>
          <w:i/>
          <w:iCs/>
          <w:szCs w:val="18"/>
        </w:rPr>
        <w:t>met het oog op</w:t>
      </w:r>
      <w:r w:rsidRPr="00144525">
        <w:rPr>
          <w:szCs w:val="18"/>
        </w:rPr>
        <w:t xml:space="preserve"> de verblijfsrechtelijke procedure</w:t>
      </w:r>
      <w:r w:rsidRPr="008329FE">
        <w:rPr>
          <w:szCs w:val="18"/>
        </w:rPr>
        <w:t xml:space="preserve">. De Landsadvocaat </w:t>
      </w:r>
      <w:r w:rsidRPr="00E57B07">
        <w:rPr>
          <w:szCs w:val="18"/>
        </w:rPr>
        <w:t>trek</w:t>
      </w:r>
      <w:r w:rsidRPr="008329FE">
        <w:rPr>
          <w:szCs w:val="18"/>
        </w:rPr>
        <w:t xml:space="preserve">t </w:t>
      </w:r>
      <w:r w:rsidRPr="00E57B07">
        <w:rPr>
          <w:szCs w:val="18"/>
        </w:rPr>
        <w:t xml:space="preserve">in de </w:t>
      </w:r>
      <w:r w:rsidRPr="00E57B07">
        <w:rPr>
          <w:i/>
          <w:iCs/>
          <w:szCs w:val="18"/>
        </w:rPr>
        <w:t>second opinion</w:t>
      </w:r>
      <w:r w:rsidRPr="00E57B07">
        <w:rPr>
          <w:szCs w:val="18"/>
        </w:rPr>
        <w:t xml:space="preserve"> dezelfde conclusie</w:t>
      </w:r>
      <w:r>
        <w:rPr>
          <w:szCs w:val="18"/>
        </w:rPr>
        <w:t xml:space="preserve">. Het advies </w:t>
      </w:r>
      <w:r w:rsidRPr="00E57B07">
        <w:rPr>
          <w:szCs w:val="18"/>
        </w:rPr>
        <w:t>biedt</w:t>
      </w:r>
      <w:r>
        <w:rPr>
          <w:szCs w:val="18"/>
        </w:rPr>
        <w:t xml:space="preserve"> daarmee </w:t>
      </w:r>
      <w:r w:rsidRPr="00E57B07">
        <w:rPr>
          <w:szCs w:val="18"/>
        </w:rPr>
        <w:t>de gewenste duidelijkheid over de juridische houdbaarheid van de voorgenomen doelgroepafbakening.</w:t>
      </w:r>
      <w:r w:rsidRPr="008329FE">
        <w:rPr>
          <w:szCs w:val="18"/>
        </w:rPr>
        <w:t xml:space="preserve"> </w:t>
      </w:r>
      <w:r>
        <w:rPr>
          <w:szCs w:val="18"/>
        </w:rPr>
        <w:t xml:space="preserve">Na zorgvuldige bestudering van het advies van de Landsadvocaat ben ik, samen met de minister van JenV, tot de conclusie gekomen dat de voorgenomen doelgroepafbakening juridisch gezien te kwetsbaar is, en daarom niet kan worden doorgezet in deze vorm. </w:t>
      </w:r>
      <w:r w:rsidR="00583684">
        <w:rPr>
          <w:szCs w:val="18"/>
        </w:rPr>
        <w:t>De risicogerichte aanpak gaat hiermee niet verloren. Deze verplaatst zich naar het screeningsproces zelf. In de systematiek van risicobeoordelingen vindt straks differentiatie plaats op basis van risicofactoren die voor kennisveiligheid zullen worden vastgesteld.</w:t>
      </w:r>
      <w:r w:rsidRPr="007B0018" w:rsidR="007B0018">
        <w:t xml:space="preserve"> </w:t>
      </w:r>
      <w:r w:rsidRPr="007B0018" w:rsidR="007B0018">
        <w:rPr>
          <w:szCs w:val="18"/>
        </w:rPr>
        <w:t>Bij de uitvoering wordt het non-discriminatiebeginsel in acht genomen</w:t>
      </w:r>
      <w:r w:rsidR="007B0018">
        <w:rPr>
          <w:szCs w:val="18"/>
        </w:rPr>
        <w:t>.</w:t>
      </w:r>
      <w:r w:rsidR="00BB7943">
        <w:rPr>
          <w:szCs w:val="18"/>
        </w:rPr>
        <w:t xml:space="preserve"> </w:t>
      </w:r>
    </w:p>
    <w:p w:rsidR="00D87F23" w:rsidP="00D87F23" w:rsidRDefault="00D87F23" w14:paraId="5B1BABD8" w14:textId="77777777">
      <w:pPr>
        <w:rPr>
          <w:szCs w:val="18"/>
        </w:rPr>
      </w:pPr>
    </w:p>
    <w:p w:rsidR="00D87F23" w:rsidP="00D87F23" w:rsidRDefault="00D87F23" w14:paraId="4F9C6B17" w14:textId="77777777">
      <w:pPr>
        <w:rPr>
          <w:i/>
          <w:iCs/>
          <w:szCs w:val="18"/>
        </w:rPr>
      </w:pPr>
      <w:r>
        <w:rPr>
          <w:i/>
          <w:iCs/>
          <w:szCs w:val="18"/>
        </w:rPr>
        <w:t>Gevolgen voor het wetsvoorstel screening kennisveiligheid</w:t>
      </w:r>
    </w:p>
    <w:p w:rsidR="00D87F23" w:rsidP="00D87F23" w:rsidRDefault="00D87F23" w14:paraId="3EC5213B" w14:textId="3B87FA78">
      <w:r>
        <w:rPr>
          <w:szCs w:val="18"/>
        </w:rPr>
        <w:t xml:space="preserve">De adviezen van het College en de Landsadvocaat hebben ertoe geleid dat ik de voorgenomen keuze over de doelgroepafbakening moet herzien. Mijn nieuwe voornemen is om de doelgroep aan te passen naar het screenen van onderzoekers en </w:t>
      </w:r>
      <w:r w:rsidR="00017620">
        <w:rPr>
          <w:szCs w:val="18"/>
        </w:rPr>
        <w:t>(master)</w:t>
      </w:r>
      <w:r>
        <w:rPr>
          <w:szCs w:val="18"/>
        </w:rPr>
        <w:t>studenten die</w:t>
      </w:r>
      <w:r w:rsidRPr="008B4C7E">
        <w:t xml:space="preserve"> toegang </w:t>
      </w:r>
      <w:r>
        <w:t>kunnen</w:t>
      </w:r>
      <w:r w:rsidRPr="008B4C7E">
        <w:t xml:space="preserve"> krijgen tot sensitieve kennis of technologie</w:t>
      </w:r>
      <w:r>
        <w:t xml:space="preserve"> op een Nederlandse kennisinstelling, </w:t>
      </w:r>
      <w:r>
        <w:rPr>
          <w:szCs w:val="18"/>
        </w:rPr>
        <w:t>ongeacht nationaliteit of verblijfsrecht</w:t>
      </w:r>
      <w:r>
        <w:t xml:space="preserve">. </w:t>
      </w:r>
    </w:p>
    <w:p w:rsidR="00D87F23" w:rsidP="00D87F23" w:rsidRDefault="00D87F23" w14:paraId="2B98A00A" w14:textId="77777777"/>
    <w:p w:rsidR="00583684" w:rsidP="00D87F23" w:rsidRDefault="00D87F23" w14:paraId="1DFCA448" w14:textId="77E8C57F">
      <w:r w:rsidRPr="00E57B07">
        <w:t>Met deze variant wordt geen onderscheid meer gemaakt op basis van nationaliteit of verblijfsrecht. Hiermee bestaat niet langer het risico op (indirecte) discriminatie. Ook worden hiermee risico’s voor de nationale veiligheid door omzeiling van de screeningsplicht verminderd, doordat alle onderzoekers en</w:t>
      </w:r>
      <w:r>
        <w:t xml:space="preserve"> </w:t>
      </w:r>
      <w:r w:rsidR="00017620">
        <w:t>(master)</w:t>
      </w:r>
      <w:r w:rsidRPr="00E57B07">
        <w:t>studenten, waaronder Unieburgers en Nederlanders</w:t>
      </w:r>
      <w:r>
        <w:t>,</w:t>
      </w:r>
      <w:r w:rsidRPr="00E57B07">
        <w:t xml:space="preserve"> onder de doelgroep komen te vallen.</w:t>
      </w:r>
      <w:r w:rsidR="00583684">
        <w:t xml:space="preserve"> Het is dan bijvoorbeeld niet meer mogelijk dat </w:t>
      </w:r>
      <w:r w:rsidR="0038493E">
        <w:t>personen</w:t>
      </w:r>
      <w:r w:rsidR="00583684">
        <w:t xml:space="preserve"> binnenkomen via een andere EU-lidstaat en vervolgens in Nederland ongecontroleerd toegang krijgen tot sensitieve kennis</w:t>
      </w:r>
      <w:r w:rsidR="0038493E">
        <w:t xml:space="preserve"> of technologie bij Nederlandse kennisinstellingen</w:t>
      </w:r>
      <w:r w:rsidR="00583684">
        <w:t>.</w:t>
      </w:r>
      <w:r>
        <w:t xml:space="preserve"> </w:t>
      </w:r>
    </w:p>
    <w:p w:rsidR="00583684" w:rsidP="00D87F23" w:rsidRDefault="00583684" w14:paraId="4A433D9B" w14:textId="77777777"/>
    <w:p w:rsidRPr="00E57B07" w:rsidR="00D87F23" w:rsidP="00D87F23" w:rsidRDefault="00D87F23" w14:paraId="19405DAD" w14:textId="3977F6C9">
      <w:r>
        <w:lastRenderedPageBreak/>
        <w:t xml:space="preserve">Tegelijkertijd zorgt de meer </w:t>
      </w:r>
      <w:r w:rsidRPr="00703E38">
        <w:t>risicogerichte</w:t>
      </w:r>
      <w:r>
        <w:rPr>
          <w:b/>
          <w:bCs/>
        </w:rPr>
        <w:t xml:space="preserve"> </w:t>
      </w:r>
      <w:r>
        <w:t>afbakening van sensitieve technologieën ervoor dat niet meer automatisch hele vakgroepen en afdelingen onder de reikwijdte van het wetsvoorstel gaan vallen, maar dit bijvoorbeeld op het niveau van projecten en onderzoekslijnen bepaald kan worden.</w:t>
      </w:r>
    </w:p>
    <w:p w:rsidR="00D87F23" w:rsidP="00D87F23" w:rsidRDefault="00D87F23" w14:paraId="5556789C" w14:textId="77777777">
      <w:bookmarkStart w:name="_Hlk181970308" w:id="5"/>
    </w:p>
    <w:p w:rsidRPr="00ED61C0" w:rsidR="00D87F23" w:rsidP="00D87F23" w:rsidRDefault="00D87F23" w14:paraId="715DCC70" w14:textId="3CB898BF">
      <w:r>
        <w:t xml:space="preserve">Deze aanpassingen hebben gevolgen voor de uitvoeringsopgave. Daarom breng ik de komende periode samen met de beoogd uitvoerder Justis en met het kennisveld de consequenties voor de uitvoeringsopgave in kaart, </w:t>
      </w:r>
      <w:r w:rsidRPr="00B47E41">
        <w:t xml:space="preserve">om de administratieve lasten zo beperkt mogelijk te kunnen houden. Ik heb hierbij bijzondere aandacht voor de effectiviteit, </w:t>
      </w:r>
      <w:r>
        <w:t>de proportionaliteit</w:t>
      </w:r>
      <w:r w:rsidR="009E179B">
        <w:t xml:space="preserve"> en</w:t>
      </w:r>
      <w:r>
        <w:t xml:space="preserve"> de uitvoerbaarheid</w:t>
      </w:r>
      <w:r w:rsidR="009E179B">
        <w:t xml:space="preserve">. </w:t>
      </w:r>
      <w:r w:rsidRPr="00A02649" w:rsidR="009E179B">
        <w:t>Eventuele financiële gevolgen van de aanpassing worden de komende tijd in kaart gebracht en verwerkt in het wetsvoorstel en bij Voorjaarsnota 2025 conform de begrotingsregels ingepast op de begroting van het ministerie van Onderwijs, Cultuur en Wetenschap.</w:t>
      </w:r>
      <w:r w:rsidRPr="00E57B07">
        <w:t xml:space="preserve"> </w:t>
      </w:r>
    </w:p>
    <w:bookmarkEnd w:id="5"/>
    <w:p w:rsidR="00D87F23" w:rsidP="00D87F23" w:rsidRDefault="00D87F23" w14:paraId="3678E7BD" w14:textId="77777777"/>
    <w:p w:rsidRPr="000D7E32" w:rsidR="00D87F23" w:rsidP="00D87F23" w:rsidRDefault="00D87F23" w14:paraId="575F0BA9" w14:textId="40E06951">
      <w:r>
        <w:t xml:space="preserve">De uitkomsten van de adviezen van het College en de Landsadvocaat worden de komende periode verwerkt in het wetsvoorstel. </w:t>
      </w:r>
      <w:r w:rsidR="003F6D75">
        <w:t>Ik streef echter nog steeds, zoals ook eerder aan uw Kamer medegedeeld</w:t>
      </w:r>
      <w:r>
        <w:t>, naar het publiceren van het wetsvoorstel voor de openbare consultatie in de eerste helft van 2025.</w:t>
      </w:r>
      <w:r>
        <w:rPr>
          <w:rStyle w:val="Voetnootmarkering"/>
        </w:rPr>
        <w:footnoteReference w:id="5"/>
      </w:r>
      <w:r>
        <w:t xml:space="preserve"> Daarbij zal ik ook de adviezen van het College en van de Landsadvocaat openbaar maken.</w:t>
      </w:r>
    </w:p>
    <w:p w:rsidR="00D87F23" w:rsidP="00D87F23" w:rsidRDefault="00D87F23" w14:paraId="744F2F9A" w14:textId="77777777"/>
    <w:p w:rsidR="002B0DB2" w:rsidP="00D87F23" w:rsidRDefault="002B0DB2" w14:paraId="57270881" w14:textId="77777777"/>
    <w:p w:rsidR="00D87F23" w:rsidP="00D87F23" w:rsidRDefault="00D87F23" w14:paraId="1CE225A7" w14:textId="77777777">
      <w:r>
        <w:t>De minister van Onderwijs, Cultuur en Wetenschap,</w:t>
      </w:r>
    </w:p>
    <w:p w:rsidR="00D87F23" w:rsidP="00D87F23" w:rsidRDefault="00D87F23" w14:paraId="2ACB3124" w14:textId="77777777"/>
    <w:p w:rsidR="00D87F23" w:rsidP="00D87F23" w:rsidRDefault="00D87F23" w14:paraId="5028F1C4" w14:textId="77777777"/>
    <w:p w:rsidR="00D87F23" w:rsidP="00D87F23" w:rsidRDefault="00D87F23" w14:paraId="4DCFD52D" w14:textId="77777777"/>
    <w:p w:rsidR="00D87F23" w:rsidP="00D87F23" w:rsidRDefault="00D87F23" w14:paraId="39320B8B" w14:textId="77777777"/>
    <w:p w:rsidR="00D87F23" w:rsidP="00D87F23" w:rsidRDefault="00D87F23" w14:paraId="4FF1B86D" w14:textId="77777777">
      <w:pPr>
        <w:pStyle w:val="standaard-tekst"/>
      </w:pPr>
      <w:r>
        <w:t>Eppo Bruins</w:t>
      </w:r>
    </w:p>
    <w:bookmarkEnd w:id="0"/>
    <w:p w:rsidR="00D87F23" w:rsidRDefault="00D87F23" w14:paraId="38AC47FB" w14:textId="77777777"/>
    <w:p w:rsidR="00215356" w:rsidRDefault="00215356" w14:paraId="18929E6E" w14:textId="77777777"/>
    <w:p w:rsidR="006205C0" w:rsidP="00A421A1" w:rsidRDefault="006205C0" w14:paraId="4BD4B222" w14:textId="77777777"/>
    <w:sectPr w:rsidR="006205C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5F68" w14:textId="77777777" w:rsidR="00DC691C" w:rsidRDefault="00D87F23">
      <w:r>
        <w:separator/>
      </w:r>
    </w:p>
    <w:p w14:paraId="1EACEA3B" w14:textId="77777777" w:rsidR="00DC691C" w:rsidRDefault="00DC691C"/>
  </w:endnote>
  <w:endnote w:type="continuationSeparator" w:id="0">
    <w:p w14:paraId="7B911AF5" w14:textId="77777777" w:rsidR="00DC691C" w:rsidRDefault="00D87F23">
      <w:r>
        <w:continuationSeparator/>
      </w:r>
    </w:p>
    <w:p w14:paraId="08C41A0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D877" w14:textId="77777777" w:rsidR="00D87F23" w:rsidRDefault="00D87F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1C7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34633" w14:paraId="494301F0" w14:textId="77777777" w:rsidTr="004C7E1D">
      <w:trPr>
        <w:trHeight w:hRule="exact" w:val="357"/>
      </w:trPr>
      <w:tc>
        <w:tcPr>
          <w:tcW w:w="7603" w:type="dxa"/>
          <w:shd w:val="clear" w:color="auto" w:fill="auto"/>
        </w:tcPr>
        <w:p w14:paraId="2614CEC8" w14:textId="77777777" w:rsidR="002F71BB" w:rsidRPr="004C7E1D" w:rsidRDefault="002F71BB" w:rsidP="004C7E1D">
          <w:pPr>
            <w:spacing w:line="180" w:lineRule="exact"/>
            <w:rPr>
              <w:sz w:val="13"/>
              <w:szCs w:val="13"/>
            </w:rPr>
          </w:pPr>
        </w:p>
      </w:tc>
      <w:tc>
        <w:tcPr>
          <w:tcW w:w="2172" w:type="dxa"/>
          <w:shd w:val="clear" w:color="auto" w:fill="auto"/>
        </w:tcPr>
        <w:p w14:paraId="074DA86D" w14:textId="65EA976D" w:rsidR="002F71BB" w:rsidRPr="004C7E1D" w:rsidRDefault="00D87F2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66559">
            <w:rPr>
              <w:szCs w:val="13"/>
            </w:rPr>
            <w:t>3</w:t>
          </w:r>
          <w:r w:rsidRPr="004C7E1D">
            <w:rPr>
              <w:szCs w:val="13"/>
            </w:rPr>
            <w:fldChar w:fldCharType="end"/>
          </w:r>
        </w:p>
      </w:tc>
    </w:tr>
  </w:tbl>
  <w:p w14:paraId="2AAE31B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34633" w14:paraId="03832C07" w14:textId="77777777" w:rsidTr="004C7E1D">
      <w:trPr>
        <w:trHeight w:hRule="exact" w:val="357"/>
      </w:trPr>
      <w:tc>
        <w:tcPr>
          <w:tcW w:w="7709" w:type="dxa"/>
          <w:shd w:val="clear" w:color="auto" w:fill="auto"/>
        </w:tcPr>
        <w:p w14:paraId="752A15AF" w14:textId="77777777" w:rsidR="00D17084" w:rsidRPr="004C7E1D" w:rsidRDefault="00D17084" w:rsidP="004C7E1D">
          <w:pPr>
            <w:spacing w:line="180" w:lineRule="exact"/>
            <w:rPr>
              <w:sz w:val="13"/>
              <w:szCs w:val="13"/>
            </w:rPr>
          </w:pPr>
        </w:p>
      </w:tc>
      <w:tc>
        <w:tcPr>
          <w:tcW w:w="2060" w:type="dxa"/>
          <w:shd w:val="clear" w:color="auto" w:fill="auto"/>
        </w:tcPr>
        <w:p w14:paraId="6A8ECE09" w14:textId="28AC53EC" w:rsidR="00D17084" w:rsidRPr="004C7E1D" w:rsidRDefault="00D87F2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66559">
            <w:rPr>
              <w:szCs w:val="13"/>
            </w:rPr>
            <w:t>3</w:t>
          </w:r>
          <w:r w:rsidRPr="004C7E1D">
            <w:rPr>
              <w:szCs w:val="13"/>
            </w:rPr>
            <w:fldChar w:fldCharType="end"/>
          </w:r>
        </w:p>
      </w:tc>
    </w:tr>
  </w:tbl>
  <w:p w14:paraId="5A3CCC9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6FCC" w14:textId="77777777" w:rsidR="00DC691C" w:rsidRDefault="00D87F23">
      <w:r>
        <w:separator/>
      </w:r>
    </w:p>
    <w:p w14:paraId="2777A5C6" w14:textId="77777777" w:rsidR="00DC691C" w:rsidRDefault="00DC691C"/>
  </w:footnote>
  <w:footnote w:type="continuationSeparator" w:id="0">
    <w:p w14:paraId="34B4E568" w14:textId="77777777" w:rsidR="00DC691C" w:rsidRDefault="00D87F23">
      <w:r>
        <w:continuationSeparator/>
      </w:r>
    </w:p>
    <w:p w14:paraId="1AD18A38" w14:textId="77777777" w:rsidR="00DC691C" w:rsidRDefault="00DC691C"/>
  </w:footnote>
  <w:footnote w:id="1">
    <w:p w14:paraId="073CFAC7" w14:textId="77777777" w:rsidR="00D87F23" w:rsidRPr="005F3BB2" w:rsidRDefault="00D87F23" w:rsidP="00D87F23">
      <w:pPr>
        <w:pStyle w:val="Voetnoottekst"/>
        <w:rPr>
          <w:szCs w:val="13"/>
        </w:rPr>
      </w:pPr>
      <w:r w:rsidRPr="005F3BB2">
        <w:rPr>
          <w:rStyle w:val="Voetnootmarkering"/>
          <w:szCs w:val="13"/>
        </w:rPr>
        <w:footnoteRef/>
      </w:r>
      <w:r w:rsidRPr="005F3BB2">
        <w:rPr>
          <w:szCs w:val="13"/>
        </w:rPr>
        <w:t xml:space="preserve"> Kamerstuk</w:t>
      </w:r>
      <w:r>
        <w:rPr>
          <w:szCs w:val="13"/>
        </w:rPr>
        <w:t>ken II 2024/25,</w:t>
      </w:r>
      <w:r w:rsidRPr="005F3BB2">
        <w:rPr>
          <w:szCs w:val="13"/>
        </w:rPr>
        <w:t xml:space="preserve"> 31288, nr. 1158.</w:t>
      </w:r>
    </w:p>
  </w:footnote>
  <w:footnote w:id="2">
    <w:p w14:paraId="496D5B37" w14:textId="77777777" w:rsidR="00D87F23" w:rsidRPr="005F3BB2" w:rsidRDefault="00D87F23" w:rsidP="00D87F23">
      <w:pPr>
        <w:spacing w:line="240" w:lineRule="auto"/>
        <w:contextualSpacing/>
        <w:rPr>
          <w:sz w:val="13"/>
          <w:szCs w:val="13"/>
        </w:rPr>
      </w:pPr>
      <w:r w:rsidRPr="005F3BB2">
        <w:rPr>
          <w:rStyle w:val="Voetnootmarkering"/>
          <w:szCs w:val="13"/>
        </w:rPr>
        <w:footnoteRef/>
      </w:r>
      <w:r w:rsidRPr="005F3BB2">
        <w:rPr>
          <w:sz w:val="13"/>
          <w:szCs w:val="13"/>
        </w:rPr>
        <w:t xml:space="preserve"> Het betreft eenieder die geen onderdaan is van een lidstaat van de Europese Unie alsmede geen onderdaan is van een van de landen van de Europese Vrijhandelsassociatie (EVA) – IJsland, Liechtenstein en Noorwegen – of van Zwitserland.</w:t>
      </w:r>
    </w:p>
  </w:footnote>
  <w:footnote w:id="3">
    <w:p w14:paraId="03512C4B" w14:textId="77777777" w:rsidR="00D87F23" w:rsidRDefault="00D87F23" w:rsidP="00D87F23">
      <w:pPr>
        <w:pStyle w:val="Voetnoottekst"/>
        <w:spacing w:line="240" w:lineRule="auto"/>
      </w:pPr>
      <w:r>
        <w:rPr>
          <w:rStyle w:val="Voetnootmarkering"/>
        </w:rPr>
        <w:footnoteRef/>
      </w:r>
      <w:r>
        <w:t xml:space="preserve"> Kamerstukken II 2022/23, </w:t>
      </w:r>
      <w:r w:rsidRPr="00CE12AE">
        <w:t>31288, nr. 1003</w:t>
      </w:r>
      <w:r>
        <w:t>.</w:t>
      </w:r>
    </w:p>
  </w:footnote>
  <w:footnote w:id="4">
    <w:p w14:paraId="5C1CEE85" w14:textId="77777777" w:rsidR="00D87F23" w:rsidRPr="005F3BB2" w:rsidRDefault="00D87F23" w:rsidP="00D87F23">
      <w:pPr>
        <w:pStyle w:val="Voetnoottekst"/>
        <w:spacing w:line="240" w:lineRule="auto"/>
        <w:rPr>
          <w:szCs w:val="13"/>
        </w:rPr>
      </w:pPr>
      <w:r w:rsidRPr="005F3BB2">
        <w:rPr>
          <w:rStyle w:val="Voetnootmarkering"/>
          <w:szCs w:val="13"/>
        </w:rPr>
        <w:footnoteRef/>
      </w:r>
      <w:r w:rsidRPr="005F3BB2">
        <w:rPr>
          <w:szCs w:val="13"/>
        </w:rPr>
        <w:t xml:space="preserve"> Richtlijn (EU) 2016/801 van het Europees Parlement en de Raad van 11 mei 2016 betreffende de voorwaarden voor toegang en verblijf van derdelanders met het oog op onderzoek, studie, stages, vrijwilligerswerk, scholierenuitwisseling, educatieve projecten of au-pairactiviteiten (“Richtlijn 2016/801”).</w:t>
      </w:r>
    </w:p>
  </w:footnote>
  <w:footnote w:id="5">
    <w:p w14:paraId="5CF743C7" w14:textId="77777777" w:rsidR="00D87F23" w:rsidRDefault="00D87F23" w:rsidP="00D87F23">
      <w:pPr>
        <w:pStyle w:val="Voetnoottekst"/>
      </w:pPr>
      <w:r>
        <w:rPr>
          <w:rStyle w:val="Voetnootmarkering"/>
        </w:rPr>
        <w:footnoteRef/>
      </w:r>
      <w:r>
        <w:t xml:space="preserve"> Kamerstukken II 2024/25, 31288, nr. 1158.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8C37" w14:textId="77777777" w:rsidR="00D87F23" w:rsidRDefault="00D87F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BF1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34633" w14:paraId="60F02DDF" w14:textId="77777777" w:rsidTr="003B528D">
      <w:tc>
        <w:tcPr>
          <w:tcW w:w="2160" w:type="dxa"/>
          <w:shd w:val="clear" w:color="auto" w:fill="auto"/>
        </w:tcPr>
        <w:p w14:paraId="2CD0CA5D" w14:textId="77777777" w:rsidR="002F71BB" w:rsidRPr="000407BB" w:rsidRDefault="00D87F23" w:rsidP="005D283A">
          <w:pPr>
            <w:pStyle w:val="Colofonkop"/>
            <w:framePr w:hSpace="0" w:wrap="auto" w:vAnchor="margin" w:hAnchor="text" w:xAlign="left" w:yAlign="inline"/>
          </w:pPr>
          <w:r>
            <w:t>Onze referentie</w:t>
          </w:r>
        </w:p>
      </w:tc>
    </w:tr>
    <w:tr w:rsidR="00134633" w14:paraId="5B3C5638" w14:textId="77777777" w:rsidTr="002F71BB">
      <w:trPr>
        <w:trHeight w:val="259"/>
      </w:trPr>
      <w:tc>
        <w:tcPr>
          <w:tcW w:w="2160" w:type="dxa"/>
          <w:shd w:val="clear" w:color="auto" w:fill="auto"/>
        </w:tcPr>
        <w:p w14:paraId="791CA6EA" w14:textId="77777777" w:rsidR="00E35CF4" w:rsidRPr="005D283A" w:rsidRDefault="00D87F23" w:rsidP="0049501A">
          <w:pPr>
            <w:spacing w:line="180" w:lineRule="exact"/>
            <w:rPr>
              <w:sz w:val="13"/>
              <w:szCs w:val="13"/>
            </w:rPr>
          </w:pPr>
          <w:r>
            <w:rPr>
              <w:sz w:val="13"/>
              <w:szCs w:val="13"/>
            </w:rPr>
            <w:t>49441144</w:t>
          </w:r>
        </w:p>
      </w:tc>
    </w:tr>
  </w:tbl>
  <w:p w14:paraId="34C47BE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34633" w14:paraId="124B57AF" w14:textId="77777777" w:rsidTr="001377D4">
      <w:trPr>
        <w:trHeight w:val="2636"/>
      </w:trPr>
      <w:tc>
        <w:tcPr>
          <w:tcW w:w="737" w:type="dxa"/>
          <w:shd w:val="clear" w:color="auto" w:fill="auto"/>
        </w:tcPr>
        <w:p w14:paraId="0645200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4E9F3D3" w14:textId="77777777" w:rsidR="00704845" w:rsidRDefault="00D87F23" w:rsidP="0047126E">
          <w:pPr>
            <w:framePr w:w="3873" w:h="2625" w:hRule="exact" w:wrap="around" w:vAnchor="page" w:hAnchor="page" w:x="6323" w:y="1"/>
          </w:pPr>
          <w:r>
            <w:rPr>
              <w:noProof/>
              <w:lang w:val="en-US" w:eastAsia="en-US"/>
            </w:rPr>
            <w:drawing>
              <wp:inline distT="0" distB="0" distL="0" distR="0" wp14:anchorId="19410C83" wp14:editId="6F89BE5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E3BAC3C" w14:textId="77777777" w:rsidR="00483ECA" w:rsidRDefault="00483ECA" w:rsidP="00D037A9"/>
      </w:tc>
    </w:tr>
  </w:tbl>
  <w:p w14:paraId="6F6F9EE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34633" w14:paraId="506F20CF" w14:textId="77777777" w:rsidTr="0008539E">
      <w:trPr>
        <w:trHeight w:hRule="exact" w:val="572"/>
      </w:trPr>
      <w:tc>
        <w:tcPr>
          <w:tcW w:w="7520" w:type="dxa"/>
          <w:shd w:val="clear" w:color="auto" w:fill="auto"/>
        </w:tcPr>
        <w:p w14:paraId="282FE4F4" w14:textId="77777777" w:rsidR="00527BD4" w:rsidRPr="00963440" w:rsidRDefault="00D87F23" w:rsidP="00210BA3">
          <w:pPr>
            <w:pStyle w:val="Huisstijl-Adres"/>
            <w:spacing w:after="0"/>
          </w:pPr>
          <w:r w:rsidRPr="009E3B07">
            <w:t>&gt;Retouradres </w:t>
          </w:r>
          <w:r>
            <w:t>Postbus 16375 2500 BJ Den Haag</w:t>
          </w:r>
          <w:r w:rsidRPr="009E3B07">
            <w:t xml:space="preserve"> </w:t>
          </w:r>
        </w:p>
      </w:tc>
    </w:tr>
    <w:tr w:rsidR="00134633" w14:paraId="0E269DC0" w14:textId="77777777" w:rsidTr="00E776C6">
      <w:trPr>
        <w:cantSplit/>
        <w:trHeight w:hRule="exact" w:val="238"/>
      </w:trPr>
      <w:tc>
        <w:tcPr>
          <w:tcW w:w="7520" w:type="dxa"/>
          <w:shd w:val="clear" w:color="auto" w:fill="auto"/>
        </w:tcPr>
        <w:p w14:paraId="524A7991" w14:textId="77777777" w:rsidR="00093ABC" w:rsidRPr="00963440" w:rsidRDefault="00093ABC" w:rsidP="00963440"/>
      </w:tc>
    </w:tr>
    <w:tr w:rsidR="00134633" w14:paraId="615CA7FE" w14:textId="77777777" w:rsidTr="00E776C6">
      <w:trPr>
        <w:cantSplit/>
        <w:trHeight w:hRule="exact" w:val="1520"/>
      </w:trPr>
      <w:tc>
        <w:tcPr>
          <w:tcW w:w="7520" w:type="dxa"/>
          <w:shd w:val="clear" w:color="auto" w:fill="auto"/>
        </w:tcPr>
        <w:p w14:paraId="7A7E7BB4" w14:textId="77777777" w:rsidR="00A604D3" w:rsidRPr="00963440" w:rsidRDefault="00A604D3" w:rsidP="00963440"/>
      </w:tc>
    </w:tr>
    <w:tr w:rsidR="00134633" w14:paraId="7F44B4F6" w14:textId="77777777" w:rsidTr="00E776C6">
      <w:trPr>
        <w:trHeight w:hRule="exact" w:val="1077"/>
      </w:trPr>
      <w:tc>
        <w:tcPr>
          <w:tcW w:w="7520" w:type="dxa"/>
          <w:shd w:val="clear" w:color="auto" w:fill="auto"/>
        </w:tcPr>
        <w:p w14:paraId="3AA5A200" w14:textId="77777777" w:rsidR="00892BA5" w:rsidRPr="00035E67" w:rsidRDefault="00892BA5" w:rsidP="00892BA5">
          <w:pPr>
            <w:tabs>
              <w:tab w:val="left" w:pos="740"/>
            </w:tabs>
            <w:autoSpaceDE w:val="0"/>
            <w:autoSpaceDN w:val="0"/>
            <w:adjustRightInd w:val="0"/>
            <w:rPr>
              <w:rFonts w:cs="Verdana"/>
              <w:szCs w:val="18"/>
            </w:rPr>
          </w:pPr>
        </w:p>
      </w:tc>
    </w:tr>
  </w:tbl>
  <w:p w14:paraId="09DF2ED7" w14:textId="77777777" w:rsidR="006F273B" w:rsidRDefault="006F273B" w:rsidP="00BC4AE3">
    <w:pPr>
      <w:pStyle w:val="Koptekst"/>
    </w:pPr>
  </w:p>
  <w:p w14:paraId="5214B01E" w14:textId="77777777" w:rsidR="00153BD0" w:rsidRDefault="00153BD0" w:rsidP="00BC4AE3">
    <w:pPr>
      <w:pStyle w:val="Koptekst"/>
    </w:pPr>
  </w:p>
  <w:p w14:paraId="7EB549B5" w14:textId="77777777" w:rsidR="0044605E" w:rsidRDefault="0044605E" w:rsidP="00BC4AE3">
    <w:pPr>
      <w:pStyle w:val="Koptekst"/>
    </w:pPr>
  </w:p>
  <w:p w14:paraId="0BD9AAA7" w14:textId="77777777" w:rsidR="0044605E" w:rsidRDefault="0044605E" w:rsidP="00BC4AE3">
    <w:pPr>
      <w:pStyle w:val="Koptekst"/>
    </w:pPr>
  </w:p>
  <w:p w14:paraId="387492E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187E0E">
      <w:start w:val="1"/>
      <w:numFmt w:val="bullet"/>
      <w:pStyle w:val="Lijstopsomteken"/>
      <w:lvlText w:val="•"/>
      <w:lvlJc w:val="left"/>
      <w:pPr>
        <w:tabs>
          <w:tab w:val="num" w:pos="227"/>
        </w:tabs>
        <w:ind w:left="227" w:hanging="227"/>
      </w:pPr>
      <w:rPr>
        <w:rFonts w:ascii="Verdana" w:hAnsi="Verdana" w:hint="default"/>
        <w:sz w:val="18"/>
        <w:szCs w:val="18"/>
      </w:rPr>
    </w:lvl>
    <w:lvl w:ilvl="1" w:tplc="71D43E9C" w:tentative="1">
      <w:start w:val="1"/>
      <w:numFmt w:val="bullet"/>
      <w:lvlText w:val="o"/>
      <w:lvlJc w:val="left"/>
      <w:pPr>
        <w:tabs>
          <w:tab w:val="num" w:pos="1440"/>
        </w:tabs>
        <w:ind w:left="1440" w:hanging="360"/>
      </w:pPr>
      <w:rPr>
        <w:rFonts w:ascii="Courier New" w:hAnsi="Courier New" w:cs="Courier New" w:hint="default"/>
      </w:rPr>
    </w:lvl>
    <w:lvl w:ilvl="2" w:tplc="4F5E44DC" w:tentative="1">
      <w:start w:val="1"/>
      <w:numFmt w:val="bullet"/>
      <w:lvlText w:val=""/>
      <w:lvlJc w:val="left"/>
      <w:pPr>
        <w:tabs>
          <w:tab w:val="num" w:pos="2160"/>
        </w:tabs>
        <w:ind w:left="2160" w:hanging="360"/>
      </w:pPr>
      <w:rPr>
        <w:rFonts w:ascii="Wingdings" w:hAnsi="Wingdings" w:hint="default"/>
      </w:rPr>
    </w:lvl>
    <w:lvl w:ilvl="3" w:tplc="FEE2C168" w:tentative="1">
      <w:start w:val="1"/>
      <w:numFmt w:val="bullet"/>
      <w:lvlText w:val=""/>
      <w:lvlJc w:val="left"/>
      <w:pPr>
        <w:tabs>
          <w:tab w:val="num" w:pos="2880"/>
        </w:tabs>
        <w:ind w:left="2880" w:hanging="360"/>
      </w:pPr>
      <w:rPr>
        <w:rFonts w:ascii="Symbol" w:hAnsi="Symbol" w:hint="default"/>
      </w:rPr>
    </w:lvl>
    <w:lvl w:ilvl="4" w:tplc="3C760432" w:tentative="1">
      <w:start w:val="1"/>
      <w:numFmt w:val="bullet"/>
      <w:lvlText w:val="o"/>
      <w:lvlJc w:val="left"/>
      <w:pPr>
        <w:tabs>
          <w:tab w:val="num" w:pos="3600"/>
        </w:tabs>
        <w:ind w:left="3600" w:hanging="360"/>
      </w:pPr>
      <w:rPr>
        <w:rFonts w:ascii="Courier New" w:hAnsi="Courier New" w:cs="Courier New" w:hint="default"/>
      </w:rPr>
    </w:lvl>
    <w:lvl w:ilvl="5" w:tplc="3EB8982C" w:tentative="1">
      <w:start w:val="1"/>
      <w:numFmt w:val="bullet"/>
      <w:lvlText w:val=""/>
      <w:lvlJc w:val="left"/>
      <w:pPr>
        <w:tabs>
          <w:tab w:val="num" w:pos="4320"/>
        </w:tabs>
        <w:ind w:left="4320" w:hanging="360"/>
      </w:pPr>
      <w:rPr>
        <w:rFonts w:ascii="Wingdings" w:hAnsi="Wingdings" w:hint="default"/>
      </w:rPr>
    </w:lvl>
    <w:lvl w:ilvl="6" w:tplc="75B40204" w:tentative="1">
      <w:start w:val="1"/>
      <w:numFmt w:val="bullet"/>
      <w:lvlText w:val=""/>
      <w:lvlJc w:val="left"/>
      <w:pPr>
        <w:tabs>
          <w:tab w:val="num" w:pos="5040"/>
        </w:tabs>
        <w:ind w:left="5040" w:hanging="360"/>
      </w:pPr>
      <w:rPr>
        <w:rFonts w:ascii="Symbol" w:hAnsi="Symbol" w:hint="default"/>
      </w:rPr>
    </w:lvl>
    <w:lvl w:ilvl="7" w:tplc="CB700080" w:tentative="1">
      <w:start w:val="1"/>
      <w:numFmt w:val="bullet"/>
      <w:lvlText w:val="o"/>
      <w:lvlJc w:val="left"/>
      <w:pPr>
        <w:tabs>
          <w:tab w:val="num" w:pos="5760"/>
        </w:tabs>
        <w:ind w:left="5760" w:hanging="360"/>
      </w:pPr>
      <w:rPr>
        <w:rFonts w:ascii="Courier New" w:hAnsi="Courier New" w:cs="Courier New" w:hint="default"/>
      </w:rPr>
    </w:lvl>
    <w:lvl w:ilvl="8" w:tplc="AB1258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24169E">
      <w:start w:val="1"/>
      <w:numFmt w:val="bullet"/>
      <w:pStyle w:val="Lijstopsomteken2"/>
      <w:lvlText w:val="–"/>
      <w:lvlJc w:val="left"/>
      <w:pPr>
        <w:tabs>
          <w:tab w:val="num" w:pos="227"/>
        </w:tabs>
        <w:ind w:left="227" w:firstLine="0"/>
      </w:pPr>
      <w:rPr>
        <w:rFonts w:ascii="Verdana" w:hAnsi="Verdana" w:hint="default"/>
      </w:rPr>
    </w:lvl>
    <w:lvl w:ilvl="1" w:tplc="2F2E71FE" w:tentative="1">
      <w:start w:val="1"/>
      <w:numFmt w:val="bullet"/>
      <w:lvlText w:val="o"/>
      <w:lvlJc w:val="left"/>
      <w:pPr>
        <w:tabs>
          <w:tab w:val="num" w:pos="1440"/>
        </w:tabs>
        <w:ind w:left="1440" w:hanging="360"/>
      </w:pPr>
      <w:rPr>
        <w:rFonts w:ascii="Courier New" w:hAnsi="Courier New" w:cs="Courier New" w:hint="default"/>
      </w:rPr>
    </w:lvl>
    <w:lvl w:ilvl="2" w:tplc="AA425A70" w:tentative="1">
      <w:start w:val="1"/>
      <w:numFmt w:val="bullet"/>
      <w:lvlText w:val=""/>
      <w:lvlJc w:val="left"/>
      <w:pPr>
        <w:tabs>
          <w:tab w:val="num" w:pos="2160"/>
        </w:tabs>
        <w:ind w:left="2160" w:hanging="360"/>
      </w:pPr>
      <w:rPr>
        <w:rFonts w:ascii="Wingdings" w:hAnsi="Wingdings" w:hint="default"/>
      </w:rPr>
    </w:lvl>
    <w:lvl w:ilvl="3" w:tplc="1876C5D0" w:tentative="1">
      <w:start w:val="1"/>
      <w:numFmt w:val="bullet"/>
      <w:lvlText w:val=""/>
      <w:lvlJc w:val="left"/>
      <w:pPr>
        <w:tabs>
          <w:tab w:val="num" w:pos="2880"/>
        </w:tabs>
        <w:ind w:left="2880" w:hanging="360"/>
      </w:pPr>
      <w:rPr>
        <w:rFonts w:ascii="Symbol" w:hAnsi="Symbol" w:hint="default"/>
      </w:rPr>
    </w:lvl>
    <w:lvl w:ilvl="4" w:tplc="34BA3CA8" w:tentative="1">
      <w:start w:val="1"/>
      <w:numFmt w:val="bullet"/>
      <w:lvlText w:val="o"/>
      <w:lvlJc w:val="left"/>
      <w:pPr>
        <w:tabs>
          <w:tab w:val="num" w:pos="3600"/>
        </w:tabs>
        <w:ind w:left="3600" w:hanging="360"/>
      </w:pPr>
      <w:rPr>
        <w:rFonts w:ascii="Courier New" w:hAnsi="Courier New" w:cs="Courier New" w:hint="default"/>
      </w:rPr>
    </w:lvl>
    <w:lvl w:ilvl="5" w:tplc="792057BA" w:tentative="1">
      <w:start w:val="1"/>
      <w:numFmt w:val="bullet"/>
      <w:lvlText w:val=""/>
      <w:lvlJc w:val="left"/>
      <w:pPr>
        <w:tabs>
          <w:tab w:val="num" w:pos="4320"/>
        </w:tabs>
        <w:ind w:left="4320" w:hanging="360"/>
      </w:pPr>
      <w:rPr>
        <w:rFonts w:ascii="Wingdings" w:hAnsi="Wingdings" w:hint="default"/>
      </w:rPr>
    </w:lvl>
    <w:lvl w:ilvl="6" w:tplc="0936B26A" w:tentative="1">
      <w:start w:val="1"/>
      <w:numFmt w:val="bullet"/>
      <w:lvlText w:val=""/>
      <w:lvlJc w:val="left"/>
      <w:pPr>
        <w:tabs>
          <w:tab w:val="num" w:pos="5040"/>
        </w:tabs>
        <w:ind w:left="5040" w:hanging="360"/>
      </w:pPr>
      <w:rPr>
        <w:rFonts w:ascii="Symbol" w:hAnsi="Symbol" w:hint="default"/>
      </w:rPr>
    </w:lvl>
    <w:lvl w:ilvl="7" w:tplc="3B0A7492" w:tentative="1">
      <w:start w:val="1"/>
      <w:numFmt w:val="bullet"/>
      <w:lvlText w:val="o"/>
      <w:lvlJc w:val="left"/>
      <w:pPr>
        <w:tabs>
          <w:tab w:val="num" w:pos="5760"/>
        </w:tabs>
        <w:ind w:left="5760" w:hanging="360"/>
      </w:pPr>
      <w:rPr>
        <w:rFonts w:ascii="Courier New" w:hAnsi="Courier New" w:cs="Courier New" w:hint="default"/>
      </w:rPr>
    </w:lvl>
    <w:lvl w:ilvl="8" w:tplc="72B033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06652458">
    <w:abstractNumId w:val="10"/>
  </w:num>
  <w:num w:numId="2" w16cid:durableId="1317225522">
    <w:abstractNumId w:val="7"/>
  </w:num>
  <w:num w:numId="3" w16cid:durableId="22176361">
    <w:abstractNumId w:val="6"/>
  </w:num>
  <w:num w:numId="4" w16cid:durableId="1944991560">
    <w:abstractNumId w:val="5"/>
  </w:num>
  <w:num w:numId="5" w16cid:durableId="1607735073">
    <w:abstractNumId w:val="4"/>
  </w:num>
  <w:num w:numId="6" w16cid:durableId="1858958503">
    <w:abstractNumId w:val="8"/>
  </w:num>
  <w:num w:numId="7" w16cid:durableId="79185381">
    <w:abstractNumId w:val="3"/>
  </w:num>
  <w:num w:numId="8" w16cid:durableId="52242833">
    <w:abstractNumId w:val="2"/>
  </w:num>
  <w:num w:numId="9" w16cid:durableId="287471006">
    <w:abstractNumId w:val="1"/>
  </w:num>
  <w:num w:numId="10" w16cid:durableId="2030712994">
    <w:abstractNumId w:val="0"/>
  </w:num>
  <w:num w:numId="11" w16cid:durableId="613826826">
    <w:abstractNumId w:val="9"/>
  </w:num>
  <w:num w:numId="12" w16cid:durableId="779762597">
    <w:abstractNumId w:val="11"/>
  </w:num>
  <w:num w:numId="13" w16cid:durableId="834342829">
    <w:abstractNumId w:val="13"/>
  </w:num>
  <w:num w:numId="14" w16cid:durableId="952531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620"/>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4761"/>
    <w:rsid w:val="000F521E"/>
    <w:rsid w:val="00100203"/>
    <w:rsid w:val="00104B4D"/>
    <w:rsid w:val="00105677"/>
    <w:rsid w:val="001177B4"/>
    <w:rsid w:val="00122CF9"/>
    <w:rsid w:val="00123704"/>
    <w:rsid w:val="001270C7"/>
    <w:rsid w:val="00132540"/>
    <w:rsid w:val="00134633"/>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DB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93E"/>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6D75"/>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2F13"/>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6559"/>
    <w:rsid w:val="00573041"/>
    <w:rsid w:val="00575B80"/>
    <w:rsid w:val="00577559"/>
    <w:rsid w:val="005819CE"/>
    <w:rsid w:val="0058298D"/>
    <w:rsid w:val="00583684"/>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28C3"/>
    <w:rsid w:val="005F62D3"/>
    <w:rsid w:val="005F6D11"/>
    <w:rsid w:val="005F6ED2"/>
    <w:rsid w:val="00600CF0"/>
    <w:rsid w:val="006048F4"/>
    <w:rsid w:val="0060660A"/>
    <w:rsid w:val="00610A24"/>
    <w:rsid w:val="00613B1D"/>
    <w:rsid w:val="00617311"/>
    <w:rsid w:val="00617379"/>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31A4"/>
    <w:rsid w:val="00764585"/>
    <w:rsid w:val="00767FEF"/>
    <w:rsid w:val="007709EF"/>
    <w:rsid w:val="00783559"/>
    <w:rsid w:val="007846ED"/>
    <w:rsid w:val="007851C4"/>
    <w:rsid w:val="00785C3B"/>
    <w:rsid w:val="00797AA5"/>
    <w:rsid w:val="007A26BD"/>
    <w:rsid w:val="007A4105"/>
    <w:rsid w:val="007A4F0E"/>
    <w:rsid w:val="007A514C"/>
    <w:rsid w:val="007B0018"/>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179B"/>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B7943"/>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87F2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0856F2"/>
  <w15:docId w15:val="{7B243073-D138-4168-A3A1-DD66B623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rsid w:val="00D87F23"/>
    <w:rPr>
      <w:rFonts w:ascii="Verdana" w:hAnsi="Verdana"/>
      <w:sz w:val="13"/>
      <w:lang w:val="nl-NL" w:eastAsia="nl-NL"/>
    </w:rPr>
  </w:style>
  <w:style w:type="character" w:styleId="Voetnootmarkering">
    <w:name w:val="footnote reference"/>
    <w:aliases w:val="FR,FR1,FR11,FR2,FR21,FR3,FR31,FR4,FR41,FR5,FR6,Footnotemark,Footnotemark1,Footnotemark11,Footnotemark2,Footnotemark21,Footnotemark3,Footnotemark31,Footnotemark4,Footnotemark41,Footnotemark5,Footnotemark6,Footnotemark7,Footnotemark8"/>
    <w:basedOn w:val="Standaardalinea-lettertype"/>
    <w:rsid w:val="00D87F23"/>
    <w:rPr>
      <w:vertAlign w:val="superscript"/>
    </w:rPr>
  </w:style>
  <w:style w:type="paragraph" w:styleId="Revisie">
    <w:name w:val="Revision"/>
    <w:hidden/>
    <w:uiPriority w:val="99"/>
    <w:semiHidden/>
    <w:rsid w:val="0058368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1008</ap:Words>
  <ap:Characters>5550</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2025-01-16T12:35:00.0000000Z</lastPrinted>
  <dcterms:created xsi:type="dcterms:W3CDTF">2025-01-17T10:41:00.0000000Z</dcterms:created>
  <dcterms:modified xsi:type="dcterms:W3CDTF">2025-01-17T10:41:00.0000000Z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O201DAH</vt:lpwstr>
  </property>
  <property fmtid="{D5CDD505-2E9C-101B-9397-08002B2CF9AE}" pid="3" name="Author">
    <vt:lpwstr>O201DAH</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Afbakening doelgroep wetsvoorstel screening kennisveiligheid</vt:lpwstr>
  </property>
  <property fmtid="{D5CDD505-2E9C-101B-9397-08002B2CF9AE}" pid="9" name="ocw_directie">
    <vt:lpwstr>OWB/B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O201DAH</vt:lpwstr>
  </property>
</Properties>
</file>