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5902" w:rsidR="00AC5902" w:rsidP="00AC5902" w:rsidRDefault="00AC5902" w14:paraId="400CFDB0" w14:textId="77777777">
      <w:pPr>
        <w:autoSpaceDE w:val="0"/>
        <w:autoSpaceDN w:val="0"/>
        <w:adjustRightInd w:val="0"/>
        <w:rPr>
          <w:rFonts w:ascii="MDGMO O+ Univers" w:hAnsi="MDGMO O+ Univers" w:cs="MDGMO O+ Univers" w:eastAsiaTheme="minorHAnsi"/>
          <w:color w:val="000000"/>
          <w:lang w:eastAsia="en-US"/>
        </w:rPr>
      </w:pPr>
    </w:p>
    <w:p w:rsidRPr="002E6820" w:rsidR="002E6820" w:rsidP="00AC5902" w:rsidRDefault="00AC5902" w14:paraId="4D6D2579" w14:textId="34D6CCF8">
      <w:pPr>
        <w:autoSpaceDE w:val="0"/>
        <w:autoSpaceDN w:val="0"/>
        <w:adjustRightInd w:val="0"/>
        <w:rPr>
          <w:rFonts w:ascii="KIELG L+ Univers" w:hAnsi="KIELG L+ Univers" w:cs="KIELG L+ Univers" w:eastAsiaTheme="minorHAnsi"/>
          <w:color w:val="000000"/>
          <w:lang w:eastAsia="en-US"/>
        </w:rPr>
      </w:pPr>
      <w:r w:rsidRPr="00AC5902">
        <w:rPr>
          <w:rFonts w:ascii="MDGMO O+ Univers" w:hAnsi="MDGMO O+ Univers" w:cs="MDGMO O+ Univers" w:eastAsiaTheme="minorHAnsi"/>
          <w:color w:val="000000"/>
          <w:lang w:eastAsia="en-US"/>
        </w:rPr>
        <w:t xml:space="preserve"> </w:t>
      </w:r>
      <w:r w:rsidR="004A54EE">
        <w:rPr>
          <w:rFonts w:ascii="MDGMO O+ Univers" w:hAnsi="MDGMO O+ Univers" w:cs="MDGMO O+ Univers" w:eastAsiaTheme="minorHAnsi"/>
          <w:b/>
          <w:bCs/>
          <w:color w:val="000000"/>
          <w:sz w:val="23"/>
          <w:szCs w:val="23"/>
          <w:lang w:eastAsia="en-US"/>
        </w:rPr>
        <w:t>29 338</w:t>
      </w:r>
      <w:r w:rsidR="004F4BE1">
        <w:rPr>
          <w:rFonts w:ascii="MDGMO O+ Univers" w:hAnsi="MDGMO O+ Univers" w:cs="MDGMO O+ Univers" w:eastAsiaTheme="minorHAnsi"/>
          <w:b/>
          <w:bCs/>
          <w:color w:val="000000"/>
          <w:sz w:val="23"/>
          <w:szCs w:val="23"/>
          <w:lang w:eastAsia="en-US"/>
        </w:rPr>
        <w:tab/>
      </w:r>
      <w:r w:rsidR="004F4BE1">
        <w:rPr>
          <w:rFonts w:ascii="MDGMO O+ Univers" w:hAnsi="MDGMO O+ Univers" w:cs="MDGMO O+ Univers" w:eastAsiaTheme="minorHAnsi"/>
          <w:b/>
          <w:bCs/>
          <w:color w:val="000000"/>
          <w:sz w:val="23"/>
          <w:szCs w:val="23"/>
          <w:lang w:eastAsia="en-US"/>
        </w:rPr>
        <w:tab/>
      </w:r>
      <w:r w:rsidR="00A75925">
        <w:rPr>
          <w:rFonts w:ascii="MDGMO O+ Univers" w:hAnsi="MDGMO O+ Univers" w:cs="MDGMO O+ Univers" w:eastAsiaTheme="minorHAnsi"/>
          <w:b/>
          <w:bCs/>
          <w:color w:val="000000"/>
          <w:sz w:val="23"/>
          <w:szCs w:val="23"/>
          <w:lang w:eastAsia="en-US"/>
        </w:rPr>
        <w:t>Wetenschapsbudget</w:t>
      </w:r>
      <w:r w:rsidR="008B0FA8">
        <w:rPr>
          <w:rFonts w:ascii="MDGMO O+ Univers" w:hAnsi="MDGMO O+ Univers" w:cs="MDGMO O+ Univers" w:eastAsiaTheme="minorHAnsi"/>
          <w:b/>
          <w:bCs/>
          <w:color w:val="000000"/>
          <w:sz w:val="23"/>
          <w:szCs w:val="23"/>
          <w:lang w:eastAsia="en-US"/>
        </w:rPr>
        <w:tab/>
      </w:r>
      <w:r w:rsidR="008B0FA8">
        <w:rPr>
          <w:rFonts w:ascii="MDGMO O+ Univers" w:hAnsi="MDGMO O+ Univers" w:cs="MDGMO O+ Univers" w:eastAsiaTheme="minorHAnsi"/>
          <w:b/>
          <w:bCs/>
          <w:color w:val="000000"/>
          <w:sz w:val="23"/>
          <w:szCs w:val="23"/>
          <w:lang w:eastAsia="en-US"/>
        </w:rPr>
        <w:tab/>
      </w:r>
    </w:p>
    <w:p w:rsidR="002E6820" w:rsidP="00804A1A" w:rsidRDefault="00802946" w14:paraId="6F43794E" w14:textId="41DFE7F1">
      <w:pPr>
        <w:ind w:firstLine="708"/>
        <w:rPr>
          <w:b/>
        </w:rPr>
      </w:pPr>
      <w:r>
        <w:rPr>
          <w:b/>
        </w:rPr>
        <w:tab/>
      </w:r>
      <w:r>
        <w:rPr>
          <w:b/>
        </w:rPr>
        <w:tab/>
      </w:r>
    </w:p>
    <w:p w:rsidRPr="002E6820" w:rsidR="00802946" w:rsidP="00802946" w:rsidRDefault="00802946" w14:paraId="56503576" w14:textId="21B3C9CA">
      <w:pPr>
        <w:autoSpaceDE w:val="0"/>
        <w:autoSpaceDN w:val="0"/>
        <w:adjustRightInd w:val="0"/>
        <w:rPr>
          <w:rFonts w:ascii="KIELG L+ Univers" w:hAnsi="KIELG L+ Univers" w:cs="KIELG L+ Univers" w:eastAsiaTheme="minorHAnsi"/>
          <w:color w:val="000000"/>
          <w:lang w:eastAsia="en-US"/>
        </w:rPr>
      </w:pPr>
      <w:r>
        <w:rPr>
          <w:b/>
        </w:rPr>
        <w:tab/>
      </w:r>
      <w:r>
        <w:rPr>
          <w:b/>
        </w:rPr>
        <w:tab/>
      </w:r>
      <w:r>
        <w:rPr>
          <w:b/>
        </w:rPr>
        <w:tab/>
      </w:r>
      <w:r>
        <w:rPr>
          <w:rFonts w:ascii="MDGMO O+ Univers" w:hAnsi="MDGMO O+ Univers" w:cs="MDGMO O+ Univers" w:eastAsiaTheme="minorHAnsi"/>
          <w:b/>
          <w:bCs/>
          <w:color w:val="000000"/>
          <w:sz w:val="23"/>
          <w:szCs w:val="23"/>
          <w:lang w:eastAsia="en-US"/>
        </w:rPr>
        <w:t>Inbreng verslag van een schriftelijk overleg</w:t>
      </w:r>
    </w:p>
    <w:p w:rsidR="00802946" w:rsidP="00804A1A" w:rsidRDefault="00802946" w14:paraId="1F34B005" w14:textId="5E1FC762">
      <w:pPr>
        <w:ind w:firstLine="708"/>
        <w:rPr>
          <w:b/>
        </w:rPr>
      </w:pPr>
    </w:p>
    <w:p w:rsidRPr="006617DE" w:rsidR="002E6820" w:rsidP="00804A1A" w:rsidRDefault="002E6820" w14:paraId="0A91AA30" w14:textId="77777777">
      <w:pPr>
        <w:ind w:firstLine="708"/>
      </w:pPr>
    </w:p>
    <w:p w:rsidRPr="006617DE" w:rsidR="00804A1A" w:rsidP="00804A1A" w:rsidRDefault="00804A1A" w14:paraId="113AA8DD" w14:textId="77777777">
      <w:pPr>
        <w:ind w:left="1416" w:firstLine="708"/>
      </w:pPr>
      <w:r w:rsidRPr="006617DE">
        <w:t>Vastgesteld d.d. …</w:t>
      </w:r>
    </w:p>
    <w:p w:rsidRPr="006617DE" w:rsidR="00804A1A" w:rsidP="00804A1A" w:rsidRDefault="00804A1A" w14:paraId="126CED52" w14:textId="77777777"/>
    <w:p w:rsidR="006E186B" w:rsidP="00804A1A" w:rsidRDefault="00804A1A" w14:paraId="20FAFC25" w14:textId="71263257">
      <w:pPr>
        <w:autoSpaceDE w:val="0"/>
        <w:autoSpaceDN w:val="0"/>
        <w:adjustRightInd w:val="0"/>
        <w:ind w:left="2124"/>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E842EA">
        <w:t>minister</w:t>
      </w:r>
      <w:r w:rsidR="00F53695">
        <w:t xml:space="preserve"> </w:t>
      </w:r>
      <w:r w:rsidR="00522D2A">
        <w:t xml:space="preserve">van Onderwijs, Cultuur en Wetenschap </w:t>
      </w:r>
      <w:r w:rsidR="00F53695">
        <w:t>van</w:t>
      </w:r>
      <w:r w:rsidR="00522D2A">
        <w:t xml:space="preserve"> </w:t>
      </w:r>
      <w:r w:rsidR="00A75925">
        <w:t xml:space="preserve">30 september </w:t>
      </w:r>
      <w:r w:rsidR="00E329A8">
        <w:t xml:space="preserve">2024 </w:t>
      </w:r>
      <w:r w:rsidR="006E186B">
        <w:t>inzake</w:t>
      </w:r>
      <w:r w:rsidR="00A75925">
        <w:t xml:space="preserve"> de</w:t>
      </w:r>
      <w:r w:rsidRPr="00135D1C" w:rsidR="00135D1C">
        <w:t xml:space="preserve"> </w:t>
      </w:r>
      <w:r w:rsidRPr="00A75925" w:rsidR="00A75925">
        <w:t xml:space="preserve">Reactie op </w:t>
      </w:r>
      <w:r w:rsidR="005308FB">
        <w:t xml:space="preserve">het </w:t>
      </w:r>
      <w:r w:rsidRPr="00A75925" w:rsidR="00A75925">
        <w:t>rapport 'NWO-programma's voor vrij onderzoek' van het Rathenau Instituut</w:t>
      </w:r>
      <w:r w:rsidR="00E329A8">
        <w:t xml:space="preserve"> </w:t>
      </w:r>
      <w:r>
        <w:t>(Kamerstuk</w:t>
      </w:r>
      <w:r w:rsidR="004A54EE">
        <w:t xml:space="preserve"> 29 338</w:t>
      </w:r>
      <w:r w:rsidR="00876181">
        <w:t>, nr.</w:t>
      </w:r>
      <w:r w:rsidR="004A54EE">
        <w:t xml:space="preserve"> </w:t>
      </w:r>
      <w:r w:rsidR="005308FB">
        <w:t>278</w:t>
      </w:r>
      <w:r w:rsidR="00E842EA">
        <w:t>)</w:t>
      </w:r>
      <w:r>
        <w:t>.</w:t>
      </w:r>
      <w:r w:rsidRPr="00D633F3">
        <w:cr/>
      </w:r>
    </w:p>
    <w:p w:rsidRPr="006617DE" w:rsidR="00804A1A" w:rsidP="00804A1A" w:rsidRDefault="00804A1A" w14:paraId="77D91DC1" w14:textId="31C615F8">
      <w:pPr>
        <w:autoSpaceDE w:val="0"/>
        <w:autoSpaceDN w:val="0"/>
        <w:adjustRightInd w:val="0"/>
        <w:ind w:left="2124"/>
      </w:pPr>
      <w:r w:rsidRPr="006617DE">
        <w:t xml:space="preserve">Bij brief van ... </w:t>
      </w:r>
      <w:r>
        <w:t>he</w:t>
      </w:r>
      <w:r w:rsidR="00935916">
        <w:t>eft</w:t>
      </w:r>
      <w:r>
        <w:t xml:space="preserve"> </w:t>
      </w:r>
      <w:r w:rsidR="00F53695">
        <w:t xml:space="preserve">de </w:t>
      </w:r>
      <w:r w:rsidR="00E842EA">
        <w:t xml:space="preserve">minister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379CC183">
      <w:pPr>
        <w:ind w:left="1416" w:firstLine="708"/>
        <w:outlineLvl w:val="0"/>
      </w:pPr>
      <w:r>
        <w:t>De v</w:t>
      </w:r>
      <w:r w:rsidRPr="006617DE" w:rsidR="00804A1A">
        <w:t>oorzitter van de commissie</w:t>
      </w:r>
    </w:p>
    <w:p w:rsidRPr="006617DE" w:rsidR="00804A1A" w:rsidP="00804A1A" w:rsidRDefault="006E186B" w14:paraId="1AB0DEF3" w14:textId="2CD435BC">
      <w:pPr>
        <w:ind w:left="1416" w:firstLine="708"/>
      </w:pPr>
      <w:proofErr w:type="spellStart"/>
      <w:r>
        <w:t>Bromet</w:t>
      </w:r>
      <w:proofErr w:type="spellEnd"/>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6E186B" w14:paraId="72724501" w14:textId="69E49208">
      <w:pPr>
        <w:ind w:left="1416" w:firstLine="708"/>
      </w:pPr>
      <w:r>
        <w:t>Huls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334AA2"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34AA2">
        <w:rPr>
          <w:rFonts w:ascii="Times New Roman" w:hAnsi="Times New Roman" w:cs="Times New Roman"/>
          <w:b/>
        </w:rPr>
        <w:t>Vragen en opmerkingen uit de fracties</w:t>
      </w:r>
    </w:p>
    <w:p w:rsidRPr="00334AA2" w:rsidR="00804A1A" w:rsidP="00804A1A" w:rsidRDefault="00804A1A" w14:paraId="6C754926" w14:textId="77777777">
      <w:pPr>
        <w:pStyle w:val="Default"/>
        <w:numPr>
          <w:ilvl w:val="0"/>
          <w:numId w:val="1"/>
        </w:numPr>
        <w:rPr>
          <w:rFonts w:ascii="Times New Roman" w:hAnsi="Times New Roman" w:cs="Times New Roman"/>
          <w:b/>
        </w:rPr>
      </w:pPr>
      <w:r w:rsidRPr="00334AA2">
        <w:rPr>
          <w:rFonts w:ascii="Times New Roman" w:hAnsi="Times New Roman" w:cs="Times New Roman"/>
          <w:b/>
        </w:rPr>
        <w:t xml:space="preserve">Inbreng van de leden van de </w:t>
      </w:r>
      <w:r w:rsidRPr="00334AA2" w:rsidR="001A0B98">
        <w:rPr>
          <w:rFonts w:ascii="Times New Roman" w:hAnsi="Times New Roman" w:cs="Times New Roman"/>
          <w:b/>
        </w:rPr>
        <w:t>GroenLinks-</w:t>
      </w:r>
      <w:r w:rsidRPr="00334AA2" w:rsidR="004B517A">
        <w:rPr>
          <w:rFonts w:ascii="Times New Roman" w:hAnsi="Times New Roman" w:cs="Times New Roman"/>
          <w:b/>
        </w:rPr>
        <w:t>PvdA-</w:t>
      </w:r>
      <w:r w:rsidRPr="00334AA2" w:rsidR="001A0B98">
        <w:rPr>
          <w:rFonts w:ascii="Times New Roman" w:hAnsi="Times New Roman" w:cs="Times New Roman"/>
          <w:b/>
        </w:rPr>
        <w:t>fractie</w:t>
      </w:r>
    </w:p>
    <w:p w:rsidRPr="00334AA2" w:rsidR="00162F24" w:rsidP="00804A1A" w:rsidRDefault="00162F24" w14:paraId="6A843728" w14:textId="77777777">
      <w:pPr>
        <w:pStyle w:val="Default"/>
        <w:numPr>
          <w:ilvl w:val="0"/>
          <w:numId w:val="1"/>
        </w:numPr>
        <w:rPr>
          <w:rFonts w:ascii="Times New Roman" w:hAnsi="Times New Roman" w:cs="Times New Roman"/>
          <w:b/>
        </w:rPr>
      </w:pPr>
      <w:r w:rsidRPr="00334AA2">
        <w:rPr>
          <w:rFonts w:ascii="Times New Roman" w:hAnsi="Times New Roman" w:cs="Times New Roman"/>
          <w:b/>
        </w:rPr>
        <w:t>Inbreng van de leden van de VVD-fractie</w:t>
      </w:r>
    </w:p>
    <w:p w:rsidRPr="00334AA2" w:rsidR="006B1047" w:rsidP="00804A1A" w:rsidRDefault="006B1047" w14:paraId="3235322D" w14:textId="490E20E3">
      <w:pPr>
        <w:pStyle w:val="Default"/>
        <w:numPr>
          <w:ilvl w:val="0"/>
          <w:numId w:val="1"/>
        </w:numPr>
        <w:rPr>
          <w:rFonts w:ascii="Times New Roman" w:hAnsi="Times New Roman" w:cs="Times New Roman"/>
          <w:b/>
        </w:rPr>
      </w:pPr>
      <w:r w:rsidRPr="00334AA2">
        <w:rPr>
          <w:rFonts w:ascii="Times New Roman" w:hAnsi="Times New Roman" w:cs="Times New Roman"/>
          <w:b/>
        </w:rPr>
        <w:t>Inbreng van de leden van de NSC-fractie</w:t>
      </w:r>
    </w:p>
    <w:p w:rsidRPr="00334AA2" w:rsidR="00334AA2" w:rsidP="00804A1A" w:rsidRDefault="00334AA2" w14:paraId="03735A80" w14:textId="7CDB1E13">
      <w:pPr>
        <w:pStyle w:val="Default"/>
        <w:numPr>
          <w:ilvl w:val="0"/>
          <w:numId w:val="1"/>
        </w:numPr>
        <w:rPr>
          <w:rFonts w:ascii="Times New Roman" w:hAnsi="Times New Roman" w:cs="Times New Roman"/>
          <w:b/>
        </w:rPr>
      </w:pPr>
      <w:r w:rsidRPr="00334AA2">
        <w:rPr>
          <w:rFonts w:ascii="Times New Roman" w:hAnsi="Times New Roman" w:cs="Times New Roman"/>
          <w:b/>
        </w:rPr>
        <w:t>Inbreng van de leden van de D66-fractie</w:t>
      </w:r>
    </w:p>
    <w:p w:rsidRPr="00366DAB" w:rsidR="00804A1A" w:rsidP="00804A1A" w:rsidRDefault="00804A1A" w14:paraId="1940E8F0" w14:textId="53051CA1">
      <w:pPr>
        <w:ind w:left="2829" w:hanging="705"/>
        <w:rPr>
          <w:b/>
        </w:rPr>
      </w:pPr>
      <w:r w:rsidRPr="00334AA2">
        <w:rPr>
          <w:b/>
        </w:rPr>
        <w:t>II</w:t>
      </w:r>
      <w:r w:rsidRPr="00334AA2">
        <w:rPr>
          <w:b/>
        </w:rPr>
        <w:tab/>
      </w:r>
      <w:r w:rsidRPr="00334AA2">
        <w:rPr>
          <w:b/>
        </w:rPr>
        <w:tab/>
        <w:t xml:space="preserve">Reactie van </w:t>
      </w:r>
      <w:r w:rsidRPr="00334AA2" w:rsidR="00876181">
        <w:rPr>
          <w:b/>
        </w:rPr>
        <w:t xml:space="preserve">de </w:t>
      </w:r>
      <w:r w:rsidRPr="00334AA2" w:rsidR="00E842EA">
        <w:rPr>
          <w:b/>
        </w:rPr>
        <w:t>minister</w:t>
      </w:r>
      <w:r w:rsidRPr="00334AA2" w:rsidR="00876181">
        <w:rPr>
          <w:b/>
        </w:rPr>
        <w:t xml:space="preserve"> </w:t>
      </w:r>
      <w:r w:rsidRPr="00334AA2"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00D952DB" w:rsidP="00D952DB" w:rsidRDefault="00D952DB" w14:paraId="03A3D920" w14:textId="77777777">
      <w:pPr>
        <w:rPr>
          <w:bCs/>
        </w:rPr>
      </w:pPr>
    </w:p>
    <w:p w:rsidR="00D952DB" w:rsidP="00D952DB" w:rsidRDefault="00D952DB" w14:paraId="3FCD6363" w14:textId="77777777">
      <w:pPr>
        <w:spacing w:line="276" w:lineRule="auto"/>
        <w:rPr>
          <w:b/>
        </w:rPr>
      </w:pPr>
      <w:r w:rsidRPr="00680EC5">
        <w:rPr>
          <w:b/>
        </w:rPr>
        <w:t>Inbreng van de leden van de GroenLinks-PvdA-fractie</w:t>
      </w:r>
    </w:p>
    <w:p w:rsidR="00D952DB" w:rsidP="00A01A7C" w:rsidRDefault="00D952DB" w14:paraId="456AA0BC" w14:textId="77777777">
      <w:pPr>
        <w:spacing w:line="276" w:lineRule="auto"/>
      </w:pPr>
      <w:r>
        <w:t xml:space="preserve">De leden van de GroenLinks-PvdA-fractie hebben met belangstelling kennisgenomen van de reactie op het </w:t>
      </w:r>
      <w:r w:rsidRPr="00224CCF">
        <w:t xml:space="preserve">rapport </w:t>
      </w:r>
      <w:r>
        <w:t>‘</w:t>
      </w:r>
      <w:r w:rsidRPr="00224CCF">
        <w:t>NWO</w:t>
      </w:r>
      <w:r>
        <w:rPr>
          <w:rStyle w:val="Voetnootmarkering"/>
        </w:rPr>
        <w:footnoteReference w:id="1"/>
      </w:r>
      <w:r w:rsidRPr="00224CCF">
        <w:t>-programma’s voor vrij onderzoek. Mogelijke grondslagen voor budgetverdeling</w:t>
      </w:r>
      <w:r>
        <w:t>’</w:t>
      </w:r>
      <w:r w:rsidRPr="00224CCF">
        <w:t xml:space="preserve"> va</w:t>
      </w:r>
      <w:r>
        <w:t xml:space="preserve">n het Rathenau Instituut. </w:t>
      </w:r>
    </w:p>
    <w:p w:rsidR="00D952DB" w:rsidP="00A01A7C" w:rsidRDefault="00D952DB" w14:paraId="26A528FC" w14:textId="77777777">
      <w:pPr>
        <w:spacing w:line="276" w:lineRule="auto"/>
      </w:pPr>
    </w:p>
    <w:p w:rsidR="00D952DB" w:rsidP="00A01A7C" w:rsidRDefault="00D952DB" w14:paraId="29221979" w14:textId="77777777">
      <w:pPr>
        <w:spacing w:line="276" w:lineRule="auto"/>
      </w:pPr>
      <w:r>
        <w:t xml:space="preserve">De leden van de GroenLinks-PvdA-fractie maken zich zoals bekend grote zorgen over de toekomst van het Nederlandse wetenschappelijke onderzoek en de aangekondigde bezuinigingen op de onderwijs- en onderzoeksbudgetten voor komende jaren. Dit klemt naar het oordeel van deze leden des te meer, nu op NWO drastisch zal worden bezuinigd. Zij </w:t>
      </w:r>
      <w:r>
        <w:lastRenderedPageBreak/>
        <w:t>constateren dat dit niet zonder gevolgen zal blijven voor de toekomst van het Nederlandse wetenschappelijk onderzoek, het toekomstige Nederlandse innovatievermogen en daarmee het toekomstige Nederlandse verdienvermogen. H</w:t>
      </w:r>
      <w:r w:rsidRPr="00791E5E">
        <w:t xml:space="preserve">oeveel minder onderzoekers </w:t>
      </w:r>
      <w:r>
        <w:t xml:space="preserve">krijgen </w:t>
      </w:r>
      <w:r w:rsidRPr="00791E5E">
        <w:t>hierdoor straks minder financiering en wat</w:t>
      </w:r>
      <w:r>
        <w:t xml:space="preserve"> betekent </w:t>
      </w:r>
      <w:r w:rsidRPr="00791E5E">
        <w:t xml:space="preserve">dat voor </w:t>
      </w:r>
      <w:r>
        <w:t>de</w:t>
      </w:r>
      <w:r w:rsidRPr="00791E5E">
        <w:t xml:space="preserve"> toekomst </w:t>
      </w:r>
      <w:r>
        <w:t xml:space="preserve">van deze onderzoekers? </w:t>
      </w:r>
    </w:p>
    <w:p w:rsidR="00D952DB" w:rsidP="00A01A7C" w:rsidRDefault="00D952DB" w14:paraId="1C380D34" w14:textId="77777777">
      <w:pPr>
        <w:spacing w:line="276" w:lineRule="auto"/>
      </w:pPr>
      <w:r>
        <w:t xml:space="preserve">In het verlengde hiervan doemt de vraag op wat het concreet voor Nederland betekent, omdat minder onderzoekers kunnen worden ingezet op belangrijk onderzoek. De leden van de GroenLinks-PvdA-fractie vragen de minister of, en zo ja, in welke vorm in de toekomst nog budget te verdelen valt voor serieus </w:t>
      </w:r>
      <w:proofErr w:type="spellStart"/>
      <w:r>
        <w:t>nieuwsgierigheidsgedreven</w:t>
      </w:r>
      <w:proofErr w:type="spellEnd"/>
      <w:r>
        <w:t xml:space="preserve"> onderzoek. Deze leden vragen de minister om te voorzien in een overzicht van de te verdelen budgetten voor de komende jaren. Specifieker willen zij graag een concreet inzicht in de gevolgen van de aangekondigde bezuinigingen op NWO. Tot slot horen deze leden graag hoe de minister gesprekken met NWO vormgeeft en hoe de Kamer hierover geïnformeerd gaat worden. </w:t>
      </w:r>
    </w:p>
    <w:p w:rsidR="00D952DB" w:rsidP="00A01A7C" w:rsidRDefault="00D952DB" w14:paraId="2D5F39FE" w14:textId="77777777">
      <w:pPr>
        <w:spacing w:line="276" w:lineRule="auto"/>
      </w:pPr>
    </w:p>
    <w:p w:rsidR="00D952DB" w:rsidP="00A01A7C" w:rsidRDefault="00D952DB" w14:paraId="39407E4B" w14:textId="77777777">
      <w:pPr>
        <w:pStyle w:val="Default"/>
        <w:spacing w:line="276" w:lineRule="auto"/>
        <w:rPr>
          <w:rFonts w:ascii="Times New Roman" w:hAnsi="Times New Roman" w:cs="Times New Roman"/>
          <w:b/>
        </w:rPr>
      </w:pPr>
      <w:r w:rsidRPr="00680EC5">
        <w:rPr>
          <w:rFonts w:ascii="Times New Roman" w:hAnsi="Times New Roman" w:cs="Times New Roman"/>
          <w:b/>
        </w:rPr>
        <w:t>Inbreng van de leden van de VVD-fractie</w:t>
      </w:r>
    </w:p>
    <w:p w:rsidR="00D952DB" w:rsidP="00A01A7C" w:rsidRDefault="00D952DB" w14:paraId="7A39E5D9" w14:textId="77777777">
      <w:pPr>
        <w:spacing w:line="276" w:lineRule="auto"/>
      </w:pPr>
      <w:r>
        <w:t xml:space="preserve">De leden van de VVD-fractie danken de minister voor de onderhavige stukken en hebben op dit moment geen verdere vragen. </w:t>
      </w:r>
    </w:p>
    <w:p w:rsidRPr="00680EC5" w:rsidR="00D952DB" w:rsidP="00A01A7C" w:rsidRDefault="00D952DB" w14:paraId="1A33B789" w14:textId="77777777">
      <w:pPr>
        <w:pStyle w:val="Default"/>
        <w:spacing w:line="276" w:lineRule="auto"/>
        <w:rPr>
          <w:rFonts w:ascii="Times New Roman" w:hAnsi="Times New Roman" w:cs="Times New Roman"/>
          <w:b/>
        </w:rPr>
      </w:pPr>
    </w:p>
    <w:p w:rsidR="00D952DB" w:rsidP="00A01A7C" w:rsidRDefault="00D952DB" w14:paraId="4D14C66E" w14:textId="77777777">
      <w:pPr>
        <w:spacing w:line="276" w:lineRule="auto"/>
        <w:rPr>
          <w:b/>
          <w:bCs/>
        </w:rPr>
      </w:pPr>
      <w:r w:rsidRPr="00680EC5">
        <w:rPr>
          <w:b/>
          <w:bCs/>
        </w:rPr>
        <w:t>Inbreng van de leden van de NSC-fractie</w:t>
      </w:r>
    </w:p>
    <w:p w:rsidRPr="00C94FD8" w:rsidR="00D952DB" w:rsidP="00A01A7C" w:rsidRDefault="00D952DB" w14:paraId="310D44A0" w14:textId="77777777">
      <w:pPr>
        <w:pStyle w:val="Default"/>
        <w:spacing w:line="276" w:lineRule="auto"/>
        <w:rPr>
          <w:rFonts w:ascii="Times New Roman" w:hAnsi="Times New Roman" w:cs="Times New Roman"/>
          <w:bCs/>
        </w:rPr>
      </w:pPr>
      <w:r w:rsidRPr="00C94FD8">
        <w:rPr>
          <w:rFonts w:ascii="Times New Roman" w:hAnsi="Times New Roman" w:cs="Times New Roman"/>
          <w:bCs/>
        </w:rPr>
        <w:t>De leden van de NSC-fractie hebben kennisgenomen van de kabinetsreactie op het rapport ‘NWO-programma’s voor vrij onderzoek’ van het Rathenau instituut en hebben enkele kritische vragen.</w:t>
      </w:r>
    </w:p>
    <w:p w:rsidRPr="00C94FD8" w:rsidR="00D952DB" w:rsidP="00D952DB" w:rsidRDefault="00D952DB" w14:paraId="650E7FB8" w14:textId="77777777">
      <w:pPr>
        <w:pStyle w:val="Default"/>
        <w:spacing w:line="276" w:lineRule="auto"/>
        <w:rPr>
          <w:rFonts w:ascii="Times New Roman" w:hAnsi="Times New Roman" w:cs="Times New Roman"/>
          <w:bCs/>
        </w:rPr>
      </w:pPr>
    </w:p>
    <w:p w:rsidRPr="000A5B86" w:rsidR="00D952DB" w:rsidP="00D952DB" w:rsidRDefault="00D952DB" w14:paraId="7846AEA0" w14:textId="77777777">
      <w:pPr>
        <w:pStyle w:val="Default"/>
        <w:spacing w:line="276" w:lineRule="auto"/>
        <w:rPr>
          <w:rFonts w:ascii="Times New Roman" w:hAnsi="Times New Roman" w:cs="Times New Roman"/>
          <w:bCs/>
          <w:i/>
          <w:iCs/>
        </w:rPr>
      </w:pPr>
      <w:r w:rsidRPr="000A5B86">
        <w:rPr>
          <w:rFonts w:ascii="Times New Roman" w:hAnsi="Times New Roman" w:cs="Times New Roman"/>
          <w:bCs/>
          <w:i/>
          <w:iCs/>
        </w:rPr>
        <w:t>Grondslagen voor budgetverdeling over domeinen</w:t>
      </w:r>
    </w:p>
    <w:p w:rsidRPr="00C94FD8" w:rsidR="00D952DB" w:rsidP="00D952DB" w:rsidRDefault="00D952DB" w14:paraId="4AA628D6" w14:textId="77777777">
      <w:pPr>
        <w:pStyle w:val="Default"/>
        <w:spacing w:line="276" w:lineRule="auto"/>
        <w:rPr>
          <w:rFonts w:ascii="Times New Roman" w:hAnsi="Times New Roman" w:cs="Times New Roman"/>
          <w:bCs/>
        </w:rPr>
      </w:pPr>
      <w:r w:rsidRPr="00C94FD8">
        <w:rPr>
          <w:rFonts w:ascii="Times New Roman" w:hAnsi="Times New Roman" w:cs="Times New Roman"/>
          <w:bCs/>
        </w:rPr>
        <w:t xml:space="preserve">De </w:t>
      </w:r>
      <w:r>
        <w:rPr>
          <w:rFonts w:ascii="Times New Roman" w:hAnsi="Times New Roman" w:cs="Times New Roman"/>
          <w:bCs/>
        </w:rPr>
        <w:t>m</w:t>
      </w:r>
      <w:r w:rsidRPr="00C94FD8">
        <w:rPr>
          <w:rFonts w:ascii="Times New Roman" w:hAnsi="Times New Roman" w:cs="Times New Roman"/>
          <w:bCs/>
        </w:rPr>
        <w:t xml:space="preserve">inister schrijft in zijn brief dat de huidige systematiek die het NWO hanteert voor de verdeling van het budget voor ongebonden, </w:t>
      </w:r>
      <w:proofErr w:type="spellStart"/>
      <w:r w:rsidRPr="00C94FD8">
        <w:rPr>
          <w:rFonts w:ascii="Times New Roman" w:hAnsi="Times New Roman" w:cs="Times New Roman"/>
          <w:bCs/>
        </w:rPr>
        <w:t>nieuwsgierigheidsgedreven</w:t>
      </w:r>
      <w:proofErr w:type="spellEnd"/>
      <w:r w:rsidRPr="00C94FD8">
        <w:rPr>
          <w:rFonts w:ascii="Times New Roman" w:hAnsi="Times New Roman" w:cs="Times New Roman"/>
          <w:bCs/>
        </w:rPr>
        <w:t xml:space="preserve"> onderzoek over de domeinen de afgelopen twintig jaar nauwelijks is veranderd ondanks dat in dezelfde periode het </w:t>
      </w:r>
      <w:proofErr w:type="spellStart"/>
      <w:r w:rsidRPr="00C94FD8">
        <w:rPr>
          <w:rFonts w:ascii="Times New Roman" w:hAnsi="Times New Roman" w:cs="Times New Roman"/>
          <w:bCs/>
        </w:rPr>
        <w:t>onderzoeksstelsel</w:t>
      </w:r>
      <w:proofErr w:type="spellEnd"/>
      <w:r w:rsidRPr="00C94FD8">
        <w:rPr>
          <w:rFonts w:ascii="Times New Roman" w:hAnsi="Times New Roman" w:cs="Times New Roman"/>
          <w:bCs/>
        </w:rPr>
        <w:t xml:space="preserve"> dat wel is. </w:t>
      </w:r>
      <w:r>
        <w:rPr>
          <w:rFonts w:ascii="Times New Roman" w:hAnsi="Times New Roman" w:cs="Times New Roman"/>
          <w:bCs/>
        </w:rPr>
        <w:t>De minister</w:t>
      </w:r>
      <w:r w:rsidRPr="00C94FD8">
        <w:rPr>
          <w:rFonts w:ascii="Times New Roman" w:hAnsi="Times New Roman" w:cs="Times New Roman"/>
          <w:bCs/>
        </w:rPr>
        <w:t xml:space="preserve"> suggereert ook dat dit een reden is om de huidige systematiek opnieuw kritisch tegen het licht te houden. De leden</w:t>
      </w:r>
      <w:r>
        <w:rPr>
          <w:rFonts w:ascii="Times New Roman" w:hAnsi="Times New Roman" w:cs="Times New Roman"/>
          <w:bCs/>
        </w:rPr>
        <w:t xml:space="preserve"> van de NSC-fractie</w:t>
      </w:r>
      <w:r w:rsidRPr="00C94FD8">
        <w:rPr>
          <w:rFonts w:ascii="Times New Roman" w:hAnsi="Times New Roman" w:cs="Times New Roman"/>
          <w:bCs/>
        </w:rPr>
        <w:t xml:space="preserve"> vrage</w:t>
      </w:r>
      <w:r>
        <w:rPr>
          <w:rFonts w:ascii="Times New Roman" w:hAnsi="Times New Roman" w:cs="Times New Roman"/>
          <w:bCs/>
        </w:rPr>
        <w:t>n</w:t>
      </w:r>
      <w:r w:rsidRPr="00C94FD8">
        <w:rPr>
          <w:rFonts w:ascii="Times New Roman" w:hAnsi="Times New Roman" w:cs="Times New Roman"/>
          <w:bCs/>
        </w:rPr>
        <w:t xml:space="preserve"> welke vragen daarbij voor de </w:t>
      </w:r>
      <w:r>
        <w:rPr>
          <w:rFonts w:ascii="Times New Roman" w:hAnsi="Times New Roman" w:cs="Times New Roman"/>
          <w:bCs/>
        </w:rPr>
        <w:t>m</w:t>
      </w:r>
      <w:r w:rsidRPr="00C94FD8">
        <w:rPr>
          <w:rFonts w:ascii="Times New Roman" w:hAnsi="Times New Roman" w:cs="Times New Roman"/>
          <w:bCs/>
        </w:rPr>
        <w:t xml:space="preserve">inister centraal zouden moeten staan. Het ligt voor de hand om beleid eens in de zoveel tijd opnieuw te evalueren in het licht van nieuwe ontwikkelingen die zich voordoen, maar wat zijn volgens de </w:t>
      </w:r>
      <w:r>
        <w:rPr>
          <w:rFonts w:ascii="Times New Roman" w:hAnsi="Times New Roman" w:cs="Times New Roman"/>
          <w:bCs/>
        </w:rPr>
        <w:t>m</w:t>
      </w:r>
      <w:r w:rsidRPr="00C94FD8">
        <w:rPr>
          <w:rFonts w:ascii="Times New Roman" w:hAnsi="Times New Roman" w:cs="Times New Roman"/>
          <w:bCs/>
        </w:rPr>
        <w:t xml:space="preserve">inister in dit geval de relevante criteria om daarbij te hanteren? </w:t>
      </w:r>
    </w:p>
    <w:p w:rsidR="00D952DB" w:rsidP="00D952DB" w:rsidRDefault="00D952DB" w14:paraId="63796531" w14:textId="77777777">
      <w:pPr>
        <w:pStyle w:val="Default"/>
        <w:spacing w:line="276" w:lineRule="auto"/>
        <w:rPr>
          <w:rFonts w:ascii="Times New Roman" w:hAnsi="Times New Roman" w:cs="Times New Roman"/>
          <w:bCs/>
        </w:rPr>
      </w:pPr>
    </w:p>
    <w:p w:rsidR="00D952DB" w:rsidP="00D952DB" w:rsidRDefault="00D952DB" w14:paraId="432C05A2" w14:textId="77777777">
      <w:pPr>
        <w:pStyle w:val="Default"/>
        <w:spacing w:line="276" w:lineRule="auto"/>
        <w:rPr>
          <w:rFonts w:ascii="Times New Roman" w:hAnsi="Times New Roman" w:cs="Times New Roman"/>
          <w:bCs/>
        </w:rPr>
      </w:pPr>
      <w:r w:rsidRPr="00C94FD8">
        <w:rPr>
          <w:rFonts w:ascii="Times New Roman" w:hAnsi="Times New Roman" w:cs="Times New Roman"/>
          <w:bCs/>
        </w:rPr>
        <w:t>De</w:t>
      </w:r>
      <w:r>
        <w:rPr>
          <w:rFonts w:ascii="Times New Roman" w:hAnsi="Times New Roman" w:cs="Times New Roman"/>
          <w:bCs/>
        </w:rPr>
        <w:t xml:space="preserve"> leden van de NSC-fractie lezen verder dat de</w:t>
      </w:r>
      <w:r w:rsidRPr="00C94FD8">
        <w:rPr>
          <w:rFonts w:ascii="Times New Roman" w:hAnsi="Times New Roman" w:cs="Times New Roman"/>
          <w:bCs/>
        </w:rPr>
        <w:t xml:space="preserve"> </w:t>
      </w:r>
      <w:r>
        <w:rPr>
          <w:rFonts w:ascii="Times New Roman" w:hAnsi="Times New Roman" w:cs="Times New Roman"/>
          <w:bCs/>
        </w:rPr>
        <w:t>m</w:t>
      </w:r>
      <w:r w:rsidRPr="00C94FD8">
        <w:rPr>
          <w:rFonts w:ascii="Times New Roman" w:hAnsi="Times New Roman" w:cs="Times New Roman"/>
          <w:bCs/>
        </w:rPr>
        <w:t xml:space="preserve">inister in zijn brief </w:t>
      </w:r>
      <w:r>
        <w:rPr>
          <w:rFonts w:ascii="Times New Roman" w:hAnsi="Times New Roman" w:cs="Times New Roman"/>
          <w:bCs/>
        </w:rPr>
        <w:t xml:space="preserve">schrijft </w:t>
      </w:r>
      <w:r w:rsidRPr="00C94FD8">
        <w:rPr>
          <w:rFonts w:ascii="Times New Roman" w:hAnsi="Times New Roman" w:cs="Times New Roman"/>
          <w:bCs/>
        </w:rPr>
        <w:t xml:space="preserve">dat hij het verstandig vindt van het NWO om met een pilot te beginnen alvorens over te stappen op een meer permanente bekostigingssystematiek van ongebonden, </w:t>
      </w:r>
      <w:proofErr w:type="spellStart"/>
      <w:r w:rsidRPr="00C94FD8">
        <w:rPr>
          <w:rFonts w:ascii="Times New Roman" w:hAnsi="Times New Roman" w:cs="Times New Roman"/>
          <w:bCs/>
        </w:rPr>
        <w:t>nieuwsgierigheidsgedreven</w:t>
      </w:r>
      <w:proofErr w:type="spellEnd"/>
      <w:r w:rsidRPr="00C94FD8">
        <w:rPr>
          <w:rFonts w:ascii="Times New Roman" w:hAnsi="Times New Roman" w:cs="Times New Roman"/>
          <w:bCs/>
        </w:rPr>
        <w:t xml:space="preserve"> onderzoek gebaseerd op de relatieve aanvraagomvang van de vier verschillende domeinen. Erkent de </w:t>
      </w:r>
      <w:r>
        <w:rPr>
          <w:rFonts w:ascii="Times New Roman" w:hAnsi="Times New Roman" w:cs="Times New Roman"/>
          <w:bCs/>
        </w:rPr>
        <w:t>m</w:t>
      </w:r>
      <w:r w:rsidRPr="00C94FD8">
        <w:rPr>
          <w:rFonts w:ascii="Times New Roman" w:hAnsi="Times New Roman" w:cs="Times New Roman"/>
          <w:bCs/>
        </w:rPr>
        <w:t xml:space="preserve">inister daarmee dat de huidige bekostigingssystematiek inderdaad vraagt om een hervorming? Zo ja, wat zijn de redenen dat </w:t>
      </w:r>
      <w:r>
        <w:rPr>
          <w:rFonts w:ascii="Times New Roman" w:hAnsi="Times New Roman" w:cs="Times New Roman"/>
          <w:bCs/>
        </w:rPr>
        <w:t>de minister</w:t>
      </w:r>
      <w:r w:rsidRPr="00C94FD8">
        <w:rPr>
          <w:rFonts w:ascii="Times New Roman" w:hAnsi="Times New Roman" w:cs="Times New Roman"/>
          <w:bCs/>
        </w:rPr>
        <w:t xml:space="preserve"> een dergelijke hervorming als wenselijk beschouwt? Wat is precies het probleem met de huidige verdeling en de historische groei hiervan?</w:t>
      </w:r>
    </w:p>
    <w:p w:rsidRPr="00C94FD8" w:rsidR="00D952DB" w:rsidP="00D952DB" w:rsidRDefault="00D952DB" w14:paraId="0AE0E2DC" w14:textId="77777777">
      <w:pPr>
        <w:pStyle w:val="Default"/>
        <w:spacing w:line="276" w:lineRule="auto"/>
        <w:rPr>
          <w:rFonts w:ascii="Times New Roman" w:hAnsi="Times New Roman" w:cs="Times New Roman"/>
          <w:bCs/>
        </w:rPr>
      </w:pPr>
    </w:p>
    <w:p w:rsidRPr="00C94FD8" w:rsidR="00D952DB" w:rsidP="00D952DB" w:rsidRDefault="00D952DB" w14:paraId="706BBE94" w14:textId="77777777">
      <w:pPr>
        <w:pStyle w:val="Default"/>
        <w:spacing w:line="276" w:lineRule="auto"/>
        <w:rPr>
          <w:rFonts w:ascii="Times New Roman" w:hAnsi="Times New Roman" w:cs="Times New Roman"/>
          <w:bCs/>
        </w:rPr>
      </w:pPr>
      <w:r w:rsidRPr="00C94FD8">
        <w:rPr>
          <w:rFonts w:ascii="Times New Roman" w:hAnsi="Times New Roman" w:cs="Times New Roman"/>
          <w:bCs/>
        </w:rPr>
        <w:t xml:space="preserve">De </w:t>
      </w:r>
      <w:r>
        <w:rPr>
          <w:rFonts w:ascii="Times New Roman" w:hAnsi="Times New Roman" w:cs="Times New Roman"/>
          <w:bCs/>
        </w:rPr>
        <w:t>m</w:t>
      </w:r>
      <w:r w:rsidRPr="00C94FD8">
        <w:rPr>
          <w:rFonts w:ascii="Times New Roman" w:hAnsi="Times New Roman" w:cs="Times New Roman"/>
          <w:bCs/>
        </w:rPr>
        <w:t>inister noemt in zijn brief de gedachte dat de omvang van het aantal aanvragen binnen een domein een rechtvaardiging kan zijn</w:t>
      </w:r>
      <w:r>
        <w:rPr>
          <w:rFonts w:ascii="Times New Roman" w:hAnsi="Times New Roman" w:cs="Times New Roman"/>
          <w:bCs/>
        </w:rPr>
        <w:t>,</w:t>
      </w:r>
      <w:r w:rsidRPr="00C94FD8">
        <w:rPr>
          <w:rFonts w:ascii="Times New Roman" w:hAnsi="Times New Roman" w:cs="Times New Roman"/>
          <w:bCs/>
        </w:rPr>
        <w:t xml:space="preserve"> om</w:t>
      </w:r>
      <w:r>
        <w:rPr>
          <w:rFonts w:ascii="Times New Roman" w:hAnsi="Times New Roman" w:cs="Times New Roman"/>
          <w:bCs/>
        </w:rPr>
        <w:t xml:space="preserve"> dat </w:t>
      </w:r>
      <w:r w:rsidRPr="00C94FD8">
        <w:rPr>
          <w:rFonts w:ascii="Times New Roman" w:hAnsi="Times New Roman" w:cs="Times New Roman"/>
          <w:bCs/>
        </w:rPr>
        <w:t xml:space="preserve">domein een groter deel van het beschikbare </w:t>
      </w:r>
      <w:r w:rsidRPr="00C94FD8">
        <w:rPr>
          <w:rFonts w:ascii="Times New Roman" w:hAnsi="Times New Roman" w:cs="Times New Roman"/>
          <w:bCs/>
        </w:rPr>
        <w:lastRenderedPageBreak/>
        <w:t>onderzoeksbudget toe te bedelen. Louter het feit dat een alternatieve verdeelsleutel praktisch uitvoerbaar is</w:t>
      </w:r>
      <w:r>
        <w:rPr>
          <w:rFonts w:ascii="Times New Roman" w:hAnsi="Times New Roman" w:cs="Times New Roman"/>
          <w:bCs/>
        </w:rPr>
        <w:t>,</w:t>
      </w:r>
      <w:r w:rsidRPr="00C94FD8">
        <w:rPr>
          <w:rFonts w:ascii="Times New Roman" w:hAnsi="Times New Roman" w:cs="Times New Roman"/>
          <w:bCs/>
        </w:rPr>
        <w:t xml:space="preserve"> achten de leden van de NSC-fractie als een weliswaar noodzakelijke maar onvoldoende basis voor de daadwerkelijke inzet ervan. Is de </w:t>
      </w:r>
      <w:r>
        <w:rPr>
          <w:rFonts w:ascii="Times New Roman" w:hAnsi="Times New Roman" w:cs="Times New Roman"/>
          <w:bCs/>
        </w:rPr>
        <w:t>m</w:t>
      </w:r>
      <w:r w:rsidRPr="00C94FD8">
        <w:rPr>
          <w:rFonts w:ascii="Times New Roman" w:hAnsi="Times New Roman" w:cs="Times New Roman"/>
          <w:bCs/>
        </w:rPr>
        <w:t xml:space="preserve">inister het daarmee eens? Zo ja, wat rechtvaardigt een op aanvraag gebaseerde verdeling? Wat maakt het geschikt als criterium? </w:t>
      </w:r>
    </w:p>
    <w:p w:rsidR="00D952DB" w:rsidP="00D952DB" w:rsidRDefault="00D952DB" w14:paraId="707B177E" w14:textId="77777777">
      <w:pPr>
        <w:pStyle w:val="Default"/>
        <w:spacing w:line="276" w:lineRule="auto"/>
        <w:rPr>
          <w:rFonts w:ascii="Times New Roman" w:hAnsi="Times New Roman" w:cs="Times New Roman"/>
          <w:bCs/>
        </w:rPr>
      </w:pPr>
    </w:p>
    <w:p w:rsidR="00D952DB" w:rsidP="00D952DB" w:rsidRDefault="00D952DB" w14:paraId="3D4133FC" w14:textId="77777777">
      <w:pPr>
        <w:pStyle w:val="Default"/>
        <w:spacing w:line="276" w:lineRule="auto"/>
        <w:rPr>
          <w:rFonts w:ascii="Times New Roman" w:hAnsi="Times New Roman" w:cs="Times New Roman"/>
          <w:bCs/>
        </w:rPr>
      </w:pPr>
      <w:r w:rsidRPr="00C94FD8">
        <w:rPr>
          <w:rFonts w:ascii="Times New Roman" w:hAnsi="Times New Roman" w:cs="Times New Roman"/>
          <w:bCs/>
        </w:rPr>
        <w:t xml:space="preserve">De leden </w:t>
      </w:r>
      <w:r>
        <w:rPr>
          <w:rFonts w:ascii="Times New Roman" w:hAnsi="Times New Roman" w:cs="Times New Roman"/>
          <w:bCs/>
        </w:rPr>
        <w:t xml:space="preserve">van de NSC-fractie </w:t>
      </w:r>
      <w:r w:rsidRPr="00C94FD8">
        <w:rPr>
          <w:rFonts w:ascii="Times New Roman" w:hAnsi="Times New Roman" w:cs="Times New Roman"/>
          <w:bCs/>
        </w:rPr>
        <w:t>vragen wat de pilot precies behelst</w:t>
      </w:r>
      <w:r>
        <w:rPr>
          <w:rFonts w:ascii="Times New Roman" w:hAnsi="Times New Roman" w:cs="Times New Roman"/>
          <w:bCs/>
        </w:rPr>
        <w:t>.</w:t>
      </w:r>
      <w:r w:rsidRPr="00C94FD8">
        <w:rPr>
          <w:rFonts w:ascii="Times New Roman" w:hAnsi="Times New Roman" w:cs="Times New Roman"/>
          <w:bCs/>
        </w:rPr>
        <w:t xml:space="preserve"> Welke aanvragen tellen mee? Vindt de verdeling plaats op basis van aantal aanvragen of </w:t>
      </w:r>
      <w:r>
        <w:rPr>
          <w:rFonts w:ascii="Times New Roman" w:hAnsi="Times New Roman" w:cs="Times New Roman"/>
          <w:bCs/>
        </w:rPr>
        <w:t xml:space="preserve">op basis van </w:t>
      </w:r>
      <w:r w:rsidRPr="00C94FD8">
        <w:rPr>
          <w:rFonts w:ascii="Times New Roman" w:hAnsi="Times New Roman" w:cs="Times New Roman"/>
          <w:bCs/>
        </w:rPr>
        <w:t>hoeveel geld er wordt aangevraagd? Hoe vaak mag iemand een aanvraag indienen</w:t>
      </w:r>
      <w:r>
        <w:rPr>
          <w:rFonts w:ascii="Times New Roman" w:hAnsi="Times New Roman" w:cs="Times New Roman"/>
          <w:bCs/>
        </w:rPr>
        <w:t xml:space="preserve"> e</w:t>
      </w:r>
      <w:r w:rsidRPr="00C94FD8">
        <w:rPr>
          <w:rFonts w:ascii="Times New Roman" w:hAnsi="Times New Roman" w:cs="Times New Roman"/>
          <w:bCs/>
        </w:rPr>
        <w:t>n hoe vaak wordt de verdeling opnieuw gemaakt op basis van aanvragen?</w:t>
      </w:r>
    </w:p>
    <w:p w:rsidRPr="00C94FD8" w:rsidR="00D952DB" w:rsidP="00D952DB" w:rsidRDefault="00D952DB" w14:paraId="09742417" w14:textId="77777777">
      <w:pPr>
        <w:pStyle w:val="Default"/>
        <w:spacing w:line="276" w:lineRule="auto"/>
        <w:rPr>
          <w:rFonts w:ascii="Times New Roman" w:hAnsi="Times New Roman" w:cs="Times New Roman"/>
          <w:bCs/>
        </w:rPr>
      </w:pPr>
    </w:p>
    <w:p w:rsidR="00D952DB" w:rsidP="00D952DB" w:rsidRDefault="00D952DB" w14:paraId="47993C27" w14:textId="0769528E">
      <w:pPr>
        <w:pStyle w:val="Default"/>
        <w:spacing w:line="276" w:lineRule="auto"/>
        <w:rPr>
          <w:rFonts w:ascii="Times New Roman" w:hAnsi="Times New Roman" w:cs="Times New Roman"/>
          <w:bCs/>
        </w:rPr>
      </w:pPr>
      <w:r w:rsidRPr="00C94FD8">
        <w:rPr>
          <w:rFonts w:ascii="Times New Roman" w:hAnsi="Times New Roman" w:cs="Times New Roman"/>
          <w:bCs/>
        </w:rPr>
        <w:t xml:space="preserve">De leden </w:t>
      </w:r>
      <w:r>
        <w:rPr>
          <w:rFonts w:ascii="Times New Roman" w:hAnsi="Times New Roman" w:cs="Times New Roman"/>
          <w:bCs/>
        </w:rPr>
        <w:t xml:space="preserve">van de NSC-fractie </w:t>
      </w:r>
      <w:r w:rsidRPr="00C94FD8">
        <w:rPr>
          <w:rFonts w:ascii="Times New Roman" w:hAnsi="Times New Roman" w:cs="Times New Roman"/>
          <w:bCs/>
        </w:rPr>
        <w:t>zijn verbaasd dat hier een uitgebreide pilot wordt uitgevoerd</w:t>
      </w:r>
      <w:r>
        <w:rPr>
          <w:rFonts w:ascii="Times New Roman" w:hAnsi="Times New Roman" w:cs="Times New Roman"/>
          <w:bCs/>
        </w:rPr>
        <w:t>,</w:t>
      </w:r>
      <w:r w:rsidRPr="00C94FD8">
        <w:rPr>
          <w:rFonts w:ascii="Times New Roman" w:hAnsi="Times New Roman" w:cs="Times New Roman"/>
          <w:bCs/>
        </w:rPr>
        <w:t xml:space="preserve"> terwijl het grotere probleem – de aanvraagdruk die ondanks vele maatregelen torenhoog blijft – onopgelost is. Dit blijft een voortdurende verkwisting van energie en tijd door jonge wetenschappers. Welke maatregelen worden er nog meer genomen om de aanvraagdruk echt te reduceren? Is de minister het </w:t>
      </w:r>
      <w:r>
        <w:rPr>
          <w:rFonts w:ascii="Times New Roman" w:hAnsi="Times New Roman" w:cs="Times New Roman"/>
          <w:bCs/>
        </w:rPr>
        <w:t xml:space="preserve">ermee </w:t>
      </w:r>
      <w:r w:rsidRPr="00C94FD8">
        <w:rPr>
          <w:rFonts w:ascii="Times New Roman" w:hAnsi="Times New Roman" w:cs="Times New Roman"/>
          <w:bCs/>
        </w:rPr>
        <w:t xml:space="preserve">eens dat geld verdelen tussen domeinen op basis van </w:t>
      </w:r>
      <w:r>
        <w:rPr>
          <w:rFonts w:ascii="Times New Roman" w:hAnsi="Times New Roman" w:cs="Times New Roman"/>
          <w:bCs/>
        </w:rPr>
        <w:t xml:space="preserve">het </w:t>
      </w:r>
      <w:r w:rsidRPr="00C94FD8">
        <w:rPr>
          <w:rFonts w:ascii="Times New Roman" w:hAnsi="Times New Roman" w:cs="Times New Roman"/>
          <w:bCs/>
        </w:rPr>
        <w:t xml:space="preserve">aantal aanvragen een directe prikkel is om als decanen zoveel mogelijk aanvragen in te dienen? </w:t>
      </w:r>
    </w:p>
    <w:p w:rsidRPr="00C94FD8" w:rsidR="00D952DB" w:rsidP="00D952DB" w:rsidRDefault="00D952DB" w14:paraId="5CA58E0A" w14:textId="77777777">
      <w:pPr>
        <w:pStyle w:val="Default"/>
        <w:spacing w:line="276" w:lineRule="auto"/>
        <w:rPr>
          <w:rFonts w:ascii="Times New Roman" w:hAnsi="Times New Roman" w:cs="Times New Roman"/>
          <w:bCs/>
        </w:rPr>
      </w:pPr>
    </w:p>
    <w:p w:rsidRPr="00C94FD8" w:rsidR="00D952DB" w:rsidP="00D952DB" w:rsidRDefault="00D952DB" w14:paraId="564708B9" w14:textId="77777777">
      <w:pPr>
        <w:pStyle w:val="Default"/>
        <w:spacing w:line="276" w:lineRule="auto"/>
        <w:rPr>
          <w:rFonts w:ascii="Times New Roman" w:hAnsi="Times New Roman" w:cs="Times New Roman"/>
          <w:bCs/>
        </w:rPr>
      </w:pPr>
      <w:r w:rsidRPr="00C94FD8">
        <w:rPr>
          <w:rFonts w:ascii="Times New Roman" w:hAnsi="Times New Roman" w:cs="Times New Roman"/>
          <w:bCs/>
        </w:rPr>
        <w:t xml:space="preserve">Ook </w:t>
      </w:r>
      <w:r>
        <w:rPr>
          <w:rFonts w:ascii="Times New Roman" w:hAnsi="Times New Roman" w:cs="Times New Roman"/>
          <w:bCs/>
        </w:rPr>
        <w:t xml:space="preserve">zijn de leden van de NSC-fractie van mening dat </w:t>
      </w:r>
      <w:r w:rsidRPr="00C94FD8">
        <w:rPr>
          <w:rFonts w:ascii="Times New Roman" w:hAnsi="Times New Roman" w:cs="Times New Roman"/>
          <w:bCs/>
        </w:rPr>
        <w:t>de ‘tombola’, de grote invloed van willekeur wanneer het toekenningspercentage onder de 25% valt</w:t>
      </w:r>
      <w:r>
        <w:rPr>
          <w:rFonts w:ascii="Times New Roman" w:hAnsi="Times New Roman" w:cs="Times New Roman"/>
          <w:bCs/>
        </w:rPr>
        <w:t>,</w:t>
      </w:r>
      <w:r w:rsidRPr="00C94FD8">
        <w:rPr>
          <w:rFonts w:ascii="Times New Roman" w:hAnsi="Times New Roman" w:cs="Times New Roman"/>
          <w:bCs/>
        </w:rPr>
        <w:t xml:space="preserve"> </w:t>
      </w:r>
      <w:r>
        <w:rPr>
          <w:rFonts w:ascii="Times New Roman" w:hAnsi="Times New Roman" w:cs="Times New Roman"/>
          <w:bCs/>
        </w:rPr>
        <w:t>e</w:t>
      </w:r>
      <w:r w:rsidRPr="00C94FD8">
        <w:rPr>
          <w:rFonts w:ascii="Times New Roman" w:hAnsi="Times New Roman" w:cs="Times New Roman"/>
          <w:bCs/>
        </w:rPr>
        <w:t>en hardnekkig probleem</w:t>
      </w:r>
      <w:r>
        <w:rPr>
          <w:rFonts w:ascii="Times New Roman" w:hAnsi="Times New Roman" w:cs="Times New Roman"/>
          <w:bCs/>
        </w:rPr>
        <w:t xml:space="preserve"> is</w:t>
      </w:r>
      <w:r w:rsidRPr="00C94FD8">
        <w:rPr>
          <w:rFonts w:ascii="Times New Roman" w:hAnsi="Times New Roman" w:cs="Times New Roman"/>
          <w:bCs/>
        </w:rPr>
        <w:t>. Welke pilots zou de minister graag willen zien om dit rechtvaardiger in te richten? Hoe kijkt de minister naar een pilot met gewogen loting met groepen die rondom de ‘zaaglijn’ vallen?</w:t>
      </w:r>
    </w:p>
    <w:p w:rsidRPr="00C94FD8" w:rsidR="00D952DB" w:rsidP="00D952DB" w:rsidRDefault="00D952DB" w14:paraId="7E267B0B" w14:textId="77777777">
      <w:pPr>
        <w:pStyle w:val="Default"/>
        <w:spacing w:line="276" w:lineRule="auto"/>
        <w:rPr>
          <w:rFonts w:ascii="Times New Roman" w:hAnsi="Times New Roman" w:cs="Times New Roman"/>
          <w:bCs/>
        </w:rPr>
      </w:pPr>
      <w:r w:rsidRPr="00C94FD8">
        <w:rPr>
          <w:rFonts w:ascii="Times New Roman" w:hAnsi="Times New Roman" w:cs="Times New Roman"/>
          <w:bCs/>
        </w:rPr>
        <w:t>Wat verwacht de minister van de hoeveelheid geld die verschuift binnen de domeinen</w:t>
      </w:r>
      <w:r>
        <w:rPr>
          <w:rFonts w:ascii="Times New Roman" w:hAnsi="Times New Roman" w:cs="Times New Roman"/>
          <w:bCs/>
        </w:rPr>
        <w:t xml:space="preserve"> en</w:t>
      </w:r>
      <w:r w:rsidRPr="00C94FD8">
        <w:rPr>
          <w:rFonts w:ascii="Times New Roman" w:hAnsi="Times New Roman" w:cs="Times New Roman"/>
          <w:bCs/>
        </w:rPr>
        <w:t xml:space="preserve"> in welke richting en in welke domeinen vindt die verschuiving plaats?</w:t>
      </w:r>
    </w:p>
    <w:p w:rsidR="00D952DB" w:rsidP="00D952DB" w:rsidRDefault="00D952DB" w14:paraId="254B4D08" w14:textId="77777777">
      <w:pPr>
        <w:pStyle w:val="Default"/>
        <w:spacing w:line="276" w:lineRule="auto"/>
        <w:rPr>
          <w:rFonts w:ascii="Times New Roman" w:hAnsi="Times New Roman" w:cs="Times New Roman"/>
          <w:bCs/>
        </w:rPr>
      </w:pPr>
    </w:p>
    <w:p w:rsidRPr="00C94FD8" w:rsidR="00D952DB" w:rsidP="00D952DB" w:rsidRDefault="00D952DB" w14:paraId="54D70572" w14:textId="77777777">
      <w:pPr>
        <w:pStyle w:val="Default"/>
        <w:spacing w:line="276" w:lineRule="auto"/>
        <w:rPr>
          <w:rFonts w:ascii="Times New Roman" w:hAnsi="Times New Roman" w:cs="Times New Roman"/>
          <w:bCs/>
        </w:rPr>
      </w:pPr>
      <w:r w:rsidRPr="00C94FD8">
        <w:rPr>
          <w:rFonts w:ascii="Times New Roman" w:hAnsi="Times New Roman" w:cs="Times New Roman"/>
          <w:bCs/>
        </w:rPr>
        <w:t>De</w:t>
      </w:r>
      <w:r>
        <w:rPr>
          <w:rFonts w:ascii="Times New Roman" w:hAnsi="Times New Roman" w:cs="Times New Roman"/>
          <w:bCs/>
        </w:rPr>
        <w:t xml:space="preserve"> leden van de NSC-fractie constateren dat</w:t>
      </w:r>
      <w:r w:rsidRPr="00C94FD8">
        <w:rPr>
          <w:rFonts w:ascii="Times New Roman" w:hAnsi="Times New Roman" w:cs="Times New Roman"/>
          <w:bCs/>
        </w:rPr>
        <w:t xml:space="preserve"> talentenprogramma’s niet de enige </w:t>
      </w:r>
      <w:r>
        <w:rPr>
          <w:rFonts w:ascii="Times New Roman" w:hAnsi="Times New Roman" w:cs="Times New Roman"/>
          <w:bCs/>
        </w:rPr>
        <w:t xml:space="preserve">zijn </w:t>
      </w:r>
      <w:r w:rsidRPr="00C94FD8">
        <w:rPr>
          <w:rFonts w:ascii="Times New Roman" w:hAnsi="Times New Roman" w:cs="Times New Roman"/>
          <w:bCs/>
        </w:rPr>
        <w:t>waar een verdeling binnen domeinen plaatsvindt. Ook bij de sectorplannen wordt een verdeling gehanteerd. Bij startersbeurzen zat een grondslag voor de jonge universiteiten. In de medische wetenschap vond een sterke groei plaats van het aantal promotieplaatsen en de bijbehorende premies. Hoe past de verdeling tussen de domeinen in de pilot in de context van de verschuiving die andere instrumenten realiseren? Op welke manier blijft het gehele stelsel in balans en voorziet in redelijke verdeling van de financiering? Op welke wijze worden eventuele toekomstige financieringsbronnen, bijvoorbeeld uit defensiegelden, meegenomen in het palet? Is het niet verstandiger om ook bij de open competitie en de talentenprogramma’s strategischer beslissingen te maken met betrekking tot de verdeling tussen domeinen in plaats van het aan het aantal aanvragen te laten afhangen met mogelijk negatieve prikkels tot gevolg?</w:t>
      </w:r>
    </w:p>
    <w:p w:rsidR="00D952DB" w:rsidP="00D952DB" w:rsidRDefault="00D952DB" w14:paraId="57F8C293" w14:textId="77777777">
      <w:pPr>
        <w:pStyle w:val="Default"/>
        <w:spacing w:line="276" w:lineRule="auto"/>
        <w:rPr>
          <w:rFonts w:ascii="Times New Roman" w:hAnsi="Times New Roman" w:cs="Times New Roman"/>
          <w:bCs/>
        </w:rPr>
      </w:pPr>
    </w:p>
    <w:p w:rsidR="00D952DB" w:rsidP="00D952DB" w:rsidRDefault="00D952DB" w14:paraId="7D4D6B46" w14:textId="33F724FD">
      <w:pPr>
        <w:pStyle w:val="Default"/>
        <w:spacing w:line="276" w:lineRule="auto"/>
        <w:rPr>
          <w:rFonts w:ascii="Times New Roman" w:hAnsi="Times New Roman" w:cs="Times New Roman"/>
          <w:bCs/>
        </w:rPr>
      </w:pPr>
      <w:r w:rsidRPr="00C94FD8">
        <w:rPr>
          <w:rFonts w:ascii="Times New Roman" w:hAnsi="Times New Roman" w:cs="Times New Roman"/>
          <w:bCs/>
        </w:rPr>
        <w:t>De leden</w:t>
      </w:r>
      <w:r>
        <w:rPr>
          <w:rFonts w:ascii="Times New Roman" w:hAnsi="Times New Roman" w:cs="Times New Roman"/>
          <w:bCs/>
        </w:rPr>
        <w:t xml:space="preserve"> van de NSC-fractie</w:t>
      </w:r>
      <w:r w:rsidRPr="00C94FD8">
        <w:rPr>
          <w:rFonts w:ascii="Times New Roman" w:hAnsi="Times New Roman" w:cs="Times New Roman"/>
          <w:bCs/>
        </w:rPr>
        <w:t xml:space="preserve"> vinden het belangrijk dat de resultaten van de pilot en de evaluatie hiervan worden afgewacht alvorens deze om te zetten naar beleid. Op deze manier kan voortijdig worden bepaald wat de impact ervan is op het stelsel en of het al dan niet tot suboptimale uitkomsten leidt, zoals ook de </w:t>
      </w:r>
      <w:r>
        <w:rPr>
          <w:rFonts w:ascii="Times New Roman" w:hAnsi="Times New Roman" w:cs="Times New Roman"/>
          <w:bCs/>
        </w:rPr>
        <w:t>m</w:t>
      </w:r>
      <w:r w:rsidRPr="00C94FD8">
        <w:rPr>
          <w:rFonts w:ascii="Times New Roman" w:hAnsi="Times New Roman" w:cs="Times New Roman"/>
          <w:bCs/>
        </w:rPr>
        <w:t>inister erkent. Maar ook hier is het de</w:t>
      </w:r>
      <w:r>
        <w:rPr>
          <w:rFonts w:ascii="Times New Roman" w:hAnsi="Times New Roman" w:cs="Times New Roman"/>
          <w:bCs/>
        </w:rPr>
        <w:t>ze</w:t>
      </w:r>
      <w:r w:rsidRPr="00C94FD8">
        <w:rPr>
          <w:rFonts w:ascii="Times New Roman" w:hAnsi="Times New Roman" w:cs="Times New Roman"/>
          <w:bCs/>
        </w:rPr>
        <w:t xml:space="preserve"> leden niet volledig duidelijk met het oog op welke criteria de </w:t>
      </w:r>
      <w:r>
        <w:rPr>
          <w:rFonts w:ascii="Times New Roman" w:hAnsi="Times New Roman" w:cs="Times New Roman"/>
          <w:bCs/>
        </w:rPr>
        <w:t>m</w:t>
      </w:r>
      <w:r w:rsidRPr="00C94FD8">
        <w:rPr>
          <w:rFonts w:ascii="Times New Roman" w:hAnsi="Times New Roman" w:cs="Times New Roman"/>
          <w:bCs/>
        </w:rPr>
        <w:t xml:space="preserve">inister de uitkomst van de pilot van </w:t>
      </w:r>
      <w:r w:rsidRPr="00C94FD8">
        <w:rPr>
          <w:rFonts w:ascii="Times New Roman" w:hAnsi="Times New Roman" w:cs="Times New Roman"/>
          <w:bCs/>
        </w:rPr>
        <w:lastRenderedPageBreak/>
        <w:t xml:space="preserve">plan is te beoordelen. Kan de minister toezeggen dat deze pilot ook desnoods stop wordt gezet tijdens deze evaluatie? Waar denkt de </w:t>
      </w:r>
      <w:r>
        <w:rPr>
          <w:rFonts w:ascii="Times New Roman" w:hAnsi="Times New Roman" w:cs="Times New Roman"/>
          <w:bCs/>
        </w:rPr>
        <w:t>m</w:t>
      </w:r>
      <w:r w:rsidRPr="00C94FD8">
        <w:rPr>
          <w:rFonts w:ascii="Times New Roman" w:hAnsi="Times New Roman" w:cs="Times New Roman"/>
          <w:bCs/>
        </w:rPr>
        <w:t xml:space="preserve">inister aan als hij het heeft over </w:t>
      </w:r>
      <w:r>
        <w:rPr>
          <w:rFonts w:ascii="Times New Roman" w:hAnsi="Times New Roman" w:cs="Times New Roman"/>
          <w:bCs/>
        </w:rPr>
        <w:t>‘</w:t>
      </w:r>
      <w:r w:rsidRPr="00C94FD8">
        <w:rPr>
          <w:rFonts w:ascii="Times New Roman" w:hAnsi="Times New Roman" w:cs="Times New Roman"/>
          <w:bCs/>
        </w:rPr>
        <w:t>suboptimale uitkomsten</w:t>
      </w:r>
      <w:r>
        <w:rPr>
          <w:rFonts w:ascii="Times New Roman" w:hAnsi="Times New Roman" w:cs="Times New Roman"/>
          <w:bCs/>
        </w:rPr>
        <w:t xml:space="preserve">’ </w:t>
      </w:r>
      <w:r w:rsidRPr="00C94FD8">
        <w:rPr>
          <w:rFonts w:ascii="Times New Roman" w:hAnsi="Times New Roman" w:cs="Times New Roman"/>
          <w:bCs/>
        </w:rPr>
        <w:t>en welke resultaten zou hij daarentegen als optimaal of positief beoordelen?</w:t>
      </w:r>
    </w:p>
    <w:p w:rsidR="00D952DB" w:rsidP="00D952DB" w:rsidRDefault="00D952DB" w14:paraId="1E194F86" w14:textId="77777777">
      <w:pPr>
        <w:pStyle w:val="Default"/>
        <w:spacing w:line="276" w:lineRule="auto"/>
        <w:rPr>
          <w:rFonts w:ascii="Times New Roman" w:hAnsi="Times New Roman" w:cs="Times New Roman"/>
          <w:bCs/>
        </w:rPr>
      </w:pPr>
    </w:p>
    <w:p w:rsidR="00D952DB" w:rsidP="00D952DB" w:rsidRDefault="00D952DB" w14:paraId="4C0C7B28" w14:textId="77777777">
      <w:pPr>
        <w:pStyle w:val="Default"/>
        <w:spacing w:line="276" w:lineRule="auto"/>
        <w:rPr>
          <w:rFonts w:ascii="Times New Roman" w:hAnsi="Times New Roman" w:cs="Times New Roman"/>
          <w:bCs/>
        </w:rPr>
      </w:pPr>
      <w:r w:rsidRPr="001E25B7">
        <w:rPr>
          <w:rFonts w:ascii="Times New Roman" w:hAnsi="Times New Roman" w:cs="Times New Roman"/>
          <w:b/>
        </w:rPr>
        <w:t xml:space="preserve">Inbreng </w:t>
      </w:r>
      <w:r>
        <w:rPr>
          <w:rFonts w:ascii="Times New Roman" w:hAnsi="Times New Roman" w:cs="Times New Roman"/>
          <w:b/>
        </w:rPr>
        <w:t xml:space="preserve">van de leden van de </w:t>
      </w:r>
      <w:r w:rsidRPr="001E25B7">
        <w:rPr>
          <w:rFonts w:ascii="Times New Roman" w:hAnsi="Times New Roman" w:cs="Times New Roman"/>
          <w:b/>
        </w:rPr>
        <w:t>D66-fractie</w:t>
      </w:r>
      <w:r w:rsidRPr="001E25B7">
        <w:rPr>
          <w:rFonts w:ascii="Times New Roman" w:hAnsi="Times New Roman" w:cs="Times New Roman"/>
          <w:bCs/>
        </w:rPr>
        <w:t xml:space="preserve"> </w:t>
      </w:r>
    </w:p>
    <w:p w:rsidR="00D952DB" w:rsidP="00D952DB" w:rsidRDefault="00D952DB" w14:paraId="15DD7F35" w14:textId="77777777">
      <w:pPr>
        <w:pStyle w:val="Default"/>
        <w:spacing w:line="276" w:lineRule="auto"/>
        <w:rPr>
          <w:rFonts w:ascii="Times New Roman" w:hAnsi="Times New Roman" w:cs="Times New Roman"/>
          <w:bCs/>
        </w:rPr>
      </w:pPr>
      <w:r w:rsidRPr="001E25B7">
        <w:rPr>
          <w:rFonts w:ascii="Times New Roman" w:hAnsi="Times New Roman" w:cs="Times New Roman"/>
          <w:bCs/>
        </w:rPr>
        <w:t>De leden van de D66-fractie hebben met interesse kennisgenomen van het voornemen van NWO om te experimenteren met een deel van hun beurstoekenning. De</w:t>
      </w:r>
      <w:r>
        <w:rPr>
          <w:rFonts w:ascii="Times New Roman" w:hAnsi="Times New Roman" w:cs="Times New Roman"/>
          <w:bCs/>
        </w:rPr>
        <w:t>ze</w:t>
      </w:r>
      <w:r w:rsidRPr="001E25B7">
        <w:rPr>
          <w:rFonts w:ascii="Times New Roman" w:hAnsi="Times New Roman" w:cs="Times New Roman"/>
          <w:bCs/>
        </w:rPr>
        <w:t xml:space="preserve"> leden vinden animo voor en kwaliteit van onderzoek logische factoren voor toekenning van een beurs. </w:t>
      </w:r>
      <w:r>
        <w:rPr>
          <w:rFonts w:ascii="Times New Roman" w:hAnsi="Times New Roman" w:cs="Times New Roman"/>
          <w:bCs/>
        </w:rPr>
        <w:t>Zij</w:t>
      </w:r>
      <w:r w:rsidRPr="001E25B7">
        <w:rPr>
          <w:rFonts w:ascii="Times New Roman" w:hAnsi="Times New Roman" w:cs="Times New Roman"/>
          <w:bCs/>
        </w:rPr>
        <w:t xml:space="preserve"> zijn benieuwd hoe het experiment gaat uitpakken. </w:t>
      </w:r>
    </w:p>
    <w:p w:rsidR="00D952DB" w:rsidP="00D952DB" w:rsidRDefault="00D952DB" w14:paraId="6D65C747" w14:textId="77777777">
      <w:pPr>
        <w:pStyle w:val="Default"/>
        <w:spacing w:line="276" w:lineRule="auto"/>
        <w:rPr>
          <w:rFonts w:ascii="Times New Roman" w:hAnsi="Times New Roman" w:cs="Times New Roman"/>
          <w:bCs/>
        </w:rPr>
      </w:pPr>
    </w:p>
    <w:p w:rsidR="00D952DB" w:rsidP="00D952DB" w:rsidRDefault="00D952DB" w14:paraId="749AE361" w14:textId="77777777">
      <w:pPr>
        <w:pStyle w:val="Default"/>
        <w:spacing w:line="276" w:lineRule="auto"/>
        <w:rPr>
          <w:rFonts w:ascii="Times New Roman" w:hAnsi="Times New Roman" w:cs="Times New Roman"/>
          <w:bCs/>
        </w:rPr>
      </w:pPr>
      <w:r w:rsidRPr="001E25B7">
        <w:rPr>
          <w:rFonts w:ascii="Times New Roman" w:hAnsi="Times New Roman" w:cs="Times New Roman"/>
          <w:bCs/>
        </w:rPr>
        <w:t>De leden</w:t>
      </w:r>
      <w:r>
        <w:rPr>
          <w:rFonts w:ascii="Times New Roman" w:hAnsi="Times New Roman" w:cs="Times New Roman"/>
          <w:bCs/>
        </w:rPr>
        <w:t xml:space="preserve"> van de D66-fractie</w:t>
      </w:r>
      <w:r w:rsidRPr="001E25B7">
        <w:rPr>
          <w:rFonts w:ascii="Times New Roman" w:hAnsi="Times New Roman" w:cs="Times New Roman"/>
          <w:bCs/>
        </w:rPr>
        <w:t xml:space="preserve"> vragen de minister wanneer en hoe hij dit experiment gaat evalueren en wanneer hij voornemens is de </w:t>
      </w:r>
      <w:r>
        <w:rPr>
          <w:rFonts w:ascii="Times New Roman" w:hAnsi="Times New Roman" w:cs="Times New Roman"/>
          <w:bCs/>
        </w:rPr>
        <w:t>K</w:t>
      </w:r>
      <w:r w:rsidRPr="001E25B7">
        <w:rPr>
          <w:rFonts w:ascii="Times New Roman" w:hAnsi="Times New Roman" w:cs="Times New Roman"/>
          <w:bCs/>
        </w:rPr>
        <w:t>amer hierover te informeren. De</w:t>
      </w:r>
      <w:r>
        <w:rPr>
          <w:rFonts w:ascii="Times New Roman" w:hAnsi="Times New Roman" w:cs="Times New Roman"/>
          <w:bCs/>
        </w:rPr>
        <w:t>ze</w:t>
      </w:r>
      <w:r w:rsidRPr="001E25B7">
        <w:rPr>
          <w:rFonts w:ascii="Times New Roman" w:hAnsi="Times New Roman" w:cs="Times New Roman"/>
          <w:bCs/>
        </w:rPr>
        <w:t xml:space="preserve"> leden vragen wat voor effect de minister verwacht voor gebieden die normaal een laag</w:t>
      </w:r>
      <w:r>
        <w:rPr>
          <w:rFonts w:ascii="Times New Roman" w:hAnsi="Times New Roman" w:cs="Times New Roman"/>
          <w:bCs/>
        </w:rPr>
        <w:t xml:space="preserve"> </w:t>
      </w:r>
      <w:r w:rsidRPr="001E25B7">
        <w:rPr>
          <w:rFonts w:ascii="Times New Roman" w:hAnsi="Times New Roman" w:cs="Times New Roman"/>
          <w:bCs/>
        </w:rPr>
        <w:t xml:space="preserve">honoreringspercentage hebben. Is de minister bereid de verandering in honoreringspercentages van deze onderzoeksgebieden te monitoren? </w:t>
      </w:r>
    </w:p>
    <w:p w:rsidR="00D952DB" w:rsidP="00D952DB" w:rsidRDefault="00D952DB" w14:paraId="7511F25A" w14:textId="77777777">
      <w:pPr>
        <w:pStyle w:val="Default"/>
        <w:spacing w:line="276" w:lineRule="auto"/>
        <w:rPr>
          <w:rFonts w:ascii="Times New Roman" w:hAnsi="Times New Roman" w:cs="Times New Roman"/>
          <w:bCs/>
        </w:rPr>
      </w:pPr>
    </w:p>
    <w:p w:rsidR="00D952DB" w:rsidP="00D952DB" w:rsidRDefault="00D952DB" w14:paraId="4C8B591C" w14:textId="77777777">
      <w:pPr>
        <w:pStyle w:val="Default"/>
        <w:spacing w:line="276" w:lineRule="auto"/>
        <w:rPr>
          <w:rFonts w:ascii="Times New Roman" w:hAnsi="Times New Roman" w:cs="Times New Roman"/>
          <w:bCs/>
        </w:rPr>
      </w:pPr>
      <w:r w:rsidRPr="001E25B7">
        <w:rPr>
          <w:rFonts w:ascii="Times New Roman" w:hAnsi="Times New Roman" w:cs="Times New Roman"/>
          <w:bCs/>
        </w:rPr>
        <w:t xml:space="preserve">Daarnaast vinden </w:t>
      </w:r>
      <w:r>
        <w:rPr>
          <w:rFonts w:ascii="Times New Roman" w:hAnsi="Times New Roman" w:cs="Times New Roman"/>
          <w:bCs/>
        </w:rPr>
        <w:t>de leden van de D66-fractie</w:t>
      </w:r>
      <w:r w:rsidRPr="001E25B7">
        <w:rPr>
          <w:rFonts w:ascii="Times New Roman" w:hAnsi="Times New Roman" w:cs="Times New Roman"/>
          <w:bCs/>
        </w:rPr>
        <w:t xml:space="preserve"> het belangrijk dat NWO de aanvraagdruk voor beurzen zoveel mogelijk beperkt. De</w:t>
      </w:r>
      <w:r>
        <w:rPr>
          <w:rFonts w:ascii="Times New Roman" w:hAnsi="Times New Roman" w:cs="Times New Roman"/>
          <w:bCs/>
        </w:rPr>
        <w:t>ze</w:t>
      </w:r>
      <w:r w:rsidRPr="001E25B7">
        <w:rPr>
          <w:rFonts w:ascii="Times New Roman" w:hAnsi="Times New Roman" w:cs="Times New Roman"/>
          <w:bCs/>
        </w:rPr>
        <w:t xml:space="preserve"> leden vragen de minister wat voor effect hij naar aanleiding van dit experiment verwacht voor de aanvraagdruk en of hij bereid is dit te monitoren. Daarnaast vragen </w:t>
      </w:r>
      <w:r>
        <w:rPr>
          <w:rFonts w:ascii="Times New Roman" w:hAnsi="Times New Roman" w:cs="Times New Roman"/>
          <w:bCs/>
        </w:rPr>
        <w:t>zij</w:t>
      </w:r>
      <w:r w:rsidRPr="001E25B7">
        <w:rPr>
          <w:rFonts w:ascii="Times New Roman" w:hAnsi="Times New Roman" w:cs="Times New Roman"/>
          <w:bCs/>
        </w:rPr>
        <w:t xml:space="preserve"> de minister wat hij het aankomende jaar in algemene zin gaat doen om de aanvraagdruk voor onderzoekers te verlagen.</w:t>
      </w:r>
    </w:p>
    <w:p w:rsidRPr="001E25B7" w:rsidR="00D952DB" w:rsidP="00D952DB" w:rsidRDefault="00D952DB" w14:paraId="18E66F1A" w14:textId="77777777">
      <w:pPr>
        <w:pStyle w:val="Default"/>
        <w:spacing w:line="276" w:lineRule="auto"/>
        <w:rPr>
          <w:rFonts w:ascii="Times New Roman" w:hAnsi="Times New Roman" w:cs="Times New Roman"/>
          <w:bCs/>
        </w:rPr>
      </w:pPr>
    </w:p>
    <w:p w:rsidR="00D952DB" w:rsidP="00D952DB" w:rsidRDefault="00D952DB" w14:paraId="5B40E972" w14:textId="77777777">
      <w:pPr>
        <w:pStyle w:val="Default"/>
        <w:spacing w:line="276" w:lineRule="auto"/>
        <w:rPr>
          <w:rFonts w:ascii="Times New Roman" w:hAnsi="Times New Roman" w:cs="Times New Roman"/>
          <w:bCs/>
        </w:rPr>
      </w:pPr>
      <w:r w:rsidRPr="001E25B7">
        <w:rPr>
          <w:rFonts w:ascii="Times New Roman" w:hAnsi="Times New Roman" w:cs="Times New Roman"/>
          <w:bCs/>
        </w:rPr>
        <w:t>De leden van de D66-fractie lezen in de toelichting bij de subsidiebezuinigingen dat de minister verwacht dat zijn bezuinigingen negatieve impact zullen hebben op het behalen van de doelen van zijn wetenschapsbeleid. Daarnaast lezen de</w:t>
      </w:r>
      <w:r>
        <w:rPr>
          <w:rFonts w:ascii="Times New Roman" w:hAnsi="Times New Roman" w:cs="Times New Roman"/>
          <w:bCs/>
        </w:rPr>
        <w:t>ze</w:t>
      </w:r>
      <w:r w:rsidRPr="001E25B7">
        <w:rPr>
          <w:rFonts w:ascii="Times New Roman" w:hAnsi="Times New Roman" w:cs="Times New Roman"/>
          <w:bCs/>
        </w:rPr>
        <w:t xml:space="preserve"> leden dat de minister in de begeleidende brief bij het NWO-rapport stelt dat hij aandacht voor </w:t>
      </w:r>
      <w:proofErr w:type="spellStart"/>
      <w:r w:rsidRPr="001E25B7">
        <w:rPr>
          <w:rFonts w:ascii="Times New Roman" w:hAnsi="Times New Roman" w:cs="Times New Roman"/>
          <w:bCs/>
        </w:rPr>
        <w:t>domeinoverstijgend</w:t>
      </w:r>
      <w:proofErr w:type="spellEnd"/>
      <w:r w:rsidRPr="001E25B7">
        <w:rPr>
          <w:rFonts w:ascii="Times New Roman" w:hAnsi="Times New Roman" w:cs="Times New Roman"/>
          <w:bCs/>
        </w:rPr>
        <w:t xml:space="preserve"> onderzoek belangrijk vindt. </w:t>
      </w:r>
      <w:r>
        <w:rPr>
          <w:rFonts w:ascii="Times New Roman" w:hAnsi="Times New Roman" w:cs="Times New Roman"/>
          <w:bCs/>
        </w:rPr>
        <w:t>Zij</w:t>
      </w:r>
      <w:r w:rsidRPr="001E25B7">
        <w:rPr>
          <w:rFonts w:ascii="Times New Roman" w:hAnsi="Times New Roman" w:cs="Times New Roman"/>
          <w:bCs/>
        </w:rPr>
        <w:t xml:space="preserve"> vragen de minister of hij verwacht dat zijn beleid in brede zin zal leiden tot meer of minder </w:t>
      </w:r>
      <w:proofErr w:type="spellStart"/>
      <w:r w:rsidRPr="001E25B7">
        <w:rPr>
          <w:rFonts w:ascii="Times New Roman" w:hAnsi="Times New Roman" w:cs="Times New Roman"/>
          <w:bCs/>
        </w:rPr>
        <w:t>domeinoverstijgend</w:t>
      </w:r>
      <w:proofErr w:type="spellEnd"/>
      <w:r w:rsidRPr="001E25B7">
        <w:rPr>
          <w:rFonts w:ascii="Times New Roman" w:hAnsi="Times New Roman" w:cs="Times New Roman"/>
          <w:bCs/>
        </w:rPr>
        <w:t xml:space="preserve"> onderzoek. Het Rathenau instituut benadrukt in het rapport het belang van stabiele budgetverdeling met een lange tijdshorizon. De leden </w:t>
      </w:r>
      <w:r>
        <w:rPr>
          <w:rFonts w:ascii="Times New Roman" w:hAnsi="Times New Roman" w:cs="Times New Roman"/>
          <w:bCs/>
        </w:rPr>
        <w:t xml:space="preserve">van de D66-fractie </w:t>
      </w:r>
      <w:r w:rsidRPr="001E25B7">
        <w:rPr>
          <w:rFonts w:ascii="Times New Roman" w:hAnsi="Times New Roman" w:cs="Times New Roman"/>
          <w:bCs/>
        </w:rPr>
        <w:t xml:space="preserve">vragen de minister wat volgens hem het effect is van het nieuwe regeerakkoord op de stabiliteit van budgetverdelingen en </w:t>
      </w:r>
      <w:proofErr w:type="spellStart"/>
      <w:r w:rsidRPr="001E25B7">
        <w:rPr>
          <w:rFonts w:ascii="Times New Roman" w:hAnsi="Times New Roman" w:cs="Times New Roman"/>
          <w:bCs/>
        </w:rPr>
        <w:t>onderzoeksbekostiging</w:t>
      </w:r>
      <w:proofErr w:type="spellEnd"/>
      <w:r w:rsidRPr="001E25B7">
        <w:rPr>
          <w:rFonts w:ascii="Times New Roman" w:hAnsi="Times New Roman" w:cs="Times New Roman"/>
          <w:bCs/>
        </w:rPr>
        <w:t>.</w:t>
      </w:r>
    </w:p>
    <w:p w:rsidRPr="001E25B7" w:rsidR="00D952DB" w:rsidP="00D952DB" w:rsidRDefault="00D952DB" w14:paraId="6448B2AC" w14:textId="77777777">
      <w:pPr>
        <w:pStyle w:val="Default"/>
        <w:spacing w:line="276" w:lineRule="auto"/>
        <w:rPr>
          <w:rFonts w:ascii="Times New Roman" w:hAnsi="Times New Roman" w:cs="Times New Roman"/>
          <w:bCs/>
        </w:rPr>
      </w:pPr>
    </w:p>
    <w:p w:rsidRPr="001E25B7" w:rsidR="00D952DB" w:rsidP="00D952DB" w:rsidRDefault="00D952DB" w14:paraId="53FB5EC7" w14:textId="77777777">
      <w:pPr>
        <w:pStyle w:val="Default"/>
        <w:spacing w:line="276" w:lineRule="auto"/>
        <w:rPr>
          <w:rFonts w:ascii="Times New Roman" w:hAnsi="Times New Roman" w:cs="Times New Roman"/>
          <w:bCs/>
        </w:rPr>
      </w:pPr>
      <w:r w:rsidRPr="001E25B7">
        <w:rPr>
          <w:rFonts w:ascii="Times New Roman" w:hAnsi="Times New Roman" w:cs="Times New Roman"/>
          <w:bCs/>
        </w:rPr>
        <w:t xml:space="preserve">De </w:t>
      </w:r>
      <w:r>
        <w:rPr>
          <w:rFonts w:ascii="Times New Roman" w:hAnsi="Times New Roman" w:cs="Times New Roman"/>
          <w:bCs/>
        </w:rPr>
        <w:t xml:space="preserve">leden van de D66-fractie lezen dat de </w:t>
      </w:r>
      <w:r w:rsidRPr="001E25B7">
        <w:rPr>
          <w:rFonts w:ascii="Times New Roman" w:hAnsi="Times New Roman" w:cs="Times New Roman"/>
          <w:bCs/>
        </w:rPr>
        <w:t xml:space="preserve">minister </w:t>
      </w:r>
      <w:r>
        <w:rPr>
          <w:rFonts w:ascii="Times New Roman" w:hAnsi="Times New Roman" w:cs="Times New Roman"/>
          <w:bCs/>
        </w:rPr>
        <w:t>aangeeft</w:t>
      </w:r>
      <w:r w:rsidRPr="001E25B7">
        <w:rPr>
          <w:rFonts w:ascii="Times New Roman" w:hAnsi="Times New Roman" w:cs="Times New Roman"/>
          <w:bCs/>
        </w:rPr>
        <w:t xml:space="preserve"> dat hij een transparante budgetverdeling over domeinen belangrijk vindt en dat hij het doorvoeren van veranderingen in de budgetverdeling over de domeinen door NWO voorzichtig wil </w:t>
      </w:r>
      <w:r>
        <w:rPr>
          <w:rFonts w:ascii="Times New Roman" w:hAnsi="Times New Roman" w:cs="Times New Roman"/>
          <w:bCs/>
        </w:rPr>
        <w:t>aanpakken</w:t>
      </w:r>
      <w:r w:rsidRPr="001E25B7">
        <w:rPr>
          <w:rFonts w:ascii="Times New Roman" w:hAnsi="Times New Roman" w:cs="Times New Roman"/>
          <w:bCs/>
        </w:rPr>
        <w:t xml:space="preserve"> en de effecten daarvan goed in de gaten zal houden. De</w:t>
      </w:r>
      <w:r>
        <w:rPr>
          <w:rFonts w:ascii="Times New Roman" w:hAnsi="Times New Roman" w:cs="Times New Roman"/>
          <w:bCs/>
        </w:rPr>
        <w:t>ze</w:t>
      </w:r>
      <w:r w:rsidRPr="001E25B7">
        <w:rPr>
          <w:rFonts w:ascii="Times New Roman" w:hAnsi="Times New Roman" w:cs="Times New Roman"/>
          <w:bCs/>
        </w:rPr>
        <w:t xml:space="preserve"> leden moedigen deze wijze van bestuur en beleid ontwikkelen aan. </w:t>
      </w:r>
      <w:r>
        <w:rPr>
          <w:rFonts w:ascii="Times New Roman" w:hAnsi="Times New Roman" w:cs="Times New Roman"/>
          <w:bCs/>
        </w:rPr>
        <w:t>Zij</w:t>
      </w:r>
      <w:r w:rsidRPr="001E25B7">
        <w:rPr>
          <w:rFonts w:ascii="Times New Roman" w:hAnsi="Times New Roman" w:cs="Times New Roman"/>
          <w:bCs/>
        </w:rPr>
        <w:t xml:space="preserve"> verzoeken de minister of hij de budgetverdeling over de domeinen en de effecten van zijn bezuinigingen goed in de gaten </w:t>
      </w:r>
      <w:r>
        <w:rPr>
          <w:rFonts w:ascii="Times New Roman" w:hAnsi="Times New Roman" w:cs="Times New Roman"/>
          <w:bCs/>
        </w:rPr>
        <w:t>wil</w:t>
      </w:r>
      <w:r w:rsidRPr="001E25B7">
        <w:rPr>
          <w:rFonts w:ascii="Times New Roman" w:hAnsi="Times New Roman" w:cs="Times New Roman"/>
          <w:bCs/>
        </w:rPr>
        <w:t xml:space="preserve"> houden, dit te monitoren en nieuwe informatie hierover elk half jaar aan de </w:t>
      </w:r>
      <w:r>
        <w:rPr>
          <w:rFonts w:ascii="Times New Roman" w:hAnsi="Times New Roman" w:cs="Times New Roman"/>
          <w:bCs/>
        </w:rPr>
        <w:t>K</w:t>
      </w:r>
      <w:r w:rsidRPr="001E25B7">
        <w:rPr>
          <w:rFonts w:ascii="Times New Roman" w:hAnsi="Times New Roman" w:cs="Times New Roman"/>
          <w:bCs/>
        </w:rPr>
        <w:t>amer</w:t>
      </w:r>
      <w:r>
        <w:rPr>
          <w:rFonts w:ascii="Times New Roman" w:hAnsi="Times New Roman" w:cs="Times New Roman"/>
          <w:bCs/>
        </w:rPr>
        <w:t xml:space="preserve"> kan toe</w:t>
      </w:r>
      <w:r w:rsidRPr="001E25B7">
        <w:rPr>
          <w:rFonts w:ascii="Times New Roman" w:hAnsi="Times New Roman" w:cs="Times New Roman"/>
          <w:bCs/>
        </w:rPr>
        <w:t>zenden. De leden</w:t>
      </w:r>
      <w:r>
        <w:rPr>
          <w:rFonts w:ascii="Times New Roman" w:hAnsi="Times New Roman" w:cs="Times New Roman"/>
          <w:bCs/>
        </w:rPr>
        <w:t xml:space="preserve"> van de D66-fractie</w:t>
      </w:r>
      <w:r w:rsidRPr="001E25B7">
        <w:rPr>
          <w:rFonts w:ascii="Times New Roman" w:hAnsi="Times New Roman" w:cs="Times New Roman"/>
          <w:bCs/>
        </w:rPr>
        <w:t xml:space="preserve"> vragen de minister op welke manier hij wil zorgen dat onderzoek en onderwijs over de volle breedte mogelijk blijft en hij sommige sectoren niet onevenredig zal raken met zijn bezuinigingen.</w:t>
      </w:r>
    </w:p>
    <w:p w:rsidR="00D952DB" w:rsidP="00D952DB" w:rsidRDefault="00D952DB" w14:paraId="6D6FE084" w14:textId="77777777">
      <w:pPr>
        <w:pStyle w:val="Default"/>
        <w:spacing w:line="276" w:lineRule="auto"/>
        <w:rPr>
          <w:rFonts w:ascii="Times New Roman" w:hAnsi="Times New Roman" w:cs="Times New Roman"/>
          <w:bCs/>
        </w:rPr>
      </w:pPr>
    </w:p>
    <w:p w:rsidR="00D952DB" w:rsidP="00D952DB" w:rsidRDefault="00D952DB" w14:paraId="78051B31" w14:textId="77777777">
      <w:pPr>
        <w:pStyle w:val="Default"/>
        <w:spacing w:line="276" w:lineRule="auto"/>
        <w:rPr>
          <w:rFonts w:ascii="Times New Roman" w:hAnsi="Times New Roman" w:cs="Times New Roman"/>
          <w:bCs/>
        </w:rPr>
      </w:pPr>
      <w:r w:rsidRPr="001E25B7">
        <w:rPr>
          <w:rFonts w:ascii="Times New Roman" w:hAnsi="Times New Roman" w:cs="Times New Roman"/>
          <w:bCs/>
        </w:rPr>
        <w:lastRenderedPageBreak/>
        <w:t>De leden van de D66-fractie vinden het belangrijk dat in elk wetenschapsdomein ruimte is voor wetenschappers en onderzoekers om ongebonden onderzoek te kunnen doen. De wereld heeft innovatie nodig voor de toekomst en daarvoor zijn investeringen in fundamenteel en ongebonden onderzoek nodig, waarvan de toepassing vooraf nog niet vaststaat, stelde recent ook het IMF</w:t>
      </w:r>
      <w:r>
        <w:rPr>
          <w:rFonts w:ascii="Times New Roman" w:hAnsi="Times New Roman" w:cs="Times New Roman"/>
          <w:bCs/>
        </w:rPr>
        <w:t xml:space="preserve"> (</w:t>
      </w:r>
      <w:r w:rsidRPr="006538DF">
        <w:rPr>
          <w:rFonts w:ascii="Times New Roman" w:hAnsi="Times New Roman" w:cs="Times New Roman"/>
          <w:bCs/>
        </w:rPr>
        <w:t>Internationaal Monetair Fonds</w:t>
      </w:r>
      <w:r>
        <w:rPr>
          <w:rFonts w:ascii="Times New Roman" w:hAnsi="Times New Roman" w:cs="Times New Roman"/>
          <w:bCs/>
        </w:rPr>
        <w:t>)</w:t>
      </w:r>
      <w:r>
        <w:rPr>
          <w:rStyle w:val="Voetnootmarkering"/>
          <w:rFonts w:ascii="Times New Roman" w:hAnsi="Times New Roman" w:cs="Times New Roman"/>
          <w:bCs/>
        </w:rPr>
        <w:footnoteReference w:id="2"/>
      </w:r>
      <w:r w:rsidRPr="001E25B7">
        <w:rPr>
          <w:rFonts w:ascii="Times New Roman" w:hAnsi="Times New Roman" w:cs="Times New Roman"/>
          <w:bCs/>
        </w:rPr>
        <w:t>. De</w:t>
      </w:r>
      <w:r>
        <w:rPr>
          <w:rFonts w:ascii="Times New Roman" w:hAnsi="Times New Roman" w:cs="Times New Roman"/>
          <w:bCs/>
        </w:rPr>
        <w:t xml:space="preserve">ze leden </w:t>
      </w:r>
      <w:r w:rsidRPr="001E25B7">
        <w:rPr>
          <w:rFonts w:ascii="Times New Roman" w:hAnsi="Times New Roman" w:cs="Times New Roman"/>
          <w:bCs/>
        </w:rPr>
        <w:t xml:space="preserve">vragen de minister te reflecteren op de waarde van ongebonden onderzoek. In brede zin constateren </w:t>
      </w:r>
      <w:r>
        <w:rPr>
          <w:rFonts w:ascii="Times New Roman" w:hAnsi="Times New Roman" w:cs="Times New Roman"/>
          <w:bCs/>
        </w:rPr>
        <w:t>zij</w:t>
      </w:r>
      <w:r w:rsidRPr="001E25B7">
        <w:rPr>
          <w:rFonts w:ascii="Times New Roman" w:hAnsi="Times New Roman" w:cs="Times New Roman"/>
          <w:bCs/>
        </w:rPr>
        <w:t xml:space="preserve"> dat de </w:t>
      </w:r>
      <w:proofErr w:type="spellStart"/>
      <w:r w:rsidRPr="001E25B7">
        <w:rPr>
          <w:rFonts w:ascii="Times New Roman" w:hAnsi="Times New Roman" w:cs="Times New Roman"/>
          <w:bCs/>
        </w:rPr>
        <w:t>onderzoeksfinanciering</w:t>
      </w:r>
      <w:proofErr w:type="spellEnd"/>
      <w:r w:rsidRPr="001E25B7">
        <w:rPr>
          <w:rFonts w:ascii="Times New Roman" w:hAnsi="Times New Roman" w:cs="Times New Roman"/>
          <w:bCs/>
        </w:rPr>
        <w:t xml:space="preserve"> van NWO inmiddels twee keer als sluitpost is gebruikt om de begroting rond te krijgen</w:t>
      </w:r>
      <w:r>
        <w:rPr>
          <w:rFonts w:ascii="Times New Roman" w:hAnsi="Times New Roman" w:cs="Times New Roman"/>
          <w:bCs/>
        </w:rPr>
        <w:t>;</w:t>
      </w:r>
      <w:r w:rsidRPr="001E25B7">
        <w:rPr>
          <w:rFonts w:ascii="Times New Roman" w:hAnsi="Times New Roman" w:cs="Times New Roman"/>
          <w:bCs/>
        </w:rPr>
        <w:t xml:space="preserve"> de eerste keer bij verschuiving van bezuinigingen naar de starters- en stimuleringsbeurzen en </w:t>
      </w:r>
      <w:r>
        <w:rPr>
          <w:rFonts w:ascii="Times New Roman" w:hAnsi="Times New Roman" w:cs="Times New Roman"/>
          <w:bCs/>
        </w:rPr>
        <w:t xml:space="preserve">de </w:t>
      </w:r>
      <w:r w:rsidRPr="001E25B7">
        <w:rPr>
          <w:rFonts w:ascii="Times New Roman" w:hAnsi="Times New Roman" w:cs="Times New Roman"/>
          <w:bCs/>
        </w:rPr>
        <w:t xml:space="preserve">tweede keer bij de invulling van de subsidietaakstelling. </w:t>
      </w:r>
      <w:r>
        <w:rPr>
          <w:rFonts w:ascii="Times New Roman" w:hAnsi="Times New Roman" w:cs="Times New Roman"/>
          <w:bCs/>
        </w:rPr>
        <w:t>Zij</w:t>
      </w:r>
      <w:r w:rsidRPr="001E25B7">
        <w:rPr>
          <w:rFonts w:ascii="Times New Roman" w:hAnsi="Times New Roman" w:cs="Times New Roman"/>
          <w:bCs/>
        </w:rPr>
        <w:t xml:space="preserve"> vragen de minister of hij voornemens is de </w:t>
      </w:r>
      <w:proofErr w:type="spellStart"/>
      <w:r w:rsidRPr="001E25B7">
        <w:rPr>
          <w:rFonts w:ascii="Times New Roman" w:hAnsi="Times New Roman" w:cs="Times New Roman"/>
          <w:bCs/>
        </w:rPr>
        <w:t>onderzoeksfinanciering</w:t>
      </w:r>
      <w:proofErr w:type="spellEnd"/>
      <w:r w:rsidRPr="001E25B7">
        <w:rPr>
          <w:rFonts w:ascii="Times New Roman" w:hAnsi="Times New Roman" w:cs="Times New Roman"/>
          <w:bCs/>
        </w:rPr>
        <w:t xml:space="preserve"> van NWO de aankomende jaren vaker als sluitpost voor de begroting te gebruiken.</w:t>
      </w:r>
    </w:p>
    <w:p w:rsidRPr="001E25B7" w:rsidR="00D952DB" w:rsidP="00D952DB" w:rsidRDefault="00D952DB" w14:paraId="76F10EB9" w14:textId="77777777">
      <w:pPr>
        <w:pStyle w:val="Default"/>
        <w:spacing w:line="276" w:lineRule="auto"/>
        <w:rPr>
          <w:rFonts w:ascii="Times New Roman" w:hAnsi="Times New Roman" w:cs="Times New Roman"/>
          <w:bCs/>
        </w:rPr>
      </w:pPr>
    </w:p>
    <w:p w:rsidRPr="00C94FD8" w:rsidR="00D952DB" w:rsidP="00D952DB" w:rsidRDefault="00D952DB" w14:paraId="18CECD04" w14:textId="77777777">
      <w:pPr>
        <w:pStyle w:val="Default"/>
        <w:spacing w:line="276" w:lineRule="auto"/>
        <w:rPr>
          <w:rFonts w:ascii="Times New Roman" w:hAnsi="Times New Roman" w:cs="Times New Roman"/>
          <w:bCs/>
        </w:rPr>
      </w:pPr>
      <w:r w:rsidRPr="001E25B7">
        <w:rPr>
          <w:rFonts w:ascii="Times New Roman" w:hAnsi="Times New Roman" w:cs="Times New Roman"/>
          <w:bCs/>
        </w:rPr>
        <w:t>De leden van de D66</w:t>
      </w:r>
      <w:r>
        <w:rPr>
          <w:rFonts w:ascii="Times New Roman" w:hAnsi="Times New Roman" w:cs="Times New Roman"/>
          <w:bCs/>
        </w:rPr>
        <w:t>-</w:t>
      </w:r>
      <w:r w:rsidRPr="001E25B7">
        <w:rPr>
          <w:rFonts w:ascii="Times New Roman" w:hAnsi="Times New Roman" w:cs="Times New Roman"/>
          <w:bCs/>
        </w:rPr>
        <w:t xml:space="preserve">fractie zijn van mening dat kleine en unieke opleidingen in Nederland </w:t>
      </w:r>
      <w:r>
        <w:rPr>
          <w:rFonts w:ascii="Times New Roman" w:hAnsi="Times New Roman" w:cs="Times New Roman"/>
          <w:bCs/>
        </w:rPr>
        <w:t>ge</w:t>
      </w:r>
      <w:r w:rsidRPr="001E25B7">
        <w:rPr>
          <w:rFonts w:ascii="Times New Roman" w:hAnsi="Times New Roman" w:cs="Times New Roman"/>
          <w:bCs/>
        </w:rPr>
        <w:t>koester</w:t>
      </w:r>
      <w:r>
        <w:rPr>
          <w:rFonts w:ascii="Times New Roman" w:hAnsi="Times New Roman" w:cs="Times New Roman"/>
          <w:bCs/>
        </w:rPr>
        <w:t>d moeten worden</w:t>
      </w:r>
      <w:r w:rsidRPr="001E25B7">
        <w:rPr>
          <w:rFonts w:ascii="Times New Roman" w:hAnsi="Times New Roman" w:cs="Times New Roman"/>
          <w:bCs/>
        </w:rPr>
        <w:t>, zoals opleidingen voor bijzondere ambachten of unieke taal- en cultuurstudies. De</w:t>
      </w:r>
      <w:r>
        <w:rPr>
          <w:rFonts w:ascii="Times New Roman" w:hAnsi="Times New Roman" w:cs="Times New Roman"/>
          <w:bCs/>
        </w:rPr>
        <w:t>ze</w:t>
      </w:r>
      <w:r w:rsidRPr="001E25B7">
        <w:rPr>
          <w:rFonts w:ascii="Times New Roman" w:hAnsi="Times New Roman" w:cs="Times New Roman"/>
          <w:bCs/>
        </w:rPr>
        <w:t xml:space="preserve"> leden lezen</w:t>
      </w:r>
      <w:r>
        <w:rPr>
          <w:rFonts w:ascii="Times New Roman" w:hAnsi="Times New Roman" w:cs="Times New Roman"/>
          <w:bCs/>
        </w:rPr>
        <w:t xml:space="preserve"> in het nieuws</w:t>
      </w:r>
      <w:r w:rsidRPr="001E25B7">
        <w:rPr>
          <w:rFonts w:ascii="Times New Roman" w:hAnsi="Times New Roman" w:cs="Times New Roman"/>
          <w:bCs/>
        </w:rPr>
        <w:t xml:space="preserve"> dat</w:t>
      </w:r>
      <w:r>
        <w:rPr>
          <w:rFonts w:ascii="Times New Roman" w:hAnsi="Times New Roman" w:cs="Times New Roman"/>
          <w:bCs/>
        </w:rPr>
        <w:t xml:space="preserve"> bij de Universiteit</w:t>
      </w:r>
      <w:r w:rsidRPr="001E25B7">
        <w:rPr>
          <w:rFonts w:ascii="Times New Roman" w:hAnsi="Times New Roman" w:cs="Times New Roman"/>
          <w:bCs/>
        </w:rPr>
        <w:t xml:space="preserve"> Leiden en </w:t>
      </w:r>
      <w:r>
        <w:rPr>
          <w:rFonts w:ascii="Times New Roman" w:hAnsi="Times New Roman" w:cs="Times New Roman"/>
          <w:bCs/>
        </w:rPr>
        <w:t xml:space="preserve">de Universiteit </w:t>
      </w:r>
      <w:r w:rsidRPr="001E25B7">
        <w:rPr>
          <w:rFonts w:ascii="Times New Roman" w:hAnsi="Times New Roman" w:cs="Times New Roman"/>
          <w:bCs/>
        </w:rPr>
        <w:t>Utrecht talenstudies gaan verdwijnen</w:t>
      </w:r>
      <w:r>
        <w:rPr>
          <w:rFonts w:ascii="Times New Roman" w:hAnsi="Times New Roman" w:cs="Times New Roman"/>
          <w:bCs/>
        </w:rPr>
        <w:t>,</w:t>
      </w:r>
      <w:r w:rsidRPr="001E25B7">
        <w:rPr>
          <w:rFonts w:ascii="Times New Roman" w:hAnsi="Times New Roman" w:cs="Times New Roman"/>
          <w:bCs/>
        </w:rPr>
        <w:t xml:space="preserve"> omdat deze ‘onrendabel’ zouden zijn. </w:t>
      </w:r>
      <w:r>
        <w:rPr>
          <w:rFonts w:ascii="Times New Roman" w:hAnsi="Times New Roman" w:cs="Times New Roman"/>
          <w:bCs/>
        </w:rPr>
        <w:t>Zij</w:t>
      </w:r>
      <w:r w:rsidRPr="001E25B7">
        <w:rPr>
          <w:rFonts w:ascii="Times New Roman" w:hAnsi="Times New Roman" w:cs="Times New Roman"/>
          <w:bCs/>
        </w:rPr>
        <w:t xml:space="preserve"> vragen de minister wat hij vindt van deze ontwikkeling. De leden </w:t>
      </w:r>
      <w:r>
        <w:rPr>
          <w:rFonts w:ascii="Times New Roman" w:hAnsi="Times New Roman" w:cs="Times New Roman"/>
          <w:bCs/>
        </w:rPr>
        <w:t xml:space="preserve">van de D66-fractie </w:t>
      </w:r>
      <w:r w:rsidRPr="001E25B7">
        <w:rPr>
          <w:rFonts w:ascii="Times New Roman" w:hAnsi="Times New Roman" w:cs="Times New Roman"/>
          <w:bCs/>
        </w:rPr>
        <w:t>vragen wat de effecten van het wegbezuinigen van deze studies zullen zijn voor ongebonden onderzoek in deze sectoren. De</w:t>
      </w:r>
      <w:r>
        <w:rPr>
          <w:rFonts w:ascii="Times New Roman" w:hAnsi="Times New Roman" w:cs="Times New Roman"/>
          <w:bCs/>
        </w:rPr>
        <w:t>ze</w:t>
      </w:r>
      <w:r w:rsidRPr="001E25B7">
        <w:rPr>
          <w:rFonts w:ascii="Times New Roman" w:hAnsi="Times New Roman" w:cs="Times New Roman"/>
          <w:bCs/>
        </w:rPr>
        <w:t xml:space="preserve"> leden vragen de minister of hij studies Keltisch, Frans, Duits, Cultuurgeschiedenis, Perzisch of Arabisch beoorde</w:t>
      </w:r>
      <w:r>
        <w:rPr>
          <w:rFonts w:ascii="Times New Roman" w:hAnsi="Times New Roman" w:cs="Times New Roman"/>
          <w:bCs/>
        </w:rPr>
        <w:t>elt</w:t>
      </w:r>
      <w:r w:rsidRPr="001E25B7">
        <w:rPr>
          <w:rFonts w:ascii="Times New Roman" w:hAnsi="Times New Roman" w:cs="Times New Roman"/>
          <w:bCs/>
        </w:rPr>
        <w:t xml:space="preserve"> als ‘onrendabel’. </w:t>
      </w:r>
      <w:r>
        <w:rPr>
          <w:rFonts w:ascii="Times New Roman" w:hAnsi="Times New Roman" w:cs="Times New Roman"/>
          <w:bCs/>
        </w:rPr>
        <w:t>Zij</w:t>
      </w:r>
      <w:r w:rsidRPr="001E25B7">
        <w:rPr>
          <w:rFonts w:ascii="Times New Roman" w:hAnsi="Times New Roman" w:cs="Times New Roman"/>
          <w:bCs/>
        </w:rPr>
        <w:t xml:space="preserve"> vragen de minister wat hij eraan gaat doen om klein en uniek onderzoek en onderwijs in Nederland te koesteren. </w:t>
      </w:r>
    </w:p>
    <w:p w:rsidR="00D952DB" w:rsidP="00680EC5" w:rsidRDefault="00D952DB" w14:paraId="3EA87528" w14:textId="77777777">
      <w:pPr>
        <w:spacing w:line="276" w:lineRule="auto"/>
        <w:rPr>
          <w:b/>
        </w:rPr>
      </w:pPr>
      <w:bookmarkStart w:name="_Hlk187827221" w:id="0"/>
    </w:p>
    <w:p w:rsidRPr="00680EC5" w:rsidR="00D952DB" w:rsidP="00AB3031" w:rsidRDefault="00D952DB" w14:paraId="59DB4BC3" w14:textId="77777777">
      <w:pPr>
        <w:spacing w:line="276" w:lineRule="auto"/>
        <w:rPr>
          <w:b/>
        </w:rPr>
      </w:pPr>
      <w:r w:rsidRPr="00680EC5">
        <w:rPr>
          <w:b/>
        </w:rPr>
        <w:t xml:space="preserve">II Reactie van de </w:t>
      </w:r>
      <w:r>
        <w:rPr>
          <w:b/>
        </w:rPr>
        <w:t xml:space="preserve">minister </w:t>
      </w:r>
      <w:r w:rsidRPr="00680EC5">
        <w:rPr>
          <w:b/>
        </w:rPr>
        <w:t>van Onderwijs, Cultuur en Wetenschap</w:t>
      </w:r>
    </w:p>
    <w:p w:rsidR="00D952DB" w:rsidP="00AB3031" w:rsidRDefault="00D952DB" w14:paraId="2C467E96" w14:textId="77777777">
      <w:pPr>
        <w:spacing w:line="276" w:lineRule="auto"/>
        <w:rPr>
          <w:b/>
        </w:rPr>
      </w:pPr>
    </w:p>
    <w:p w:rsidR="006A1928" w:rsidP="00AB3031" w:rsidRDefault="006A1928" w14:paraId="5FE8A15E" w14:textId="77777777">
      <w:pPr>
        <w:spacing w:line="276" w:lineRule="auto"/>
      </w:pPr>
      <w:r w:rsidRPr="00875204">
        <w:t xml:space="preserve">Met interesse </w:t>
      </w:r>
      <w:r>
        <w:t>heb ik</w:t>
      </w:r>
      <w:r w:rsidRPr="00875204">
        <w:t xml:space="preserve"> kennisgenomen van de vragen van de fracties van uw Kamer. </w:t>
      </w:r>
      <w:r>
        <w:t>Ik</w:t>
      </w:r>
      <w:r w:rsidRPr="00875204">
        <w:t xml:space="preserve"> dank hen voor hun inbreng. De antwoorden houden dezelfde volgorde aan zoals in de inbreng van de fracties.</w:t>
      </w:r>
      <w:r>
        <w:t xml:space="preserve"> </w:t>
      </w:r>
    </w:p>
    <w:p w:rsidR="006A1928" w:rsidP="00AB3031" w:rsidRDefault="006A1928" w14:paraId="22E14A94" w14:textId="77777777">
      <w:pPr>
        <w:spacing w:line="276" w:lineRule="auto"/>
      </w:pPr>
    </w:p>
    <w:p w:rsidR="00AA322E" w:rsidP="00AA322E" w:rsidRDefault="00AA322E" w14:paraId="35E704FF" w14:textId="77777777">
      <w:pPr>
        <w:spacing w:line="276" w:lineRule="auto"/>
        <w:rPr>
          <w:b/>
        </w:rPr>
      </w:pPr>
      <w:r w:rsidRPr="00680EC5">
        <w:rPr>
          <w:b/>
        </w:rPr>
        <w:t>Inbreng van de leden van de GroenLinks-PvdA-fractie</w:t>
      </w:r>
    </w:p>
    <w:p w:rsidRPr="00011406" w:rsidR="00C30D56" w:rsidP="00C30D56" w:rsidRDefault="00C30D56" w14:paraId="071E1F38" w14:textId="1375C75F">
      <w:pPr>
        <w:spacing w:line="276" w:lineRule="auto"/>
      </w:pPr>
      <w:r w:rsidRPr="002A6529">
        <w:rPr>
          <w:i/>
          <w:iCs/>
        </w:rPr>
        <w:t>De Leden van de GroenLinks-PvdA-fractie vragen hoeveel minder onderzoekers financiering krijgen door de bezuinigingen op NWO en wat dat betekent voor de toekomst van deze onderzoekers.</w:t>
      </w:r>
      <w:r w:rsidRPr="00011406">
        <w:t xml:space="preserve"> De OCW-begroting bevat drie beleidsmatige bezuinigingen op NWO: de bezuiniging vanwege de taakstelling op het Fonds voor Onderzoek en Wetenschap, de bezuiniging vanwege de subsidietaakstelling en de bezuiniging vanwege het behoud van de sectorplannen.</w:t>
      </w:r>
      <w:r>
        <w:t xml:space="preserve"> </w:t>
      </w:r>
      <w:r w:rsidRPr="00011406">
        <w:t>De bezuinigingen op NWO als gevolg van de subsidietaakstelling en als gevolg van het behoud van de sectorplannen zal NWO invullen in h</w:t>
      </w:r>
      <w:r w:rsidR="003207D0">
        <w:t>aar</w:t>
      </w:r>
      <w:r w:rsidRPr="00011406">
        <w:t xml:space="preserve"> begroting 2026. Deze begroting wordt uiterlijk op 1 november 2025 aangeleverd bij het ministerie van OCW.</w:t>
      </w:r>
    </w:p>
    <w:p w:rsidRPr="00011406" w:rsidR="00C30D56" w:rsidP="00C30D56" w:rsidRDefault="00C30D56" w14:paraId="29A06E01" w14:textId="218CB42C">
      <w:pPr>
        <w:spacing w:line="276" w:lineRule="auto"/>
      </w:pPr>
      <w:r w:rsidRPr="00011406">
        <w:t>Deze bezuinigingen zullen er</w:t>
      </w:r>
      <w:r>
        <w:t xml:space="preserve"> waarschijnlijk </w:t>
      </w:r>
      <w:r w:rsidRPr="00011406">
        <w:t xml:space="preserve">toe leiden dat er minder </w:t>
      </w:r>
      <w:r w:rsidR="008B3201">
        <w:t>projecten toegekend</w:t>
      </w:r>
      <w:r w:rsidRPr="00011406">
        <w:t xml:space="preserve"> kunnen worden.</w:t>
      </w:r>
      <w:r w:rsidR="00216B64">
        <w:t xml:space="preserve"> Bij een gelijkblijvend aantal aanvragen kan dit de toekomst van onderzoekers onder druk zetten omdat dan hun kans </w:t>
      </w:r>
      <w:r w:rsidR="007C0957">
        <w:t xml:space="preserve">afneemt </w:t>
      </w:r>
      <w:r w:rsidR="00216B64">
        <w:t>om hun onderzoek gefinancierd te krijgen.</w:t>
      </w:r>
      <w:r w:rsidRPr="00011406">
        <w:t xml:space="preserve"> Het </w:t>
      </w:r>
      <w:r w:rsidRPr="00011406">
        <w:lastRenderedPageBreak/>
        <w:t xml:space="preserve">valt op dit moment niet te zeggen om hoeveel </w:t>
      </w:r>
      <w:r w:rsidR="00215E5F">
        <w:t>projecten</w:t>
      </w:r>
      <w:r w:rsidR="00DF4BCE">
        <w:t xml:space="preserve"> en onderzoekers</w:t>
      </w:r>
      <w:r w:rsidRPr="00011406">
        <w:t xml:space="preserve"> dat gaat omdat de invulling van een deel van de bezuiniging door NWO nog niet bekend is. </w:t>
      </w:r>
    </w:p>
    <w:p w:rsidRPr="00011406" w:rsidR="00F845B9" w:rsidP="00AB3031" w:rsidRDefault="00F845B9" w14:paraId="64464979" w14:textId="7592BE24">
      <w:pPr>
        <w:spacing w:line="276" w:lineRule="auto"/>
      </w:pPr>
    </w:p>
    <w:p w:rsidRPr="00011406" w:rsidR="00A0592A" w:rsidP="00AB3031" w:rsidRDefault="009F2C65" w14:paraId="29DAFFE3" w14:textId="173D6667">
      <w:pPr>
        <w:spacing w:line="276" w:lineRule="auto"/>
      </w:pPr>
      <w:r w:rsidRPr="002A6529">
        <w:rPr>
          <w:i/>
          <w:iCs/>
        </w:rPr>
        <w:t>De leden</w:t>
      </w:r>
      <w:r w:rsidRPr="002A6529" w:rsidR="00C46566">
        <w:rPr>
          <w:i/>
          <w:iCs/>
        </w:rPr>
        <w:t xml:space="preserve"> van de GroenLinks-PvdA-fractie</w:t>
      </w:r>
      <w:r w:rsidRPr="002A6529">
        <w:rPr>
          <w:i/>
          <w:iCs/>
        </w:rPr>
        <w:t xml:space="preserve"> vragen</w:t>
      </w:r>
      <w:r w:rsidR="000234AA">
        <w:rPr>
          <w:i/>
          <w:iCs/>
        </w:rPr>
        <w:t xml:space="preserve"> mij</w:t>
      </w:r>
      <w:r w:rsidRPr="002A6529">
        <w:rPr>
          <w:i/>
          <w:iCs/>
        </w:rPr>
        <w:t xml:space="preserve"> of</w:t>
      </w:r>
      <w:r w:rsidRPr="002A6529" w:rsidR="00747323">
        <w:rPr>
          <w:i/>
          <w:iCs/>
        </w:rPr>
        <w:t>,</w:t>
      </w:r>
      <w:r w:rsidRPr="002A6529">
        <w:rPr>
          <w:i/>
          <w:iCs/>
        </w:rPr>
        <w:t xml:space="preserve"> en zo ja</w:t>
      </w:r>
      <w:r w:rsidRPr="002A6529" w:rsidR="00747323">
        <w:rPr>
          <w:i/>
          <w:iCs/>
        </w:rPr>
        <w:t>,</w:t>
      </w:r>
      <w:r w:rsidRPr="002A6529">
        <w:rPr>
          <w:i/>
          <w:iCs/>
        </w:rPr>
        <w:t xml:space="preserve"> in welke vorm in de toekomst nog budget te verdelen valt voor serieus </w:t>
      </w:r>
      <w:proofErr w:type="spellStart"/>
      <w:r w:rsidRPr="002A6529">
        <w:rPr>
          <w:i/>
          <w:iCs/>
        </w:rPr>
        <w:t>nieuwsgierigheidsgedreven</w:t>
      </w:r>
      <w:proofErr w:type="spellEnd"/>
      <w:r w:rsidRPr="002A6529">
        <w:rPr>
          <w:i/>
          <w:iCs/>
        </w:rPr>
        <w:t xml:space="preserve"> onderzoek.</w:t>
      </w:r>
      <w:r w:rsidRPr="00011406" w:rsidR="003F6A5C">
        <w:t xml:space="preserve"> </w:t>
      </w:r>
      <w:r w:rsidRPr="00011406" w:rsidR="002008E8">
        <w:t>Een belangrijk deel van het geld voor ongebonden onderzoek wordt verdeeld via de Open Competitie en het Talentprogramma van NWO. Deze programma’s blijven bestaan</w:t>
      </w:r>
      <w:r w:rsidRPr="00011406" w:rsidR="00C56F54">
        <w:t xml:space="preserve"> en zijn </w:t>
      </w:r>
      <w:r w:rsidRPr="00011406" w:rsidR="00F12840">
        <w:t>in omvang gegroeid</w:t>
      </w:r>
      <w:r w:rsidRPr="00011406" w:rsidR="00C56F54">
        <w:t>.</w:t>
      </w:r>
      <w:r w:rsidRPr="00011406" w:rsidR="002008E8">
        <w:t xml:space="preserve"> </w:t>
      </w:r>
      <w:r w:rsidRPr="00011406" w:rsidR="00A0592A">
        <w:rPr>
          <w:rStyle w:val="cf01"/>
          <w:rFonts w:ascii="Times New Roman" w:hAnsi="Times New Roman" w:cs="Times New Roman"/>
          <w:sz w:val="24"/>
          <w:szCs w:val="24"/>
        </w:rPr>
        <w:t>In de afgelopen jaren heeft NWO het budget voor het Talentprogramma</w:t>
      </w:r>
      <w:r w:rsidRPr="00011406" w:rsidR="00F92587">
        <w:rPr>
          <w:rStyle w:val="cf01"/>
          <w:rFonts w:ascii="Times New Roman" w:hAnsi="Times New Roman" w:cs="Times New Roman"/>
          <w:sz w:val="24"/>
          <w:szCs w:val="24"/>
        </w:rPr>
        <w:t xml:space="preserve"> </w:t>
      </w:r>
      <w:proofErr w:type="spellStart"/>
      <w:r w:rsidRPr="00011406" w:rsidR="00F92587">
        <w:rPr>
          <w:rStyle w:val="cf01"/>
          <w:rFonts w:ascii="Times New Roman" w:hAnsi="Times New Roman" w:cs="Times New Roman"/>
          <w:sz w:val="24"/>
          <w:szCs w:val="24"/>
        </w:rPr>
        <w:t>Veni</w:t>
      </w:r>
      <w:proofErr w:type="spellEnd"/>
      <w:r w:rsidRPr="00011406" w:rsidR="00F92587">
        <w:rPr>
          <w:rStyle w:val="cf01"/>
          <w:rFonts w:ascii="Times New Roman" w:hAnsi="Times New Roman" w:cs="Times New Roman"/>
          <w:sz w:val="24"/>
          <w:szCs w:val="24"/>
        </w:rPr>
        <w:t>/</w:t>
      </w:r>
      <w:proofErr w:type="spellStart"/>
      <w:r w:rsidRPr="00011406" w:rsidR="00F92587">
        <w:rPr>
          <w:rStyle w:val="cf01"/>
          <w:rFonts w:ascii="Times New Roman" w:hAnsi="Times New Roman" w:cs="Times New Roman"/>
          <w:sz w:val="24"/>
          <w:szCs w:val="24"/>
        </w:rPr>
        <w:t>Vidi</w:t>
      </w:r>
      <w:proofErr w:type="spellEnd"/>
      <w:r w:rsidRPr="00011406" w:rsidR="00F92587">
        <w:rPr>
          <w:rStyle w:val="cf01"/>
          <w:rFonts w:ascii="Times New Roman" w:hAnsi="Times New Roman" w:cs="Times New Roman"/>
          <w:sz w:val="24"/>
          <w:szCs w:val="24"/>
        </w:rPr>
        <w:t>/</w:t>
      </w:r>
      <w:proofErr w:type="spellStart"/>
      <w:r w:rsidRPr="00011406" w:rsidR="00F92587">
        <w:rPr>
          <w:rStyle w:val="cf01"/>
          <w:rFonts w:ascii="Times New Roman" w:hAnsi="Times New Roman" w:cs="Times New Roman"/>
          <w:sz w:val="24"/>
          <w:szCs w:val="24"/>
        </w:rPr>
        <w:t>Vici</w:t>
      </w:r>
      <w:proofErr w:type="spellEnd"/>
      <w:r w:rsidRPr="00011406" w:rsidR="00A0592A">
        <w:rPr>
          <w:rStyle w:val="cf01"/>
          <w:rFonts w:ascii="Times New Roman" w:hAnsi="Times New Roman" w:cs="Times New Roman"/>
          <w:sz w:val="24"/>
          <w:szCs w:val="24"/>
        </w:rPr>
        <w:t xml:space="preserve"> verhoogd met € 37,5 miljoen structureel en nog eens € 32 miljoen incidenteel voor 2025 teneinde de slaagkansen te verhogen. </w:t>
      </w:r>
      <w:r w:rsidRPr="00011406" w:rsidR="00F92587">
        <w:rPr>
          <w:rStyle w:val="cf01"/>
          <w:rFonts w:ascii="Times New Roman" w:hAnsi="Times New Roman" w:cs="Times New Roman"/>
          <w:sz w:val="24"/>
          <w:szCs w:val="24"/>
        </w:rPr>
        <w:t xml:space="preserve">Daarmee komt het totale </w:t>
      </w:r>
      <w:r w:rsidRPr="00011406" w:rsidR="00F12840">
        <w:rPr>
          <w:rStyle w:val="cf01"/>
          <w:rFonts w:ascii="Times New Roman" w:hAnsi="Times New Roman" w:cs="Times New Roman"/>
          <w:sz w:val="24"/>
          <w:szCs w:val="24"/>
        </w:rPr>
        <w:t>budget voor het Talentprogramma</w:t>
      </w:r>
      <w:r w:rsidRPr="00011406" w:rsidR="00F92587">
        <w:rPr>
          <w:rStyle w:val="cf01"/>
          <w:rFonts w:ascii="Times New Roman" w:hAnsi="Times New Roman" w:cs="Times New Roman"/>
          <w:sz w:val="24"/>
          <w:szCs w:val="24"/>
        </w:rPr>
        <w:t xml:space="preserve"> </w:t>
      </w:r>
      <w:proofErr w:type="spellStart"/>
      <w:r w:rsidRPr="00011406" w:rsidR="00F92587">
        <w:rPr>
          <w:rStyle w:val="cf01"/>
          <w:rFonts w:ascii="Times New Roman" w:hAnsi="Times New Roman" w:cs="Times New Roman"/>
          <w:sz w:val="24"/>
          <w:szCs w:val="24"/>
        </w:rPr>
        <w:t>Veni</w:t>
      </w:r>
      <w:proofErr w:type="spellEnd"/>
      <w:r w:rsidRPr="00011406" w:rsidR="00F92587">
        <w:rPr>
          <w:rStyle w:val="cf01"/>
          <w:rFonts w:ascii="Times New Roman" w:hAnsi="Times New Roman" w:cs="Times New Roman"/>
          <w:sz w:val="24"/>
          <w:szCs w:val="24"/>
        </w:rPr>
        <w:t>/</w:t>
      </w:r>
      <w:proofErr w:type="spellStart"/>
      <w:r w:rsidRPr="00011406" w:rsidR="00F92587">
        <w:rPr>
          <w:rStyle w:val="cf01"/>
          <w:rFonts w:ascii="Times New Roman" w:hAnsi="Times New Roman" w:cs="Times New Roman"/>
          <w:sz w:val="24"/>
          <w:szCs w:val="24"/>
        </w:rPr>
        <w:t>Vidi</w:t>
      </w:r>
      <w:proofErr w:type="spellEnd"/>
      <w:r w:rsidRPr="00011406" w:rsidR="00F92587">
        <w:rPr>
          <w:rStyle w:val="cf01"/>
          <w:rFonts w:ascii="Times New Roman" w:hAnsi="Times New Roman" w:cs="Times New Roman"/>
          <w:sz w:val="24"/>
          <w:szCs w:val="24"/>
        </w:rPr>
        <w:t>/</w:t>
      </w:r>
      <w:proofErr w:type="spellStart"/>
      <w:r w:rsidRPr="00011406" w:rsidR="00F92587">
        <w:rPr>
          <w:rStyle w:val="cf01"/>
          <w:rFonts w:ascii="Times New Roman" w:hAnsi="Times New Roman" w:cs="Times New Roman"/>
          <w:sz w:val="24"/>
          <w:szCs w:val="24"/>
        </w:rPr>
        <w:t>Vici</w:t>
      </w:r>
      <w:proofErr w:type="spellEnd"/>
      <w:r w:rsidRPr="00011406" w:rsidR="00F12840">
        <w:rPr>
          <w:rStyle w:val="cf01"/>
          <w:rFonts w:ascii="Times New Roman" w:hAnsi="Times New Roman" w:cs="Times New Roman"/>
          <w:sz w:val="24"/>
          <w:szCs w:val="24"/>
        </w:rPr>
        <w:t xml:space="preserve"> </w:t>
      </w:r>
      <w:r w:rsidRPr="00011406" w:rsidR="00F92587">
        <w:rPr>
          <w:rStyle w:val="cf01"/>
          <w:rFonts w:ascii="Times New Roman" w:hAnsi="Times New Roman" w:cs="Times New Roman"/>
          <w:sz w:val="24"/>
          <w:szCs w:val="24"/>
        </w:rPr>
        <w:t>op</w:t>
      </w:r>
      <w:r w:rsidRPr="00011406" w:rsidR="00F12840">
        <w:rPr>
          <w:rStyle w:val="cf01"/>
          <w:rFonts w:ascii="Times New Roman" w:hAnsi="Times New Roman" w:cs="Times New Roman"/>
          <w:sz w:val="24"/>
          <w:szCs w:val="24"/>
        </w:rPr>
        <w:t xml:space="preserve"> € 22</w:t>
      </w:r>
      <w:r w:rsidRPr="00011406" w:rsidR="00F92587">
        <w:rPr>
          <w:rStyle w:val="cf01"/>
          <w:rFonts w:ascii="Times New Roman" w:hAnsi="Times New Roman" w:cs="Times New Roman"/>
          <w:sz w:val="24"/>
          <w:szCs w:val="24"/>
        </w:rPr>
        <w:t>7</w:t>
      </w:r>
      <w:r w:rsidRPr="00011406" w:rsidR="00F12840">
        <w:rPr>
          <w:rStyle w:val="cf01"/>
          <w:rFonts w:ascii="Times New Roman" w:hAnsi="Times New Roman" w:cs="Times New Roman"/>
          <w:sz w:val="24"/>
          <w:szCs w:val="24"/>
        </w:rPr>
        <w:t xml:space="preserve"> miljoen</w:t>
      </w:r>
      <w:r w:rsidRPr="00011406" w:rsidR="00F92587">
        <w:rPr>
          <w:rStyle w:val="cf01"/>
          <w:rFonts w:ascii="Times New Roman" w:hAnsi="Times New Roman" w:cs="Times New Roman"/>
          <w:sz w:val="24"/>
          <w:szCs w:val="24"/>
        </w:rPr>
        <w:t xml:space="preserve"> in 2025</w:t>
      </w:r>
      <w:r w:rsidRPr="00011406" w:rsidR="00F12840">
        <w:rPr>
          <w:rStyle w:val="cf01"/>
          <w:rFonts w:ascii="Times New Roman" w:hAnsi="Times New Roman" w:cs="Times New Roman"/>
          <w:sz w:val="24"/>
          <w:szCs w:val="24"/>
        </w:rPr>
        <w:t xml:space="preserve">. </w:t>
      </w:r>
      <w:r w:rsidRPr="00011406" w:rsidR="00A0592A">
        <w:t>NWO</w:t>
      </w:r>
      <w:r w:rsidRPr="00011406" w:rsidR="003F6A5C">
        <w:t xml:space="preserve"> heeft ook</w:t>
      </w:r>
      <w:r w:rsidRPr="00011406" w:rsidR="00A0592A">
        <w:t xml:space="preserve"> </w:t>
      </w:r>
      <w:r w:rsidRPr="00011406" w:rsidR="00F12840">
        <w:t xml:space="preserve">het </w:t>
      </w:r>
      <w:r w:rsidRPr="00011406" w:rsidR="00A0592A">
        <w:t>budget voor ongebonden onderzoek via de Open Competitie stapsgewijs verhoogd van circa € 100 miljoen in 2017 naar structureel € 130 miljoen sinds 2021. Sinds 2022 stelt OCW via het Fonds Onderwijs en Wetenschap NWO in staat om een extra investering van meer dan € 60 miljoen per jaar te doen in ongebonden onderzoek</w:t>
      </w:r>
      <w:r w:rsidRPr="00FE65F9" w:rsidR="00FE65F9">
        <w:t xml:space="preserve"> </w:t>
      </w:r>
      <w:r w:rsidR="00FE65F9">
        <w:t>via de Open Competitie</w:t>
      </w:r>
      <w:r w:rsidRPr="00011406" w:rsidR="00A0592A">
        <w:t xml:space="preserve">. NWO </w:t>
      </w:r>
      <w:r w:rsidRPr="00011406" w:rsidR="003F6A5C">
        <w:t>voegt hier</w:t>
      </w:r>
      <w:r w:rsidRPr="00011406" w:rsidR="00A0592A">
        <w:t xml:space="preserve"> in 2025 </w:t>
      </w:r>
      <w:r w:rsidR="004B411A">
        <w:t>middelen vanuit de loon- en prijsbijstelling</w:t>
      </w:r>
      <w:r w:rsidRPr="00011406" w:rsidR="00A0592A">
        <w:t xml:space="preserve"> </w:t>
      </w:r>
      <w:r w:rsidRPr="00011406" w:rsidR="003F6A5C">
        <w:t>aan toe</w:t>
      </w:r>
      <w:r w:rsidRPr="00011406" w:rsidR="00A0592A">
        <w:t>, zodat het budget voor de Open Competitie voor 2025</w:t>
      </w:r>
      <w:r w:rsidR="00DD64AB">
        <w:t xml:space="preserve"> in totaal</w:t>
      </w:r>
      <w:r w:rsidRPr="00011406" w:rsidR="00A0592A">
        <w:t xml:space="preserve"> circa € 2</w:t>
      </w:r>
      <w:r w:rsidR="005D4D50">
        <w:t>10</w:t>
      </w:r>
      <w:r w:rsidRPr="00011406" w:rsidR="00A0592A">
        <w:t xml:space="preserve"> miljoen bedraagt. </w:t>
      </w:r>
    </w:p>
    <w:p w:rsidR="00162C74" w:rsidP="00AB3031" w:rsidRDefault="00162C74" w14:paraId="2CCD43EC" w14:textId="77777777">
      <w:pPr>
        <w:spacing w:line="276" w:lineRule="auto"/>
      </w:pPr>
    </w:p>
    <w:p w:rsidRPr="00011406" w:rsidR="00C30D56" w:rsidP="00C30D56" w:rsidRDefault="00B37DE1" w14:paraId="57E92823" w14:textId="620A339E">
      <w:pPr>
        <w:spacing w:line="276" w:lineRule="auto"/>
      </w:pPr>
      <w:r w:rsidRPr="002A6529">
        <w:rPr>
          <w:i/>
          <w:iCs/>
        </w:rPr>
        <w:t xml:space="preserve">De leden van de GroenLinks-PvdA-fractie vragen om een overzicht van de </w:t>
      </w:r>
      <w:proofErr w:type="gramStart"/>
      <w:r w:rsidRPr="002A6529">
        <w:rPr>
          <w:i/>
          <w:iCs/>
        </w:rPr>
        <w:t>NWO budgetten</w:t>
      </w:r>
      <w:proofErr w:type="gramEnd"/>
      <w:r w:rsidRPr="002A6529">
        <w:rPr>
          <w:i/>
          <w:iCs/>
        </w:rPr>
        <w:t xml:space="preserve"> de komende jaren en de gevolgen van de bezuinigingen voor NWO.</w:t>
      </w:r>
      <w:r w:rsidRPr="00011406">
        <w:t xml:space="preserve"> </w:t>
      </w:r>
      <w:r w:rsidRPr="00011406" w:rsidR="008377C2">
        <w:t>De bezuiniging op NWO als gevolg v</w:t>
      </w:r>
      <w:r w:rsidR="00FB0A1B">
        <w:t>an</w:t>
      </w:r>
      <w:r w:rsidRPr="00011406" w:rsidR="008377C2">
        <w:t xml:space="preserve"> de taakstelling op het Fonds voor Onderzoek en Wetenschap resulteert in een vermindering van het budget voor nieuwe subsidies voor </w:t>
      </w:r>
      <w:r w:rsidR="00555682">
        <w:t>G</w:t>
      </w:r>
      <w:r w:rsidRPr="00011406" w:rsidR="00555682">
        <w:t xml:space="preserve">rootschalige </w:t>
      </w:r>
      <w:r w:rsidR="00555682">
        <w:t>W</w:t>
      </w:r>
      <w:r w:rsidRPr="00011406" w:rsidR="00555682">
        <w:t xml:space="preserve">etenschappelijke </w:t>
      </w:r>
      <w:r w:rsidR="00555682">
        <w:t>I</w:t>
      </w:r>
      <w:r w:rsidRPr="00011406" w:rsidR="00555682">
        <w:t>nfrastructuur</w:t>
      </w:r>
      <w:r w:rsidR="00555682">
        <w:t xml:space="preserve"> </w:t>
      </w:r>
      <w:r w:rsidR="00FB0A1B">
        <w:t>(GWI)</w:t>
      </w:r>
      <w:r w:rsidRPr="00011406" w:rsidR="008377C2">
        <w:t xml:space="preserve"> met € 30 miljoen, een verlaging van het budget voor het Regieorgaan Open </w:t>
      </w:r>
      <w:proofErr w:type="spellStart"/>
      <w:r w:rsidRPr="00011406" w:rsidR="008377C2">
        <w:t>Science</w:t>
      </w:r>
      <w:proofErr w:type="spellEnd"/>
      <w:r w:rsidRPr="00011406" w:rsidR="008377C2">
        <w:t xml:space="preserve"> met € 10 miljoen en het inhouden van de loon- en prijsbijstelling tranche 2024 over de bijdragen aan NWO uit het Fonds voor Onderzoek en </w:t>
      </w:r>
      <w:r w:rsidR="004B411A">
        <w:t>W</w:t>
      </w:r>
      <w:r w:rsidRPr="00011406" w:rsidR="004B411A">
        <w:t xml:space="preserve">etenschap </w:t>
      </w:r>
      <w:r w:rsidRPr="00011406" w:rsidR="008377C2">
        <w:t>van € 9,9 miljoen.</w:t>
      </w:r>
      <w:r w:rsidRPr="00011406" w:rsidR="007534D6">
        <w:t xml:space="preserve"> </w:t>
      </w:r>
      <w:r w:rsidRPr="00011406" w:rsidR="00193CAC">
        <w:t xml:space="preserve">Opgemerkt moet worden dat voor GWI geldt dat subsidietoekenningen gedaan worden met baten die NWO in een eerder jaar heeft ontvangen, waardoor het effect van de bezuiniging pas </w:t>
      </w:r>
      <w:r w:rsidR="005D4D50">
        <w:t xml:space="preserve">na 2025 </w:t>
      </w:r>
      <w:r w:rsidRPr="00011406" w:rsidR="00193CAC">
        <w:t xml:space="preserve">zichtbaar wordt. </w:t>
      </w:r>
      <w:r w:rsidRPr="00011406" w:rsidR="009865E7">
        <w:t>De bezuiniging op de lumpsum van NWO vanwege de subsidietaakstelling is € 4 miljoen in 2025 en de bezuiniging op de apparaatskosten is € 0,5 miljoen in 2025. In onderstaande tabel staat de verdeling van de subsidiebudgetten over de financieringslijnen van NWO</w:t>
      </w:r>
      <w:r w:rsidR="002A6529">
        <w:t xml:space="preserve"> in totalen</w:t>
      </w:r>
      <w:r w:rsidRPr="00011406" w:rsidR="009865E7">
        <w:t xml:space="preserve"> weergegeven. </w:t>
      </w:r>
      <w:r w:rsidR="00555682">
        <w:t>De</w:t>
      </w:r>
      <w:r w:rsidRPr="00011406" w:rsidR="00C30D56">
        <w:t xml:space="preserve"> subsidietaakstelling</w:t>
      </w:r>
      <w:r w:rsidR="00C30D56">
        <w:t xml:space="preserve"> voor de jaren 2026 en verder</w:t>
      </w:r>
      <w:r w:rsidR="00A877C0">
        <w:t xml:space="preserve"> </w:t>
      </w:r>
      <w:r w:rsidRPr="00011406" w:rsidR="00555682">
        <w:t>is</w:t>
      </w:r>
      <w:r w:rsidR="00555682">
        <w:t xml:space="preserve"> </w:t>
      </w:r>
      <w:r w:rsidR="00C30D56">
        <w:t>daarin</w:t>
      </w:r>
      <w:r w:rsidRPr="00011406" w:rsidR="00C30D56">
        <w:t xml:space="preserve"> nog niet verwerkt </w:t>
      </w:r>
      <w:r w:rsidR="00A877C0">
        <w:t>(</w:t>
      </w:r>
      <w:r w:rsidR="00203C14">
        <w:t xml:space="preserve">oplopend tot </w:t>
      </w:r>
      <w:r w:rsidR="00A877C0">
        <w:t>€ 2</w:t>
      </w:r>
      <w:r w:rsidR="00AF088C">
        <w:t>2</w:t>
      </w:r>
      <w:r w:rsidR="00A877C0">
        <w:t xml:space="preserve"> miljoen op de </w:t>
      </w:r>
      <w:proofErr w:type="gramStart"/>
      <w:r w:rsidR="00511407">
        <w:t xml:space="preserve">NWO </w:t>
      </w:r>
      <w:r w:rsidR="00A877C0">
        <w:t>bekostiging</w:t>
      </w:r>
      <w:proofErr w:type="gramEnd"/>
      <w:r w:rsidR="00A877C0">
        <w:t xml:space="preserve"> en € 13 miljoen op de promotiebeurs voor leraren). Dat geldt ook voor </w:t>
      </w:r>
      <w:r w:rsidR="00C30D56">
        <w:t>de bezuiniging vanwege het behoud van de sectorplannen</w:t>
      </w:r>
      <w:r w:rsidR="00A877C0">
        <w:t xml:space="preserve"> (</w:t>
      </w:r>
      <w:r w:rsidR="00203C14">
        <w:t xml:space="preserve">oplopend tot </w:t>
      </w:r>
      <w:r w:rsidR="00A877C0">
        <w:t xml:space="preserve">€ </w:t>
      </w:r>
      <w:r w:rsidR="00DE73AD">
        <w:t>40 miljoen vanaf 2031)</w:t>
      </w:r>
      <w:r w:rsidR="00C30D56">
        <w:t>.</w:t>
      </w:r>
    </w:p>
    <w:p w:rsidRPr="00887228" w:rsidR="00193CAC" w:rsidP="00AB3031" w:rsidRDefault="00193CAC" w14:paraId="5BC11802" w14:textId="26B5A068">
      <w:pPr>
        <w:spacing w:line="276" w:lineRule="auto"/>
        <w:rPr>
          <w:i/>
          <w:iCs/>
        </w:rPr>
      </w:pPr>
    </w:p>
    <w:p w:rsidRPr="00887228" w:rsidR="00193CAC" w:rsidP="00AB3031" w:rsidRDefault="00CA036D" w14:paraId="57EA0932" w14:textId="6A4FDD31">
      <w:pPr>
        <w:spacing w:line="276" w:lineRule="auto"/>
        <w:rPr>
          <w:i/>
          <w:iCs/>
        </w:rPr>
      </w:pPr>
      <w:proofErr w:type="gramStart"/>
      <w:r>
        <w:rPr>
          <w:i/>
          <w:iCs/>
        </w:rPr>
        <w:t>NWO s</w:t>
      </w:r>
      <w:r w:rsidRPr="00887228" w:rsidR="00F92587">
        <w:rPr>
          <w:i/>
          <w:iCs/>
        </w:rPr>
        <w:t>ubsidiebudgetten</w:t>
      </w:r>
      <w:proofErr w:type="gramEnd"/>
      <w:r w:rsidRPr="00887228" w:rsidR="00193CAC">
        <w:rPr>
          <w:i/>
          <w:iCs/>
        </w:rPr>
        <w:t>:</w:t>
      </w:r>
    </w:p>
    <w:tbl>
      <w:tblPr>
        <w:tblStyle w:val="Tabelraster"/>
        <w:tblW w:w="0" w:type="auto"/>
        <w:tblLook w:val="04A0" w:firstRow="1" w:lastRow="0" w:firstColumn="1" w:lastColumn="0" w:noHBand="0" w:noVBand="1"/>
      </w:tblPr>
      <w:tblGrid>
        <w:gridCol w:w="1951"/>
        <w:gridCol w:w="1185"/>
        <w:gridCol w:w="1185"/>
        <w:gridCol w:w="1185"/>
        <w:gridCol w:w="1185"/>
        <w:gridCol w:w="1185"/>
        <w:gridCol w:w="1186"/>
      </w:tblGrid>
      <w:tr w:rsidRPr="00887228" w:rsidR="00887228" w:rsidTr="00CA036D" w14:paraId="3CE1479B" w14:textId="7A6257D1">
        <w:tc>
          <w:tcPr>
            <w:tcW w:w="1951" w:type="dxa"/>
          </w:tcPr>
          <w:p w:rsidRPr="00152140" w:rsidR="00F92587" w:rsidP="00AB3031" w:rsidRDefault="00F92587" w14:paraId="1A1D607B" w14:textId="258F3176">
            <w:pPr>
              <w:spacing w:line="276" w:lineRule="auto"/>
              <w:rPr>
                <w:b/>
                <w:bCs/>
                <w:i/>
                <w:iCs/>
              </w:rPr>
            </w:pPr>
            <w:r w:rsidRPr="00152140">
              <w:rPr>
                <w:b/>
                <w:bCs/>
                <w:i/>
                <w:iCs/>
              </w:rPr>
              <w:t>Financieringslijn (in totalen)</w:t>
            </w:r>
          </w:p>
        </w:tc>
        <w:tc>
          <w:tcPr>
            <w:tcW w:w="1185" w:type="dxa"/>
          </w:tcPr>
          <w:p w:rsidRPr="00152140" w:rsidR="00F92587" w:rsidP="00AB3031" w:rsidRDefault="00F92587" w14:paraId="740B20BA" w14:textId="591C5F16">
            <w:pPr>
              <w:spacing w:line="276" w:lineRule="auto"/>
              <w:rPr>
                <w:b/>
                <w:bCs/>
                <w:i/>
                <w:iCs/>
              </w:rPr>
            </w:pPr>
            <w:r w:rsidRPr="00152140">
              <w:rPr>
                <w:b/>
                <w:bCs/>
                <w:i/>
                <w:iCs/>
              </w:rPr>
              <w:t>2024</w:t>
            </w:r>
          </w:p>
        </w:tc>
        <w:tc>
          <w:tcPr>
            <w:tcW w:w="1185" w:type="dxa"/>
          </w:tcPr>
          <w:p w:rsidRPr="00152140" w:rsidR="00F92587" w:rsidP="00AB3031" w:rsidRDefault="00F92587" w14:paraId="69F37BCD" w14:textId="3E6AD511">
            <w:pPr>
              <w:spacing w:line="276" w:lineRule="auto"/>
              <w:rPr>
                <w:b/>
                <w:bCs/>
                <w:i/>
                <w:iCs/>
              </w:rPr>
            </w:pPr>
            <w:r w:rsidRPr="00152140">
              <w:rPr>
                <w:b/>
                <w:bCs/>
                <w:i/>
                <w:iCs/>
              </w:rPr>
              <w:t>2025</w:t>
            </w:r>
          </w:p>
        </w:tc>
        <w:tc>
          <w:tcPr>
            <w:tcW w:w="1185" w:type="dxa"/>
          </w:tcPr>
          <w:p w:rsidRPr="00152140" w:rsidR="00F92587" w:rsidP="00AB3031" w:rsidRDefault="00F92587" w14:paraId="7AD2BD3C" w14:textId="6BCC0BE7">
            <w:pPr>
              <w:spacing w:line="276" w:lineRule="auto"/>
              <w:rPr>
                <w:b/>
                <w:bCs/>
                <w:i/>
                <w:iCs/>
              </w:rPr>
            </w:pPr>
            <w:r w:rsidRPr="00152140">
              <w:rPr>
                <w:b/>
                <w:bCs/>
                <w:i/>
                <w:iCs/>
              </w:rPr>
              <w:t>2026</w:t>
            </w:r>
          </w:p>
        </w:tc>
        <w:tc>
          <w:tcPr>
            <w:tcW w:w="1185" w:type="dxa"/>
          </w:tcPr>
          <w:p w:rsidRPr="00152140" w:rsidR="00F92587" w:rsidP="00AB3031" w:rsidRDefault="00F92587" w14:paraId="67F4DD32" w14:textId="526CC0A0">
            <w:pPr>
              <w:spacing w:line="276" w:lineRule="auto"/>
              <w:rPr>
                <w:b/>
                <w:bCs/>
                <w:i/>
                <w:iCs/>
              </w:rPr>
            </w:pPr>
            <w:r w:rsidRPr="00152140">
              <w:rPr>
                <w:b/>
                <w:bCs/>
                <w:i/>
                <w:iCs/>
              </w:rPr>
              <w:t>2027</w:t>
            </w:r>
          </w:p>
        </w:tc>
        <w:tc>
          <w:tcPr>
            <w:tcW w:w="1185" w:type="dxa"/>
          </w:tcPr>
          <w:p w:rsidRPr="00152140" w:rsidR="00F92587" w:rsidP="00AB3031" w:rsidRDefault="00F92587" w14:paraId="65987749" w14:textId="60835F79">
            <w:pPr>
              <w:spacing w:line="276" w:lineRule="auto"/>
              <w:rPr>
                <w:b/>
                <w:bCs/>
                <w:i/>
                <w:iCs/>
              </w:rPr>
            </w:pPr>
            <w:r w:rsidRPr="00152140">
              <w:rPr>
                <w:b/>
                <w:bCs/>
                <w:i/>
                <w:iCs/>
              </w:rPr>
              <w:t>2028</w:t>
            </w:r>
          </w:p>
        </w:tc>
        <w:tc>
          <w:tcPr>
            <w:tcW w:w="1186" w:type="dxa"/>
          </w:tcPr>
          <w:p w:rsidRPr="00152140" w:rsidR="00F92587" w:rsidP="00AB3031" w:rsidRDefault="00F92587" w14:paraId="29CFE7E3" w14:textId="00EE3F11">
            <w:pPr>
              <w:spacing w:line="276" w:lineRule="auto"/>
              <w:rPr>
                <w:b/>
                <w:bCs/>
                <w:i/>
                <w:iCs/>
              </w:rPr>
            </w:pPr>
            <w:r w:rsidRPr="00152140">
              <w:rPr>
                <w:b/>
                <w:bCs/>
                <w:i/>
                <w:iCs/>
              </w:rPr>
              <w:t>2029</w:t>
            </w:r>
          </w:p>
        </w:tc>
      </w:tr>
      <w:tr w:rsidRPr="00887228" w:rsidR="00887228" w:rsidTr="00CA036D" w14:paraId="74487C01" w14:textId="27FFB154">
        <w:tc>
          <w:tcPr>
            <w:tcW w:w="1951" w:type="dxa"/>
          </w:tcPr>
          <w:p w:rsidRPr="00887228" w:rsidR="00F92587" w:rsidP="00AB3031" w:rsidRDefault="00F92587" w14:paraId="2984E0DF" w14:textId="3D2B9075">
            <w:pPr>
              <w:spacing w:line="276" w:lineRule="auto"/>
              <w:rPr>
                <w:i/>
                <w:iCs/>
              </w:rPr>
            </w:pPr>
            <w:r w:rsidRPr="00887228">
              <w:rPr>
                <w:i/>
                <w:iCs/>
              </w:rPr>
              <w:t>Open Competitie</w:t>
            </w:r>
          </w:p>
        </w:tc>
        <w:tc>
          <w:tcPr>
            <w:tcW w:w="1185" w:type="dxa"/>
          </w:tcPr>
          <w:p w:rsidRPr="00CA036D" w:rsidR="00F92587" w:rsidP="00AB3031" w:rsidRDefault="00F92587" w14:paraId="69B3A380" w14:textId="3C781F56">
            <w:pPr>
              <w:spacing w:line="276" w:lineRule="auto"/>
              <w:rPr>
                <w:b/>
                <w:bCs/>
                <w:i/>
                <w:iCs/>
                <w:sz w:val="20"/>
                <w:szCs w:val="20"/>
              </w:rPr>
            </w:pPr>
            <w:r w:rsidRPr="00CA036D">
              <w:rPr>
                <w:rStyle w:val="A11"/>
                <w:b w:val="0"/>
                <w:bCs w:val="0"/>
                <w:color w:val="auto"/>
                <w:sz w:val="20"/>
                <w:szCs w:val="20"/>
              </w:rPr>
              <w:t xml:space="preserve">237.062 </w:t>
            </w:r>
          </w:p>
        </w:tc>
        <w:tc>
          <w:tcPr>
            <w:tcW w:w="1185" w:type="dxa"/>
          </w:tcPr>
          <w:p w:rsidRPr="00CA036D" w:rsidR="00F92587" w:rsidP="00AB3031" w:rsidRDefault="00F92587" w14:paraId="2B945332" w14:textId="675709F8">
            <w:pPr>
              <w:spacing w:line="276" w:lineRule="auto"/>
              <w:rPr>
                <w:b/>
                <w:bCs/>
                <w:i/>
                <w:iCs/>
                <w:sz w:val="20"/>
                <w:szCs w:val="20"/>
              </w:rPr>
            </w:pPr>
            <w:r w:rsidRPr="00CA036D">
              <w:rPr>
                <w:rStyle w:val="A11"/>
                <w:b w:val="0"/>
                <w:bCs w:val="0"/>
                <w:color w:val="auto"/>
                <w:sz w:val="20"/>
                <w:szCs w:val="20"/>
              </w:rPr>
              <w:t xml:space="preserve">209.736 </w:t>
            </w:r>
          </w:p>
        </w:tc>
        <w:tc>
          <w:tcPr>
            <w:tcW w:w="1185" w:type="dxa"/>
          </w:tcPr>
          <w:p w:rsidRPr="00CA036D" w:rsidR="00F92587" w:rsidP="00AB3031" w:rsidRDefault="00F92587" w14:paraId="3EF6CE93" w14:textId="1126663C">
            <w:pPr>
              <w:spacing w:line="276" w:lineRule="auto"/>
              <w:rPr>
                <w:b/>
                <w:bCs/>
                <w:i/>
                <w:iCs/>
                <w:sz w:val="20"/>
                <w:szCs w:val="20"/>
              </w:rPr>
            </w:pPr>
            <w:r w:rsidRPr="00CA036D">
              <w:rPr>
                <w:rStyle w:val="A11"/>
                <w:b w:val="0"/>
                <w:bCs w:val="0"/>
                <w:color w:val="auto"/>
                <w:sz w:val="20"/>
                <w:szCs w:val="20"/>
              </w:rPr>
              <w:t xml:space="preserve">266.115 </w:t>
            </w:r>
          </w:p>
        </w:tc>
        <w:tc>
          <w:tcPr>
            <w:tcW w:w="1185" w:type="dxa"/>
          </w:tcPr>
          <w:p w:rsidRPr="00CA036D" w:rsidR="00F92587" w:rsidP="00AB3031" w:rsidRDefault="00F92587" w14:paraId="408F4DAA" w14:textId="092CB7EF">
            <w:pPr>
              <w:spacing w:line="276" w:lineRule="auto"/>
              <w:rPr>
                <w:b/>
                <w:bCs/>
                <w:i/>
                <w:iCs/>
                <w:sz w:val="20"/>
                <w:szCs w:val="20"/>
              </w:rPr>
            </w:pPr>
            <w:r w:rsidRPr="00CA036D">
              <w:rPr>
                <w:rStyle w:val="A11"/>
                <w:b w:val="0"/>
                <w:bCs w:val="0"/>
                <w:color w:val="auto"/>
                <w:sz w:val="20"/>
                <w:szCs w:val="20"/>
              </w:rPr>
              <w:t xml:space="preserve">215.064 </w:t>
            </w:r>
          </w:p>
        </w:tc>
        <w:tc>
          <w:tcPr>
            <w:tcW w:w="1185" w:type="dxa"/>
          </w:tcPr>
          <w:p w:rsidRPr="00CA036D" w:rsidR="00F92587" w:rsidP="00AB3031" w:rsidRDefault="00F92587" w14:paraId="1AC0EFC6" w14:textId="1398FEC7">
            <w:pPr>
              <w:spacing w:line="276" w:lineRule="auto"/>
              <w:rPr>
                <w:b/>
                <w:bCs/>
                <w:i/>
                <w:iCs/>
                <w:sz w:val="20"/>
                <w:szCs w:val="20"/>
              </w:rPr>
            </w:pPr>
            <w:r w:rsidRPr="00CA036D">
              <w:rPr>
                <w:rStyle w:val="A11"/>
                <w:b w:val="0"/>
                <w:bCs w:val="0"/>
                <w:color w:val="auto"/>
                <w:sz w:val="20"/>
                <w:szCs w:val="20"/>
              </w:rPr>
              <w:t xml:space="preserve">229.576 </w:t>
            </w:r>
          </w:p>
        </w:tc>
        <w:tc>
          <w:tcPr>
            <w:tcW w:w="1186" w:type="dxa"/>
          </w:tcPr>
          <w:p w:rsidRPr="00CA036D" w:rsidR="00F92587" w:rsidP="00AB3031" w:rsidRDefault="00F92587" w14:paraId="1742B065" w14:textId="6F72DF8C">
            <w:pPr>
              <w:spacing w:line="276" w:lineRule="auto"/>
              <w:rPr>
                <w:b/>
                <w:bCs/>
                <w:i/>
                <w:iCs/>
                <w:sz w:val="20"/>
                <w:szCs w:val="20"/>
              </w:rPr>
            </w:pPr>
            <w:r w:rsidRPr="00CA036D">
              <w:rPr>
                <w:rStyle w:val="A11"/>
                <w:b w:val="0"/>
                <w:bCs w:val="0"/>
                <w:color w:val="auto"/>
                <w:sz w:val="20"/>
                <w:szCs w:val="20"/>
              </w:rPr>
              <w:t xml:space="preserve">203.576 </w:t>
            </w:r>
          </w:p>
        </w:tc>
      </w:tr>
      <w:tr w:rsidRPr="00887228" w:rsidR="00887228" w:rsidTr="00CA036D" w14:paraId="06A8928A" w14:textId="7475D41A">
        <w:tc>
          <w:tcPr>
            <w:tcW w:w="1951" w:type="dxa"/>
          </w:tcPr>
          <w:p w:rsidRPr="00887228" w:rsidR="00F92587" w:rsidP="00AB3031" w:rsidRDefault="00F92587" w14:paraId="1BCA2036" w14:textId="23383089">
            <w:pPr>
              <w:spacing w:line="276" w:lineRule="auto"/>
              <w:rPr>
                <w:i/>
                <w:iCs/>
              </w:rPr>
            </w:pPr>
            <w:r w:rsidRPr="00887228">
              <w:rPr>
                <w:i/>
                <w:iCs/>
              </w:rPr>
              <w:t>Talent</w:t>
            </w:r>
          </w:p>
        </w:tc>
        <w:tc>
          <w:tcPr>
            <w:tcW w:w="1185" w:type="dxa"/>
          </w:tcPr>
          <w:p w:rsidRPr="00CA036D" w:rsidR="00F92587" w:rsidP="00AB3031" w:rsidRDefault="00F92587" w14:paraId="3442762F" w14:textId="467EF46F">
            <w:pPr>
              <w:spacing w:line="276" w:lineRule="auto"/>
              <w:rPr>
                <w:b/>
                <w:bCs/>
                <w:i/>
                <w:iCs/>
                <w:sz w:val="20"/>
                <w:szCs w:val="20"/>
              </w:rPr>
            </w:pPr>
            <w:r w:rsidRPr="00CA036D">
              <w:rPr>
                <w:rStyle w:val="A11"/>
                <w:b w:val="0"/>
                <w:bCs w:val="0"/>
                <w:color w:val="auto"/>
                <w:sz w:val="20"/>
                <w:szCs w:val="20"/>
              </w:rPr>
              <w:t xml:space="preserve">231.558 </w:t>
            </w:r>
          </w:p>
        </w:tc>
        <w:tc>
          <w:tcPr>
            <w:tcW w:w="1185" w:type="dxa"/>
          </w:tcPr>
          <w:p w:rsidRPr="00CA036D" w:rsidR="00F92587" w:rsidP="00AB3031" w:rsidRDefault="00F92587" w14:paraId="74BCB63F" w14:textId="0F742CFB">
            <w:pPr>
              <w:spacing w:line="276" w:lineRule="auto"/>
              <w:rPr>
                <w:b/>
                <w:bCs/>
                <w:i/>
                <w:iCs/>
                <w:sz w:val="20"/>
                <w:szCs w:val="20"/>
              </w:rPr>
            </w:pPr>
            <w:r w:rsidRPr="00CA036D">
              <w:rPr>
                <w:rStyle w:val="A11"/>
                <w:b w:val="0"/>
                <w:bCs w:val="0"/>
                <w:color w:val="auto"/>
                <w:sz w:val="20"/>
                <w:szCs w:val="20"/>
              </w:rPr>
              <w:t xml:space="preserve">280.887 </w:t>
            </w:r>
          </w:p>
        </w:tc>
        <w:tc>
          <w:tcPr>
            <w:tcW w:w="1185" w:type="dxa"/>
          </w:tcPr>
          <w:p w:rsidRPr="00CA036D" w:rsidR="00F92587" w:rsidP="00AB3031" w:rsidRDefault="00F92587" w14:paraId="7DA0BBB4" w14:textId="76EE46D0">
            <w:pPr>
              <w:spacing w:line="276" w:lineRule="auto"/>
              <w:rPr>
                <w:b/>
                <w:bCs/>
                <w:i/>
                <w:iCs/>
                <w:sz w:val="20"/>
                <w:szCs w:val="20"/>
              </w:rPr>
            </w:pPr>
            <w:r w:rsidRPr="00CA036D">
              <w:rPr>
                <w:rStyle w:val="A11"/>
                <w:b w:val="0"/>
                <w:bCs w:val="0"/>
                <w:color w:val="auto"/>
                <w:sz w:val="20"/>
                <w:szCs w:val="20"/>
              </w:rPr>
              <w:t xml:space="preserve">230.823 </w:t>
            </w:r>
          </w:p>
        </w:tc>
        <w:tc>
          <w:tcPr>
            <w:tcW w:w="1185" w:type="dxa"/>
          </w:tcPr>
          <w:p w:rsidRPr="00CA036D" w:rsidR="00F92587" w:rsidP="00AB3031" w:rsidRDefault="00F92587" w14:paraId="16F8042E" w14:textId="2E1F8B28">
            <w:pPr>
              <w:spacing w:line="276" w:lineRule="auto"/>
              <w:rPr>
                <w:b/>
                <w:bCs/>
                <w:i/>
                <w:iCs/>
                <w:sz w:val="20"/>
                <w:szCs w:val="20"/>
              </w:rPr>
            </w:pPr>
            <w:r w:rsidRPr="00CA036D">
              <w:rPr>
                <w:rStyle w:val="A11"/>
                <w:b w:val="0"/>
                <w:bCs w:val="0"/>
                <w:color w:val="auto"/>
                <w:sz w:val="20"/>
                <w:szCs w:val="20"/>
              </w:rPr>
              <w:t xml:space="preserve">228.480 </w:t>
            </w:r>
          </w:p>
        </w:tc>
        <w:tc>
          <w:tcPr>
            <w:tcW w:w="1185" w:type="dxa"/>
          </w:tcPr>
          <w:p w:rsidRPr="00CA036D" w:rsidR="00F92587" w:rsidP="00AB3031" w:rsidRDefault="00F92587" w14:paraId="0932D2CE" w14:textId="0B2A3F19">
            <w:pPr>
              <w:spacing w:line="276" w:lineRule="auto"/>
              <w:rPr>
                <w:b/>
                <w:bCs/>
                <w:i/>
                <w:iCs/>
                <w:sz w:val="20"/>
                <w:szCs w:val="20"/>
              </w:rPr>
            </w:pPr>
            <w:r w:rsidRPr="00CA036D">
              <w:rPr>
                <w:rStyle w:val="A11"/>
                <w:b w:val="0"/>
                <w:bCs w:val="0"/>
                <w:color w:val="auto"/>
                <w:sz w:val="20"/>
                <w:szCs w:val="20"/>
              </w:rPr>
              <w:t xml:space="preserve">224.997 </w:t>
            </w:r>
          </w:p>
        </w:tc>
        <w:tc>
          <w:tcPr>
            <w:tcW w:w="1186" w:type="dxa"/>
          </w:tcPr>
          <w:p w:rsidRPr="00CA036D" w:rsidR="00F92587" w:rsidP="00AB3031" w:rsidRDefault="00F92587" w14:paraId="6756D93C" w14:textId="6EC35315">
            <w:pPr>
              <w:spacing w:line="276" w:lineRule="auto"/>
              <w:rPr>
                <w:b/>
                <w:bCs/>
                <w:i/>
                <w:iCs/>
                <w:sz w:val="20"/>
                <w:szCs w:val="20"/>
              </w:rPr>
            </w:pPr>
            <w:r w:rsidRPr="00CA036D">
              <w:rPr>
                <w:rStyle w:val="A11"/>
                <w:b w:val="0"/>
                <w:bCs w:val="0"/>
                <w:color w:val="auto"/>
                <w:sz w:val="20"/>
                <w:szCs w:val="20"/>
              </w:rPr>
              <w:t xml:space="preserve">224.357 </w:t>
            </w:r>
          </w:p>
        </w:tc>
      </w:tr>
      <w:tr w:rsidRPr="00887228" w:rsidR="00887228" w:rsidTr="00CA036D" w14:paraId="2C1664A7" w14:textId="09D8D34D">
        <w:tc>
          <w:tcPr>
            <w:tcW w:w="1951" w:type="dxa"/>
          </w:tcPr>
          <w:p w:rsidRPr="00887228" w:rsidR="00F92587" w:rsidP="00AB3031" w:rsidRDefault="00F92587" w14:paraId="0C0A7128" w14:textId="471D3471">
            <w:pPr>
              <w:spacing w:line="276" w:lineRule="auto"/>
              <w:rPr>
                <w:i/>
                <w:iCs/>
              </w:rPr>
            </w:pPr>
            <w:r w:rsidRPr="00887228">
              <w:rPr>
                <w:i/>
                <w:iCs/>
              </w:rPr>
              <w:t>Samenwerking</w:t>
            </w:r>
          </w:p>
        </w:tc>
        <w:tc>
          <w:tcPr>
            <w:tcW w:w="1185" w:type="dxa"/>
          </w:tcPr>
          <w:p w:rsidRPr="00CA036D" w:rsidR="00F92587" w:rsidP="00AB3031" w:rsidRDefault="00F92587" w14:paraId="07A3C7C7" w14:textId="5912700E">
            <w:pPr>
              <w:spacing w:line="276" w:lineRule="auto"/>
              <w:rPr>
                <w:b/>
                <w:bCs/>
                <w:i/>
                <w:iCs/>
                <w:sz w:val="20"/>
                <w:szCs w:val="20"/>
              </w:rPr>
            </w:pPr>
            <w:r w:rsidRPr="00CA036D">
              <w:rPr>
                <w:rStyle w:val="A11"/>
                <w:b w:val="0"/>
                <w:bCs w:val="0"/>
                <w:color w:val="auto"/>
                <w:sz w:val="20"/>
                <w:szCs w:val="20"/>
              </w:rPr>
              <w:t xml:space="preserve">315.189 </w:t>
            </w:r>
          </w:p>
        </w:tc>
        <w:tc>
          <w:tcPr>
            <w:tcW w:w="1185" w:type="dxa"/>
          </w:tcPr>
          <w:p w:rsidRPr="00CA036D" w:rsidR="00F92587" w:rsidP="00AB3031" w:rsidRDefault="00F92587" w14:paraId="3133D245" w14:textId="3361BC07">
            <w:pPr>
              <w:spacing w:line="276" w:lineRule="auto"/>
              <w:rPr>
                <w:b/>
                <w:bCs/>
                <w:i/>
                <w:iCs/>
                <w:sz w:val="20"/>
                <w:szCs w:val="20"/>
              </w:rPr>
            </w:pPr>
            <w:r w:rsidRPr="00CA036D">
              <w:rPr>
                <w:rStyle w:val="A11"/>
                <w:b w:val="0"/>
                <w:bCs w:val="0"/>
                <w:color w:val="auto"/>
                <w:sz w:val="20"/>
                <w:szCs w:val="20"/>
              </w:rPr>
              <w:t xml:space="preserve">518.818 </w:t>
            </w:r>
          </w:p>
        </w:tc>
        <w:tc>
          <w:tcPr>
            <w:tcW w:w="1185" w:type="dxa"/>
          </w:tcPr>
          <w:p w:rsidRPr="00CA036D" w:rsidR="00F92587" w:rsidP="00AB3031" w:rsidRDefault="00F92587" w14:paraId="36600951" w14:textId="47772472">
            <w:pPr>
              <w:spacing w:line="276" w:lineRule="auto"/>
              <w:rPr>
                <w:b/>
                <w:bCs/>
                <w:i/>
                <w:iCs/>
                <w:sz w:val="20"/>
                <w:szCs w:val="20"/>
              </w:rPr>
            </w:pPr>
            <w:r w:rsidRPr="00CA036D">
              <w:rPr>
                <w:rStyle w:val="A11"/>
                <w:b w:val="0"/>
                <w:bCs w:val="0"/>
                <w:color w:val="auto"/>
                <w:sz w:val="20"/>
                <w:szCs w:val="20"/>
              </w:rPr>
              <w:t xml:space="preserve">434.961 </w:t>
            </w:r>
          </w:p>
        </w:tc>
        <w:tc>
          <w:tcPr>
            <w:tcW w:w="1185" w:type="dxa"/>
          </w:tcPr>
          <w:p w:rsidRPr="00CA036D" w:rsidR="00F92587" w:rsidP="00AB3031" w:rsidRDefault="00F92587" w14:paraId="7BBEA498" w14:textId="40BE0354">
            <w:pPr>
              <w:spacing w:line="276" w:lineRule="auto"/>
              <w:rPr>
                <w:b/>
                <w:bCs/>
                <w:i/>
                <w:iCs/>
                <w:sz w:val="20"/>
                <w:szCs w:val="20"/>
              </w:rPr>
            </w:pPr>
            <w:r w:rsidRPr="00CA036D">
              <w:rPr>
                <w:rStyle w:val="A11"/>
                <w:b w:val="0"/>
                <w:bCs w:val="0"/>
                <w:color w:val="auto"/>
                <w:sz w:val="20"/>
                <w:szCs w:val="20"/>
              </w:rPr>
              <w:t xml:space="preserve">361.416 </w:t>
            </w:r>
          </w:p>
        </w:tc>
        <w:tc>
          <w:tcPr>
            <w:tcW w:w="1185" w:type="dxa"/>
          </w:tcPr>
          <w:p w:rsidRPr="00CA036D" w:rsidR="00F92587" w:rsidP="00AB3031" w:rsidRDefault="00F92587" w14:paraId="6097978E" w14:textId="54928628">
            <w:pPr>
              <w:spacing w:line="276" w:lineRule="auto"/>
              <w:rPr>
                <w:b/>
                <w:bCs/>
                <w:i/>
                <w:iCs/>
                <w:sz w:val="20"/>
                <w:szCs w:val="20"/>
              </w:rPr>
            </w:pPr>
            <w:r w:rsidRPr="00CA036D">
              <w:rPr>
                <w:rStyle w:val="A11"/>
                <w:b w:val="0"/>
                <w:bCs w:val="0"/>
                <w:color w:val="auto"/>
                <w:sz w:val="20"/>
                <w:szCs w:val="20"/>
              </w:rPr>
              <w:t xml:space="preserve">394.861 </w:t>
            </w:r>
          </w:p>
        </w:tc>
        <w:tc>
          <w:tcPr>
            <w:tcW w:w="1186" w:type="dxa"/>
          </w:tcPr>
          <w:p w:rsidRPr="00CA036D" w:rsidR="00F92587" w:rsidP="00AB3031" w:rsidRDefault="00F92587" w14:paraId="5E2EF827" w14:textId="143181CD">
            <w:pPr>
              <w:spacing w:line="276" w:lineRule="auto"/>
              <w:rPr>
                <w:b/>
                <w:bCs/>
                <w:i/>
                <w:iCs/>
                <w:sz w:val="20"/>
                <w:szCs w:val="20"/>
              </w:rPr>
            </w:pPr>
            <w:r w:rsidRPr="00CA036D">
              <w:rPr>
                <w:rStyle w:val="A11"/>
                <w:b w:val="0"/>
                <w:bCs w:val="0"/>
                <w:color w:val="auto"/>
                <w:sz w:val="20"/>
                <w:szCs w:val="20"/>
              </w:rPr>
              <w:t xml:space="preserve">340.307 </w:t>
            </w:r>
          </w:p>
        </w:tc>
      </w:tr>
      <w:tr w:rsidRPr="00887228" w:rsidR="00887228" w:rsidTr="00CA036D" w14:paraId="0A882184" w14:textId="4AF2DF70">
        <w:tc>
          <w:tcPr>
            <w:tcW w:w="1951" w:type="dxa"/>
          </w:tcPr>
          <w:p w:rsidRPr="00887228" w:rsidR="00F92587" w:rsidP="00AB3031" w:rsidRDefault="00F92587" w14:paraId="72202E5C" w14:textId="60416737">
            <w:pPr>
              <w:spacing w:line="276" w:lineRule="auto"/>
              <w:rPr>
                <w:i/>
                <w:iCs/>
              </w:rPr>
            </w:pPr>
            <w:r w:rsidRPr="00887228">
              <w:rPr>
                <w:i/>
                <w:iCs/>
              </w:rPr>
              <w:t>Infrastructuur</w:t>
            </w:r>
          </w:p>
        </w:tc>
        <w:tc>
          <w:tcPr>
            <w:tcW w:w="1185" w:type="dxa"/>
          </w:tcPr>
          <w:p w:rsidRPr="00CA036D" w:rsidR="00F92587" w:rsidP="00AB3031" w:rsidRDefault="00F92587" w14:paraId="579F7B81" w14:textId="7E713849">
            <w:pPr>
              <w:spacing w:line="276" w:lineRule="auto"/>
              <w:rPr>
                <w:b/>
                <w:bCs/>
                <w:i/>
                <w:iCs/>
                <w:sz w:val="20"/>
                <w:szCs w:val="20"/>
              </w:rPr>
            </w:pPr>
            <w:r w:rsidRPr="00CA036D">
              <w:rPr>
                <w:rStyle w:val="A11"/>
                <w:b w:val="0"/>
                <w:bCs w:val="0"/>
                <w:color w:val="auto"/>
                <w:sz w:val="20"/>
                <w:szCs w:val="20"/>
              </w:rPr>
              <w:t xml:space="preserve">58.800 </w:t>
            </w:r>
          </w:p>
        </w:tc>
        <w:tc>
          <w:tcPr>
            <w:tcW w:w="1185" w:type="dxa"/>
          </w:tcPr>
          <w:p w:rsidRPr="00CA036D" w:rsidR="00F92587" w:rsidP="00AB3031" w:rsidRDefault="00F92587" w14:paraId="1C51D5EA" w14:textId="5889359E">
            <w:pPr>
              <w:spacing w:line="276" w:lineRule="auto"/>
              <w:rPr>
                <w:b/>
                <w:bCs/>
                <w:i/>
                <w:iCs/>
                <w:sz w:val="20"/>
                <w:szCs w:val="20"/>
              </w:rPr>
            </w:pPr>
            <w:r w:rsidRPr="00CA036D">
              <w:rPr>
                <w:rStyle w:val="A11"/>
                <w:b w:val="0"/>
                <w:bCs w:val="0"/>
                <w:color w:val="auto"/>
                <w:sz w:val="20"/>
                <w:szCs w:val="20"/>
              </w:rPr>
              <w:t xml:space="preserve">273.532 </w:t>
            </w:r>
          </w:p>
        </w:tc>
        <w:tc>
          <w:tcPr>
            <w:tcW w:w="1185" w:type="dxa"/>
          </w:tcPr>
          <w:p w:rsidRPr="00CA036D" w:rsidR="00F92587" w:rsidP="00AB3031" w:rsidRDefault="00F92587" w14:paraId="75F63132" w14:textId="22DACAF0">
            <w:pPr>
              <w:spacing w:line="276" w:lineRule="auto"/>
              <w:rPr>
                <w:b/>
                <w:bCs/>
                <w:i/>
                <w:iCs/>
                <w:sz w:val="20"/>
                <w:szCs w:val="20"/>
              </w:rPr>
            </w:pPr>
            <w:r w:rsidRPr="00CA036D">
              <w:rPr>
                <w:rStyle w:val="A11"/>
                <w:b w:val="0"/>
                <w:bCs w:val="0"/>
                <w:color w:val="auto"/>
                <w:sz w:val="20"/>
                <w:szCs w:val="20"/>
              </w:rPr>
              <w:t xml:space="preserve">70.830 </w:t>
            </w:r>
          </w:p>
        </w:tc>
        <w:tc>
          <w:tcPr>
            <w:tcW w:w="1185" w:type="dxa"/>
          </w:tcPr>
          <w:p w:rsidRPr="00CA036D" w:rsidR="00F92587" w:rsidP="00AB3031" w:rsidRDefault="00F92587" w14:paraId="0A383242" w14:textId="3EA8192D">
            <w:pPr>
              <w:spacing w:line="276" w:lineRule="auto"/>
              <w:rPr>
                <w:b/>
                <w:bCs/>
                <w:i/>
                <w:iCs/>
                <w:sz w:val="20"/>
                <w:szCs w:val="20"/>
              </w:rPr>
            </w:pPr>
            <w:r w:rsidRPr="00CA036D">
              <w:rPr>
                <w:rStyle w:val="A11"/>
                <w:b w:val="0"/>
                <w:bCs w:val="0"/>
                <w:color w:val="auto"/>
                <w:sz w:val="20"/>
                <w:szCs w:val="20"/>
              </w:rPr>
              <w:t xml:space="preserve">105.680 </w:t>
            </w:r>
          </w:p>
        </w:tc>
        <w:tc>
          <w:tcPr>
            <w:tcW w:w="1185" w:type="dxa"/>
          </w:tcPr>
          <w:p w:rsidRPr="00CA036D" w:rsidR="00F92587" w:rsidP="00AB3031" w:rsidRDefault="00F92587" w14:paraId="765C000E" w14:textId="51DAB1D5">
            <w:pPr>
              <w:spacing w:line="276" w:lineRule="auto"/>
              <w:rPr>
                <w:b/>
                <w:bCs/>
                <w:i/>
                <w:iCs/>
                <w:sz w:val="20"/>
                <w:szCs w:val="20"/>
              </w:rPr>
            </w:pPr>
            <w:r w:rsidRPr="00CA036D">
              <w:rPr>
                <w:rStyle w:val="A11"/>
                <w:b w:val="0"/>
                <w:bCs w:val="0"/>
                <w:color w:val="auto"/>
                <w:sz w:val="20"/>
                <w:szCs w:val="20"/>
              </w:rPr>
              <w:t xml:space="preserve">142.280 </w:t>
            </w:r>
          </w:p>
        </w:tc>
        <w:tc>
          <w:tcPr>
            <w:tcW w:w="1186" w:type="dxa"/>
          </w:tcPr>
          <w:p w:rsidRPr="00CA036D" w:rsidR="00F92587" w:rsidP="00AB3031" w:rsidRDefault="00F92587" w14:paraId="62729B69" w14:textId="4DE51417">
            <w:pPr>
              <w:spacing w:line="276" w:lineRule="auto"/>
              <w:rPr>
                <w:b/>
                <w:bCs/>
                <w:i/>
                <w:iCs/>
                <w:sz w:val="20"/>
                <w:szCs w:val="20"/>
              </w:rPr>
            </w:pPr>
            <w:r w:rsidRPr="00CA036D">
              <w:rPr>
                <w:rStyle w:val="A11"/>
                <w:b w:val="0"/>
                <w:bCs w:val="0"/>
                <w:color w:val="auto"/>
                <w:sz w:val="20"/>
                <w:szCs w:val="20"/>
              </w:rPr>
              <w:t xml:space="preserve">109.280 </w:t>
            </w:r>
          </w:p>
        </w:tc>
      </w:tr>
      <w:tr w:rsidRPr="00887228" w:rsidR="00887228" w:rsidTr="00CA036D" w14:paraId="2EC33660" w14:textId="61C0EF2C">
        <w:tc>
          <w:tcPr>
            <w:tcW w:w="1951" w:type="dxa"/>
          </w:tcPr>
          <w:p w:rsidRPr="00887228" w:rsidR="00F92587" w:rsidP="00AB3031" w:rsidRDefault="00F92587" w14:paraId="237A7E93" w14:textId="54CE9E78">
            <w:pPr>
              <w:spacing w:line="276" w:lineRule="auto"/>
              <w:rPr>
                <w:i/>
                <w:iCs/>
              </w:rPr>
            </w:pPr>
            <w:r w:rsidRPr="00887228">
              <w:rPr>
                <w:i/>
                <w:iCs/>
              </w:rPr>
              <w:lastRenderedPageBreak/>
              <w:t>Praktijkgericht</w:t>
            </w:r>
          </w:p>
        </w:tc>
        <w:tc>
          <w:tcPr>
            <w:tcW w:w="1185" w:type="dxa"/>
          </w:tcPr>
          <w:p w:rsidRPr="00CA036D" w:rsidR="00F92587" w:rsidP="00AB3031" w:rsidRDefault="00F92587" w14:paraId="2D569B08" w14:textId="695C2CD4">
            <w:pPr>
              <w:spacing w:line="276" w:lineRule="auto"/>
              <w:rPr>
                <w:b/>
                <w:bCs/>
                <w:i/>
                <w:iCs/>
                <w:sz w:val="20"/>
                <w:szCs w:val="20"/>
              </w:rPr>
            </w:pPr>
            <w:r w:rsidRPr="00CA036D">
              <w:rPr>
                <w:rStyle w:val="A11"/>
                <w:b w:val="0"/>
                <w:bCs w:val="0"/>
                <w:color w:val="auto"/>
                <w:sz w:val="20"/>
                <w:szCs w:val="20"/>
              </w:rPr>
              <w:t xml:space="preserve">69.555 </w:t>
            </w:r>
          </w:p>
        </w:tc>
        <w:tc>
          <w:tcPr>
            <w:tcW w:w="1185" w:type="dxa"/>
          </w:tcPr>
          <w:p w:rsidRPr="00CA036D" w:rsidR="00F92587" w:rsidP="00AB3031" w:rsidRDefault="00F92587" w14:paraId="6E863C46" w14:textId="1030A114">
            <w:pPr>
              <w:spacing w:line="276" w:lineRule="auto"/>
              <w:rPr>
                <w:b/>
                <w:bCs/>
                <w:i/>
                <w:iCs/>
                <w:sz w:val="20"/>
                <w:szCs w:val="20"/>
              </w:rPr>
            </w:pPr>
            <w:r w:rsidRPr="00CA036D">
              <w:rPr>
                <w:rStyle w:val="A11"/>
                <w:b w:val="0"/>
                <w:bCs w:val="0"/>
                <w:color w:val="auto"/>
                <w:sz w:val="20"/>
                <w:szCs w:val="20"/>
              </w:rPr>
              <w:t xml:space="preserve">101.889 </w:t>
            </w:r>
          </w:p>
        </w:tc>
        <w:tc>
          <w:tcPr>
            <w:tcW w:w="1185" w:type="dxa"/>
          </w:tcPr>
          <w:p w:rsidRPr="00CA036D" w:rsidR="00F92587" w:rsidP="00AB3031" w:rsidRDefault="00F92587" w14:paraId="679B3648" w14:textId="34A02A7F">
            <w:pPr>
              <w:spacing w:line="276" w:lineRule="auto"/>
              <w:rPr>
                <w:b/>
                <w:bCs/>
                <w:i/>
                <w:iCs/>
                <w:sz w:val="20"/>
                <w:szCs w:val="20"/>
              </w:rPr>
            </w:pPr>
            <w:r w:rsidRPr="00CA036D">
              <w:rPr>
                <w:rStyle w:val="A11"/>
                <w:b w:val="0"/>
                <w:bCs w:val="0"/>
                <w:color w:val="auto"/>
                <w:sz w:val="20"/>
                <w:szCs w:val="20"/>
              </w:rPr>
              <w:t xml:space="preserve">81.143 </w:t>
            </w:r>
          </w:p>
        </w:tc>
        <w:tc>
          <w:tcPr>
            <w:tcW w:w="1185" w:type="dxa"/>
          </w:tcPr>
          <w:p w:rsidRPr="00CA036D" w:rsidR="00F92587" w:rsidP="00AB3031" w:rsidRDefault="00F92587" w14:paraId="1ECBE50C" w14:textId="7F8B26BF">
            <w:pPr>
              <w:spacing w:line="276" w:lineRule="auto"/>
              <w:rPr>
                <w:b/>
                <w:bCs/>
                <w:i/>
                <w:iCs/>
                <w:sz w:val="20"/>
                <w:szCs w:val="20"/>
              </w:rPr>
            </w:pPr>
            <w:r w:rsidRPr="00CA036D">
              <w:rPr>
                <w:rStyle w:val="A11"/>
                <w:b w:val="0"/>
                <w:bCs w:val="0"/>
                <w:color w:val="auto"/>
                <w:sz w:val="20"/>
                <w:szCs w:val="20"/>
              </w:rPr>
              <w:t xml:space="preserve">97.710 </w:t>
            </w:r>
          </w:p>
        </w:tc>
        <w:tc>
          <w:tcPr>
            <w:tcW w:w="1185" w:type="dxa"/>
          </w:tcPr>
          <w:p w:rsidRPr="00CA036D" w:rsidR="00F92587" w:rsidP="00AB3031" w:rsidRDefault="00F92587" w14:paraId="045B621A" w14:textId="185A5AB6">
            <w:pPr>
              <w:spacing w:line="276" w:lineRule="auto"/>
              <w:rPr>
                <w:b/>
                <w:bCs/>
                <w:i/>
                <w:iCs/>
                <w:sz w:val="20"/>
                <w:szCs w:val="20"/>
              </w:rPr>
            </w:pPr>
            <w:r w:rsidRPr="00CA036D">
              <w:rPr>
                <w:rStyle w:val="A11"/>
                <w:b w:val="0"/>
                <w:bCs w:val="0"/>
                <w:color w:val="auto"/>
                <w:sz w:val="20"/>
                <w:szCs w:val="20"/>
              </w:rPr>
              <w:t xml:space="preserve">47.643 </w:t>
            </w:r>
          </w:p>
        </w:tc>
        <w:tc>
          <w:tcPr>
            <w:tcW w:w="1186" w:type="dxa"/>
          </w:tcPr>
          <w:p w:rsidRPr="00CA036D" w:rsidR="00F92587" w:rsidP="00AB3031" w:rsidRDefault="00F92587" w14:paraId="41A457A1" w14:textId="5D56AC31">
            <w:pPr>
              <w:spacing w:line="276" w:lineRule="auto"/>
              <w:rPr>
                <w:b/>
                <w:bCs/>
                <w:i/>
                <w:iCs/>
                <w:sz w:val="20"/>
                <w:szCs w:val="20"/>
              </w:rPr>
            </w:pPr>
            <w:r w:rsidRPr="00CA036D">
              <w:rPr>
                <w:rStyle w:val="A11"/>
                <w:b w:val="0"/>
                <w:bCs w:val="0"/>
                <w:color w:val="auto"/>
                <w:sz w:val="20"/>
                <w:szCs w:val="20"/>
              </w:rPr>
              <w:t xml:space="preserve">79.933 </w:t>
            </w:r>
          </w:p>
        </w:tc>
      </w:tr>
      <w:tr w:rsidRPr="00887228" w:rsidR="00887228" w:rsidTr="00CA036D" w14:paraId="19B4FE07" w14:textId="58C2A3DD">
        <w:tc>
          <w:tcPr>
            <w:tcW w:w="1951" w:type="dxa"/>
          </w:tcPr>
          <w:p w:rsidRPr="00887228" w:rsidR="00F92587" w:rsidP="00AB3031" w:rsidRDefault="00F92587" w14:paraId="632B666D" w14:textId="170BD69F">
            <w:pPr>
              <w:spacing w:line="276" w:lineRule="auto"/>
              <w:rPr>
                <w:i/>
                <w:iCs/>
              </w:rPr>
            </w:pPr>
            <w:r w:rsidRPr="00887228">
              <w:rPr>
                <w:i/>
                <w:iCs/>
              </w:rPr>
              <w:t>NRO</w:t>
            </w:r>
          </w:p>
        </w:tc>
        <w:tc>
          <w:tcPr>
            <w:tcW w:w="1185" w:type="dxa"/>
          </w:tcPr>
          <w:p w:rsidRPr="00CA036D" w:rsidR="00F92587" w:rsidP="00AB3031" w:rsidRDefault="00F92587" w14:paraId="13055185" w14:textId="0FC93392">
            <w:pPr>
              <w:spacing w:line="276" w:lineRule="auto"/>
              <w:rPr>
                <w:b/>
                <w:bCs/>
                <w:i/>
                <w:iCs/>
                <w:sz w:val="20"/>
                <w:szCs w:val="20"/>
              </w:rPr>
            </w:pPr>
            <w:r w:rsidRPr="00CA036D">
              <w:rPr>
                <w:rStyle w:val="A11"/>
                <w:b w:val="0"/>
                <w:bCs w:val="0"/>
                <w:color w:val="auto"/>
                <w:sz w:val="20"/>
                <w:szCs w:val="20"/>
              </w:rPr>
              <w:t xml:space="preserve">33.667 </w:t>
            </w:r>
          </w:p>
        </w:tc>
        <w:tc>
          <w:tcPr>
            <w:tcW w:w="1185" w:type="dxa"/>
          </w:tcPr>
          <w:p w:rsidRPr="00CA036D" w:rsidR="00F92587" w:rsidP="00AB3031" w:rsidRDefault="00F92587" w14:paraId="4E1520B3" w14:textId="34CC343E">
            <w:pPr>
              <w:spacing w:line="276" w:lineRule="auto"/>
              <w:rPr>
                <w:b/>
                <w:bCs/>
                <w:i/>
                <w:iCs/>
                <w:sz w:val="20"/>
                <w:szCs w:val="20"/>
              </w:rPr>
            </w:pPr>
            <w:r w:rsidRPr="00CA036D">
              <w:rPr>
                <w:rStyle w:val="A11"/>
                <w:b w:val="0"/>
                <w:bCs w:val="0"/>
                <w:color w:val="auto"/>
                <w:sz w:val="20"/>
                <w:szCs w:val="20"/>
              </w:rPr>
              <w:t xml:space="preserve">65.347 </w:t>
            </w:r>
          </w:p>
        </w:tc>
        <w:tc>
          <w:tcPr>
            <w:tcW w:w="1185" w:type="dxa"/>
          </w:tcPr>
          <w:p w:rsidRPr="00CA036D" w:rsidR="00F92587" w:rsidP="00AB3031" w:rsidRDefault="00F92587" w14:paraId="1B945483" w14:textId="18FCFDF3">
            <w:pPr>
              <w:spacing w:line="276" w:lineRule="auto"/>
              <w:rPr>
                <w:b/>
                <w:bCs/>
                <w:i/>
                <w:iCs/>
                <w:sz w:val="20"/>
                <w:szCs w:val="20"/>
              </w:rPr>
            </w:pPr>
            <w:r w:rsidRPr="00CA036D">
              <w:rPr>
                <w:rStyle w:val="A11"/>
                <w:b w:val="0"/>
                <w:bCs w:val="0"/>
                <w:color w:val="auto"/>
                <w:sz w:val="20"/>
                <w:szCs w:val="20"/>
              </w:rPr>
              <w:t xml:space="preserve">34.985 </w:t>
            </w:r>
          </w:p>
        </w:tc>
        <w:tc>
          <w:tcPr>
            <w:tcW w:w="1185" w:type="dxa"/>
          </w:tcPr>
          <w:p w:rsidRPr="00CA036D" w:rsidR="00F92587" w:rsidP="00AB3031" w:rsidRDefault="00F92587" w14:paraId="247AE522" w14:textId="3CA71B6F">
            <w:pPr>
              <w:spacing w:line="276" w:lineRule="auto"/>
              <w:rPr>
                <w:b/>
                <w:bCs/>
                <w:i/>
                <w:iCs/>
                <w:sz w:val="20"/>
                <w:szCs w:val="20"/>
              </w:rPr>
            </w:pPr>
            <w:r w:rsidRPr="00CA036D">
              <w:rPr>
                <w:rStyle w:val="A11"/>
                <w:b w:val="0"/>
                <w:bCs w:val="0"/>
                <w:color w:val="auto"/>
                <w:sz w:val="20"/>
                <w:szCs w:val="20"/>
              </w:rPr>
              <w:t xml:space="preserve">42.775 </w:t>
            </w:r>
          </w:p>
        </w:tc>
        <w:tc>
          <w:tcPr>
            <w:tcW w:w="1185" w:type="dxa"/>
          </w:tcPr>
          <w:p w:rsidRPr="00CA036D" w:rsidR="00F92587" w:rsidP="00AB3031" w:rsidRDefault="00F92587" w14:paraId="6A8A9AC1" w14:textId="71D44817">
            <w:pPr>
              <w:spacing w:line="276" w:lineRule="auto"/>
              <w:rPr>
                <w:b/>
                <w:bCs/>
                <w:i/>
                <w:iCs/>
                <w:sz w:val="20"/>
                <w:szCs w:val="20"/>
              </w:rPr>
            </w:pPr>
            <w:r w:rsidRPr="00CA036D">
              <w:rPr>
                <w:rStyle w:val="A11"/>
                <w:b w:val="0"/>
                <w:bCs w:val="0"/>
                <w:color w:val="auto"/>
                <w:sz w:val="20"/>
                <w:szCs w:val="20"/>
              </w:rPr>
              <w:t xml:space="preserve">17.423 </w:t>
            </w:r>
          </w:p>
        </w:tc>
        <w:tc>
          <w:tcPr>
            <w:tcW w:w="1186" w:type="dxa"/>
          </w:tcPr>
          <w:p w:rsidRPr="00CA036D" w:rsidR="00F92587" w:rsidP="00AB3031" w:rsidRDefault="00F92587" w14:paraId="3E153019" w14:textId="77DE813B">
            <w:pPr>
              <w:spacing w:line="276" w:lineRule="auto"/>
              <w:rPr>
                <w:b/>
                <w:bCs/>
                <w:i/>
                <w:iCs/>
                <w:sz w:val="20"/>
                <w:szCs w:val="20"/>
              </w:rPr>
            </w:pPr>
            <w:r w:rsidRPr="00CA036D">
              <w:rPr>
                <w:rStyle w:val="A11"/>
                <w:b w:val="0"/>
                <w:bCs w:val="0"/>
                <w:color w:val="auto"/>
                <w:sz w:val="20"/>
                <w:szCs w:val="20"/>
              </w:rPr>
              <w:t xml:space="preserve">31.000 </w:t>
            </w:r>
          </w:p>
        </w:tc>
      </w:tr>
      <w:tr w:rsidRPr="00887228" w:rsidR="00887228" w:rsidTr="00CA036D" w14:paraId="22EB4157" w14:textId="1BA839DD">
        <w:tc>
          <w:tcPr>
            <w:tcW w:w="1951" w:type="dxa"/>
          </w:tcPr>
          <w:p w:rsidRPr="00887228" w:rsidR="00F92587" w:rsidP="00AB3031" w:rsidRDefault="00F92587" w14:paraId="01FDC7D0" w14:textId="09AD7A80">
            <w:pPr>
              <w:spacing w:line="276" w:lineRule="auto"/>
              <w:rPr>
                <w:i/>
                <w:iCs/>
              </w:rPr>
            </w:pPr>
            <w:r w:rsidRPr="00887228">
              <w:rPr>
                <w:i/>
                <w:iCs/>
              </w:rPr>
              <w:t>Overig</w:t>
            </w:r>
          </w:p>
        </w:tc>
        <w:tc>
          <w:tcPr>
            <w:tcW w:w="1185" w:type="dxa"/>
          </w:tcPr>
          <w:p w:rsidRPr="00CA036D" w:rsidR="00F92587" w:rsidP="00AB3031" w:rsidRDefault="00F92587" w14:paraId="7FE721B8" w14:textId="6AEC7F24">
            <w:pPr>
              <w:spacing w:line="276" w:lineRule="auto"/>
              <w:rPr>
                <w:b/>
                <w:bCs/>
                <w:i/>
                <w:iCs/>
                <w:sz w:val="20"/>
                <w:szCs w:val="20"/>
              </w:rPr>
            </w:pPr>
            <w:r w:rsidRPr="00CA036D">
              <w:rPr>
                <w:rStyle w:val="A11"/>
                <w:b w:val="0"/>
                <w:bCs w:val="0"/>
                <w:color w:val="auto"/>
                <w:sz w:val="20"/>
                <w:szCs w:val="20"/>
              </w:rPr>
              <w:t xml:space="preserve">227.082 </w:t>
            </w:r>
          </w:p>
        </w:tc>
        <w:tc>
          <w:tcPr>
            <w:tcW w:w="1185" w:type="dxa"/>
          </w:tcPr>
          <w:p w:rsidRPr="00CA036D" w:rsidR="00F92587" w:rsidP="00AB3031" w:rsidRDefault="00F92587" w14:paraId="610581A9" w14:textId="0DD67B2C">
            <w:pPr>
              <w:spacing w:line="276" w:lineRule="auto"/>
              <w:rPr>
                <w:b/>
                <w:bCs/>
                <w:i/>
                <w:iCs/>
                <w:sz w:val="20"/>
                <w:szCs w:val="20"/>
              </w:rPr>
            </w:pPr>
            <w:r w:rsidRPr="00CA036D">
              <w:rPr>
                <w:rStyle w:val="A11"/>
                <w:b w:val="0"/>
                <w:bCs w:val="0"/>
                <w:color w:val="auto"/>
                <w:sz w:val="20"/>
                <w:szCs w:val="20"/>
              </w:rPr>
              <w:t xml:space="preserve">78.033 </w:t>
            </w:r>
          </w:p>
        </w:tc>
        <w:tc>
          <w:tcPr>
            <w:tcW w:w="1185" w:type="dxa"/>
          </w:tcPr>
          <w:p w:rsidRPr="00CA036D" w:rsidR="00F92587" w:rsidP="00AB3031" w:rsidRDefault="00F92587" w14:paraId="2B4C1DDE" w14:textId="783FFA75">
            <w:pPr>
              <w:spacing w:line="276" w:lineRule="auto"/>
              <w:rPr>
                <w:b/>
                <w:bCs/>
                <w:i/>
                <w:iCs/>
                <w:sz w:val="20"/>
                <w:szCs w:val="20"/>
              </w:rPr>
            </w:pPr>
            <w:r w:rsidRPr="00CA036D">
              <w:rPr>
                <w:rStyle w:val="A11"/>
                <w:b w:val="0"/>
                <w:bCs w:val="0"/>
                <w:color w:val="auto"/>
                <w:sz w:val="20"/>
                <w:szCs w:val="20"/>
              </w:rPr>
              <w:t xml:space="preserve">53.874 </w:t>
            </w:r>
          </w:p>
        </w:tc>
        <w:tc>
          <w:tcPr>
            <w:tcW w:w="1185" w:type="dxa"/>
          </w:tcPr>
          <w:p w:rsidRPr="00CA036D" w:rsidR="00F92587" w:rsidP="00AB3031" w:rsidRDefault="00F92587" w14:paraId="22228F96" w14:textId="4978528A">
            <w:pPr>
              <w:spacing w:line="276" w:lineRule="auto"/>
              <w:rPr>
                <w:b/>
                <w:bCs/>
                <w:i/>
                <w:iCs/>
                <w:sz w:val="20"/>
                <w:szCs w:val="20"/>
              </w:rPr>
            </w:pPr>
            <w:r w:rsidRPr="00CA036D">
              <w:rPr>
                <w:rStyle w:val="A11"/>
                <w:b w:val="0"/>
                <w:bCs w:val="0"/>
                <w:color w:val="auto"/>
                <w:sz w:val="20"/>
                <w:szCs w:val="20"/>
              </w:rPr>
              <w:t xml:space="preserve">50.194 </w:t>
            </w:r>
          </w:p>
        </w:tc>
        <w:tc>
          <w:tcPr>
            <w:tcW w:w="1185" w:type="dxa"/>
          </w:tcPr>
          <w:p w:rsidRPr="00CA036D" w:rsidR="00F92587" w:rsidP="00AB3031" w:rsidRDefault="00F92587" w14:paraId="15A75A52" w14:textId="280351AD">
            <w:pPr>
              <w:spacing w:line="276" w:lineRule="auto"/>
              <w:rPr>
                <w:b/>
                <w:bCs/>
                <w:i/>
                <w:iCs/>
                <w:sz w:val="20"/>
                <w:szCs w:val="20"/>
              </w:rPr>
            </w:pPr>
            <w:r w:rsidRPr="00CA036D">
              <w:rPr>
                <w:rStyle w:val="A11"/>
                <w:b w:val="0"/>
                <w:bCs w:val="0"/>
                <w:color w:val="auto"/>
                <w:sz w:val="20"/>
                <w:szCs w:val="20"/>
              </w:rPr>
              <w:t xml:space="preserve">46.134 </w:t>
            </w:r>
          </w:p>
        </w:tc>
        <w:tc>
          <w:tcPr>
            <w:tcW w:w="1186" w:type="dxa"/>
          </w:tcPr>
          <w:p w:rsidRPr="00CA036D" w:rsidR="00F92587" w:rsidP="00AB3031" w:rsidRDefault="00F92587" w14:paraId="1FC0979F" w14:textId="22610FA6">
            <w:pPr>
              <w:spacing w:line="276" w:lineRule="auto"/>
              <w:rPr>
                <w:b/>
                <w:bCs/>
                <w:i/>
                <w:iCs/>
                <w:sz w:val="20"/>
                <w:szCs w:val="20"/>
              </w:rPr>
            </w:pPr>
            <w:r w:rsidRPr="00CA036D">
              <w:rPr>
                <w:rStyle w:val="A11"/>
                <w:b w:val="0"/>
                <w:bCs w:val="0"/>
                <w:color w:val="auto"/>
                <w:sz w:val="20"/>
                <w:szCs w:val="20"/>
              </w:rPr>
              <w:t xml:space="preserve">41.633 </w:t>
            </w:r>
          </w:p>
        </w:tc>
      </w:tr>
      <w:tr w:rsidRPr="00887228" w:rsidR="00887228" w:rsidTr="00CA036D" w14:paraId="0FA171B8" w14:textId="3A857B6A">
        <w:tc>
          <w:tcPr>
            <w:tcW w:w="1951" w:type="dxa"/>
          </w:tcPr>
          <w:p w:rsidRPr="00152140" w:rsidR="00F92587" w:rsidP="00AB3031" w:rsidRDefault="00F92587" w14:paraId="1B5229F8" w14:textId="15C23CCC">
            <w:pPr>
              <w:spacing w:line="276" w:lineRule="auto"/>
              <w:rPr>
                <w:b/>
                <w:bCs/>
                <w:i/>
                <w:iCs/>
              </w:rPr>
            </w:pPr>
            <w:r w:rsidRPr="00152140">
              <w:rPr>
                <w:b/>
                <w:bCs/>
                <w:i/>
                <w:iCs/>
              </w:rPr>
              <w:t>Totaal</w:t>
            </w:r>
          </w:p>
        </w:tc>
        <w:tc>
          <w:tcPr>
            <w:tcW w:w="1185" w:type="dxa"/>
          </w:tcPr>
          <w:p w:rsidRPr="00CA036D" w:rsidR="00F92587" w:rsidP="00AB3031" w:rsidRDefault="00F92587" w14:paraId="3A20E26A" w14:textId="2A844F59">
            <w:pPr>
              <w:spacing w:line="276" w:lineRule="auto"/>
              <w:rPr>
                <w:rStyle w:val="A11"/>
                <w:b w:val="0"/>
                <w:bCs w:val="0"/>
                <w:color w:val="auto"/>
                <w:sz w:val="20"/>
                <w:szCs w:val="20"/>
              </w:rPr>
            </w:pPr>
            <w:r w:rsidRPr="00CA036D">
              <w:rPr>
                <w:rStyle w:val="A11"/>
                <w:b w:val="0"/>
                <w:bCs w:val="0"/>
                <w:color w:val="auto"/>
                <w:sz w:val="20"/>
                <w:szCs w:val="20"/>
              </w:rPr>
              <w:t xml:space="preserve">1.172.914 </w:t>
            </w:r>
          </w:p>
        </w:tc>
        <w:tc>
          <w:tcPr>
            <w:tcW w:w="1185" w:type="dxa"/>
          </w:tcPr>
          <w:p w:rsidRPr="00CA036D" w:rsidR="00F92587" w:rsidP="00AB3031" w:rsidRDefault="00F92587" w14:paraId="1A9AD5C0" w14:textId="30E4CB92">
            <w:pPr>
              <w:spacing w:line="276" w:lineRule="auto"/>
              <w:rPr>
                <w:rStyle w:val="A11"/>
                <w:b w:val="0"/>
                <w:bCs w:val="0"/>
                <w:color w:val="auto"/>
                <w:sz w:val="20"/>
                <w:szCs w:val="20"/>
              </w:rPr>
            </w:pPr>
            <w:r w:rsidRPr="00CA036D">
              <w:rPr>
                <w:rStyle w:val="A11"/>
                <w:b w:val="0"/>
                <w:bCs w:val="0"/>
                <w:color w:val="auto"/>
                <w:sz w:val="20"/>
                <w:szCs w:val="20"/>
              </w:rPr>
              <w:t xml:space="preserve">1.528.242 </w:t>
            </w:r>
          </w:p>
        </w:tc>
        <w:tc>
          <w:tcPr>
            <w:tcW w:w="1185" w:type="dxa"/>
          </w:tcPr>
          <w:p w:rsidRPr="00CA036D" w:rsidR="00F92587" w:rsidP="00AB3031" w:rsidRDefault="00F92587" w14:paraId="4106E70A" w14:textId="54626965">
            <w:pPr>
              <w:spacing w:line="276" w:lineRule="auto"/>
              <w:rPr>
                <w:rStyle w:val="A11"/>
                <w:b w:val="0"/>
                <w:bCs w:val="0"/>
                <w:color w:val="auto"/>
                <w:sz w:val="20"/>
                <w:szCs w:val="20"/>
              </w:rPr>
            </w:pPr>
            <w:r w:rsidRPr="00CA036D">
              <w:rPr>
                <w:rStyle w:val="A11"/>
                <w:b w:val="0"/>
                <w:bCs w:val="0"/>
                <w:color w:val="auto"/>
                <w:sz w:val="20"/>
                <w:szCs w:val="20"/>
              </w:rPr>
              <w:t xml:space="preserve">1.172.729 </w:t>
            </w:r>
          </w:p>
        </w:tc>
        <w:tc>
          <w:tcPr>
            <w:tcW w:w="1185" w:type="dxa"/>
          </w:tcPr>
          <w:p w:rsidRPr="00CA036D" w:rsidR="00F92587" w:rsidP="00AB3031" w:rsidRDefault="00F92587" w14:paraId="40DA3EA1" w14:textId="5E721ADC">
            <w:pPr>
              <w:spacing w:line="276" w:lineRule="auto"/>
              <w:rPr>
                <w:rStyle w:val="A11"/>
                <w:b w:val="0"/>
                <w:bCs w:val="0"/>
                <w:color w:val="auto"/>
                <w:sz w:val="20"/>
                <w:szCs w:val="20"/>
              </w:rPr>
            </w:pPr>
            <w:r w:rsidRPr="00CA036D">
              <w:rPr>
                <w:rStyle w:val="A11"/>
                <w:b w:val="0"/>
                <w:bCs w:val="0"/>
                <w:color w:val="auto"/>
                <w:sz w:val="20"/>
                <w:szCs w:val="20"/>
              </w:rPr>
              <w:t xml:space="preserve">1.101.319 </w:t>
            </w:r>
          </w:p>
        </w:tc>
        <w:tc>
          <w:tcPr>
            <w:tcW w:w="1185" w:type="dxa"/>
          </w:tcPr>
          <w:p w:rsidRPr="00CA036D" w:rsidR="00F92587" w:rsidP="00AB3031" w:rsidRDefault="00F92587" w14:paraId="5B2C2569" w14:textId="5A7D5B96">
            <w:pPr>
              <w:spacing w:line="276" w:lineRule="auto"/>
              <w:rPr>
                <w:rStyle w:val="A11"/>
                <w:b w:val="0"/>
                <w:bCs w:val="0"/>
                <w:color w:val="auto"/>
                <w:sz w:val="20"/>
                <w:szCs w:val="20"/>
              </w:rPr>
            </w:pPr>
            <w:r w:rsidRPr="00CA036D">
              <w:rPr>
                <w:rStyle w:val="A11"/>
                <w:b w:val="0"/>
                <w:bCs w:val="0"/>
                <w:color w:val="auto"/>
                <w:sz w:val="20"/>
                <w:szCs w:val="20"/>
              </w:rPr>
              <w:t xml:space="preserve">1.102.912 </w:t>
            </w:r>
          </w:p>
        </w:tc>
        <w:tc>
          <w:tcPr>
            <w:tcW w:w="1186" w:type="dxa"/>
          </w:tcPr>
          <w:p w:rsidRPr="00CA036D" w:rsidR="00F92587" w:rsidP="00AB3031" w:rsidRDefault="00F92587" w14:paraId="2DDC6461" w14:textId="162F7864">
            <w:pPr>
              <w:spacing w:line="276" w:lineRule="auto"/>
              <w:rPr>
                <w:rStyle w:val="A11"/>
                <w:b w:val="0"/>
                <w:bCs w:val="0"/>
                <w:color w:val="auto"/>
                <w:sz w:val="20"/>
                <w:szCs w:val="20"/>
              </w:rPr>
            </w:pPr>
            <w:r w:rsidRPr="00CA036D">
              <w:rPr>
                <w:rStyle w:val="A11"/>
                <w:b w:val="0"/>
                <w:bCs w:val="0"/>
                <w:color w:val="auto"/>
                <w:sz w:val="20"/>
                <w:szCs w:val="20"/>
              </w:rPr>
              <w:t>1.030.086</w:t>
            </w:r>
          </w:p>
        </w:tc>
      </w:tr>
    </w:tbl>
    <w:p w:rsidRPr="00AF208F" w:rsidR="009865E7" w:rsidP="00AB3031" w:rsidRDefault="00CA036D" w14:paraId="18DF317F" w14:textId="3C6B0DF1">
      <w:pPr>
        <w:spacing w:line="276" w:lineRule="auto"/>
        <w:rPr>
          <w:sz w:val="20"/>
          <w:szCs w:val="20"/>
        </w:rPr>
      </w:pPr>
      <w:bookmarkStart w:name="_Hlk184293909" w:id="1"/>
      <w:bookmarkStart w:name="_Hlk184293553" w:id="2"/>
      <w:r w:rsidRPr="007B3F9B">
        <w:rPr>
          <w:sz w:val="20"/>
          <w:szCs w:val="20"/>
        </w:rPr>
        <w:t xml:space="preserve">Noot. </w:t>
      </w:r>
      <w:r w:rsidRPr="007B3F9B" w:rsidR="007B3F9B">
        <w:rPr>
          <w:sz w:val="20"/>
          <w:szCs w:val="20"/>
        </w:rPr>
        <w:t xml:space="preserve">Vanwege het tweejaarlijks ritme van enkele instrumenten binnen de financieringslijn infrastructuur </w:t>
      </w:r>
      <w:r w:rsidR="007B3F9B">
        <w:rPr>
          <w:sz w:val="20"/>
          <w:szCs w:val="20"/>
        </w:rPr>
        <w:t>is het bedrag in</w:t>
      </w:r>
      <w:r w:rsidRPr="007B3F9B" w:rsidR="007B3F9B">
        <w:rPr>
          <w:sz w:val="20"/>
          <w:szCs w:val="20"/>
        </w:rPr>
        <w:t xml:space="preserve"> 2025 relatief hoog</w:t>
      </w:r>
      <w:r w:rsidR="007B3F9B">
        <w:rPr>
          <w:sz w:val="20"/>
          <w:szCs w:val="20"/>
        </w:rPr>
        <w:t>. Zo wordt</w:t>
      </w:r>
      <w:r w:rsidR="00FE65F9">
        <w:rPr>
          <w:sz w:val="20"/>
          <w:szCs w:val="20"/>
        </w:rPr>
        <w:t xml:space="preserve"> in dat jaar</w:t>
      </w:r>
      <w:r w:rsidR="007B3F9B">
        <w:rPr>
          <w:sz w:val="20"/>
          <w:szCs w:val="20"/>
        </w:rPr>
        <w:t xml:space="preserve"> bijvoorbeeld de</w:t>
      </w:r>
      <w:r w:rsidRPr="007B3F9B">
        <w:rPr>
          <w:sz w:val="20"/>
          <w:szCs w:val="20"/>
        </w:rPr>
        <w:t xml:space="preserve"> tweejaarlijkse </w:t>
      </w:r>
      <w:proofErr w:type="gramStart"/>
      <w:r w:rsidRPr="007B3F9B">
        <w:rPr>
          <w:sz w:val="20"/>
          <w:szCs w:val="20"/>
        </w:rPr>
        <w:t>GWI call</w:t>
      </w:r>
      <w:proofErr w:type="gramEnd"/>
      <w:r w:rsidRPr="007B3F9B">
        <w:rPr>
          <w:sz w:val="20"/>
          <w:szCs w:val="20"/>
        </w:rPr>
        <w:t xml:space="preserve"> </w:t>
      </w:r>
      <w:r w:rsidR="007B3F9B">
        <w:rPr>
          <w:sz w:val="20"/>
          <w:szCs w:val="20"/>
        </w:rPr>
        <w:t xml:space="preserve">toegekend, </w:t>
      </w:r>
      <w:r w:rsidRPr="007B3F9B" w:rsidR="007B3F9B">
        <w:rPr>
          <w:sz w:val="20"/>
          <w:szCs w:val="20"/>
        </w:rPr>
        <w:t>waarvoor de middelen uit het Fonds Onderzoek &amp; Wetenschap uit 2023 en 2024 zijn ingezet</w:t>
      </w:r>
      <w:r w:rsidR="007B3F9B">
        <w:rPr>
          <w:sz w:val="20"/>
          <w:szCs w:val="20"/>
        </w:rPr>
        <w:t>.</w:t>
      </w:r>
      <w:bookmarkEnd w:id="1"/>
    </w:p>
    <w:bookmarkEnd w:id="2"/>
    <w:p w:rsidR="00552C15" w:rsidP="00AB3031" w:rsidRDefault="00552C15" w14:paraId="75094263" w14:textId="77777777">
      <w:pPr>
        <w:spacing w:line="276" w:lineRule="auto"/>
      </w:pPr>
    </w:p>
    <w:p w:rsidRPr="00253595" w:rsidR="003A2799" w:rsidP="00AB3031" w:rsidRDefault="00B37DE1" w14:paraId="0E94AD5E" w14:textId="1C9FB780">
      <w:pPr>
        <w:spacing w:line="276" w:lineRule="auto"/>
        <w:rPr>
          <w:rFonts w:ascii="Verdana" w:hAnsi="Verdana" w:cs="Calibri"/>
          <w:color w:val="1F497D"/>
          <w:sz w:val="20"/>
          <w:szCs w:val="20"/>
          <w:lang w:eastAsia="en-US"/>
          <w14:ligatures w14:val="standardContextual"/>
        </w:rPr>
      </w:pPr>
      <w:r w:rsidRPr="00494884">
        <w:rPr>
          <w:i/>
          <w:iCs/>
        </w:rPr>
        <w:t>De leden van de GroenLinks-PvdA-fractie vragen</w:t>
      </w:r>
      <w:r w:rsidRPr="00494884" w:rsidR="009F2C65">
        <w:rPr>
          <w:i/>
          <w:iCs/>
        </w:rPr>
        <w:t xml:space="preserve"> hoe </w:t>
      </w:r>
      <w:r w:rsidRPr="00494884" w:rsidR="00494884">
        <w:rPr>
          <w:i/>
          <w:iCs/>
        </w:rPr>
        <w:t>ik</w:t>
      </w:r>
      <w:r w:rsidRPr="00494884" w:rsidR="009F2C65">
        <w:rPr>
          <w:i/>
          <w:iCs/>
        </w:rPr>
        <w:t xml:space="preserve"> gesprekken met NWO vormgeef en hoe de Kamer hierover geïnformeerd gaat worden</w:t>
      </w:r>
      <w:r w:rsidRPr="00253595" w:rsidR="009F2C65">
        <w:t xml:space="preserve">. </w:t>
      </w:r>
      <w:r w:rsidRPr="00253595" w:rsidR="003A2799">
        <w:t>De gesprekken met NWO vinden op reguliere basis plaats. De informatievoorziening aan de Kamer vindt plaats op de geijkte momenten zoals opgenomen in de Wet op de Nederlandse organisatie voor wetenschappelijk onderzoek en de Kaderwet zelfstandige bestuursorganen.</w:t>
      </w:r>
      <w:r w:rsidRPr="000F3BAB" w:rsidR="000F3BAB">
        <w:t xml:space="preserve"> Hiervoor is met name het jaarverslag van NWO belangrijk dat jaarlijks naar uw Kamer wordt verzonden</w:t>
      </w:r>
      <w:r w:rsidR="000F3BAB">
        <w:t>.</w:t>
      </w:r>
    </w:p>
    <w:p w:rsidRPr="00680EC5" w:rsidR="0016584D" w:rsidP="00AB3031" w:rsidRDefault="0016584D" w14:paraId="064496C8" w14:textId="77777777">
      <w:pPr>
        <w:pStyle w:val="Default"/>
        <w:spacing w:line="276" w:lineRule="auto"/>
        <w:rPr>
          <w:rFonts w:ascii="Times New Roman" w:hAnsi="Times New Roman" w:cs="Times New Roman"/>
          <w:b/>
        </w:rPr>
      </w:pPr>
    </w:p>
    <w:p w:rsidR="00024A77" w:rsidP="00AB3031" w:rsidRDefault="00C25751" w14:paraId="28078F93" w14:textId="16801EEE">
      <w:pPr>
        <w:spacing w:line="276" w:lineRule="auto"/>
        <w:rPr>
          <w:b/>
          <w:bCs/>
        </w:rPr>
      </w:pPr>
      <w:r w:rsidRPr="00680EC5">
        <w:rPr>
          <w:b/>
          <w:bCs/>
        </w:rPr>
        <w:t xml:space="preserve">Inbreng van de leden van de </w:t>
      </w:r>
      <w:r w:rsidRPr="00680EC5" w:rsidR="005F738E">
        <w:rPr>
          <w:b/>
          <w:bCs/>
        </w:rPr>
        <w:t>NSC</w:t>
      </w:r>
      <w:r w:rsidRPr="00680EC5">
        <w:rPr>
          <w:b/>
          <w:bCs/>
        </w:rPr>
        <w:t>-fractie</w:t>
      </w:r>
    </w:p>
    <w:p w:rsidRPr="00253595" w:rsidR="00CF0BF5" w:rsidP="00AB3031" w:rsidRDefault="006D5F22" w14:paraId="01CCA37C" w14:textId="2ADFBCE2">
      <w:pPr>
        <w:pStyle w:val="Default"/>
        <w:spacing w:line="276" w:lineRule="auto"/>
        <w:rPr>
          <w:rFonts w:ascii="Times New Roman" w:hAnsi="Times New Roman" w:cs="Times New Roman"/>
          <w:color w:val="auto"/>
        </w:rPr>
      </w:pPr>
      <w:r w:rsidRPr="002A6529">
        <w:rPr>
          <w:rFonts w:ascii="Times New Roman" w:hAnsi="Times New Roman" w:cs="Times New Roman"/>
          <w:bCs/>
          <w:i/>
          <w:iCs/>
        </w:rPr>
        <w:t>De leden van de NSC-fractie merken op dat h</w:t>
      </w:r>
      <w:r w:rsidRPr="002A6529" w:rsidR="00C94FD8">
        <w:rPr>
          <w:rFonts w:ascii="Times New Roman" w:hAnsi="Times New Roman" w:cs="Times New Roman"/>
          <w:bCs/>
          <w:i/>
          <w:iCs/>
        </w:rPr>
        <w:t xml:space="preserve">et voor de hand </w:t>
      </w:r>
      <w:r w:rsidRPr="002A6529">
        <w:rPr>
          <w:rFonts w:ascii="Times New Roman" w:hAnsi="Times New Roman" w:cs="Times New Roman"/>
          <w:bCs/>
          <w:i/>
          <w:iCs/>
        </w:rPr>
        <w:t xml:space="preserve">ligt </w:t>
      </w:r>
      <w:r w:rsidRPr="002A6529" w:rsidR="00C94FD8">
        <w:rPr>
          <w:rFonts w:ascii="Times New Roman" w:hAnsi="Times New Roman" w:cs="Times New Roman"/>
          <w:bCs/>
          <w:i/>
          <w:iCs/>
        </w:rPr>
        <w:t>om beleid eens in de zoveel tijd opnieuw te evalueren in het licht van nieuwe ontwikkelingen die zich voordoen, maar</w:t>
      </w:r>
      <w:r w:rsidRPr="002A6529">
        <w:rPr>
          <w:rFonts w:ascii="Times New Roman" w:hAnsi="Times New Roman" w:cs="Times New Roman"/>
          <w:bCs/>
          <w:i/>
          <w:iCs/>
        </w:rPr>
        <w:t xml:space="preserve"> vragen zich af wat </w:t>
      </w:r>
      <w:r w:rsidRPr="002A6529" w:rsidR="00C94FD8">
        <w:rPr>
          <w:rFonts w:ascii="Times New Roman" w:hAnsi="Times New Roman" w:cs="Times New Roman"/>
          <w:bCs/>
          <w:i/>
          <w:iCs/>
        </w:rPr>
        <w:t xml:space="preserve">volgens </w:t>
      </w:r>
      <w:r w:rsidR="000234AA">
        <w:rPr>
          <w:rFonts w:ascii="Times New Roman" w:hAnsi="Times New Roman" w:cs="Times New Roman"/>
          <w:bCs/>
          <w:i/>
          <w:iCs/>
        </w:rPr>
        <w:t>mij</w:t>
      </w:r>
      <w:r w:rsidRPr="002A6529" w:rsidR="00C94FD8">
        <w:rPr>
          <w:rFonts w:ascii="Times New Roman" w:hAnsi="Times New Roman" w:cs="Times New Roman"/>
          <w:bCs/>
          <w:i/>
          <w:iCs/>
        </w:rPr>
        <w:t xml:space="preserve"> in dit geval de relevante criteria </w:t>
      </w:r>
      <w:r w:rsidRPr="002A6529">
        <w:rPr>
          <w:rFonts w:ascii="Times New Roman" w:hAnsi="Times New Roman" w:cs="Times New Roman"/>
          <w:bCs/>
          <w:i/>
          <w:iCs/>
        </w:rPr>
        <w:t xml:space="preserve">zijn </w:t>
      </w:r>
      <w:r w:rsidRPr="002A6529" w:rsidR="00C94FD8">
        <w:rPr>
          <w:rFonts w:ascii="Times New Roman" w:hAnsi="Times New Roman" w:cs="Times New Roman"/>
          <w:bCs/>
          <w:i/>
          <w:iCs/>
        </w:rPr>
        <w:t>om daarbij te hanteren</w:t>
      </w:r>
      <w:r w:rsidRPr="002A6529">
        <w:rPr>
          <w:rFonts w:ascii="Times New Roman" w:hAnsi="Times New Roman" w:cs="Times New Roman"/>
          <w:bCs/>
          <w:i/>
          <w:iCs/>
        </w:rPr>
        <w:t>.</w:t>
      </w:r>
      <w:r w:rsidRPr="00253595">
        <w:rPr>
          <w:rFonts w:ascii="Times New Roman" w:hAnsi="Times New Roman" w:cs="Times New Roman"/>
          <w:bCs/>
        </w:rPr>
        <w:t xml:space="preserve"> </w:t>
      </w:r>
      <w:r w:rsidRPr="00253595" w:rsidR="00E8129F">
        <w:rPr>
          <w:rFonts w:ascii="Times New Roman" w:hAnsi="Times New Roman" w:cs="Times New Roman"/>
          <w:color w:val="auto"/>
        </w:rPr>
        <w:t>In mijn brief</w:t>
      </w:r>
      <w:r w:rsidR="00AB3031">
        <w:rPr>
          <w:rFonts w:ascii="Times New Roman" w:hAnsi="Times New Roman" w:cs="Times New Roman"/>
          <w:color w:val="auto"/>
        </w:rPr>
        <w:t xml:space="preserve"> van 30 september jl.</w:t>
      </w:r>
      <w:r w:rsidR="008416B9">
        <w:rPr>
          <w:rStyle w:val="Voetnootmarkering"/>
          <w:rFonts w:ascii="Times New Roman" w:hAnsi="Times New Roman" w:cs="Times New Roman"/>
          <w:color w:val="auto"/>
        </w:rPr>
        <w:footnoteReference w:id="3"/>
      </w:r>
      <w:r w:rsidRPr="00253595" w:rsidR="00E8129F">
        <w:rPr>
          <w:rFonts w:ascii="Times New Roman" w:hAnsi="Times New Roman" w:cs="Times New Roman"/>
          <w:color w:val="auto"/>
        </w:rPr>
        <w:t xml:space="preserve"> noem ik een aantal criteria die belangrijk zijn </w:t>
      </w:r>
      <w:r w:rsidRPr="00253595" w:rsidR="000F3BAB">
        <w:rPr>
          <w:rFonts w:ascii="Times New Roman" w:hAnsi="Times New Roman" w:cs="Times New Roman"/>
          <w:color w:val="auto"/>
        </w:rPr>
        <w:t xml:space="preserve">om </w:t>
      </w:r>
      <w:r w:rsidR="000F3BAB">
        <w:rPr>
          <w:rFonts w:ascii="Times New Roman" w:hAnsi="Times New Roman" w:cs="Times New Roman"/>
          <w:color w:val="auto"/>
        </w:rPr>
        <w:t>de impact op het systeem te meten</w:t>
      </w:r>
      <w:r w:rsidRPr="00253595" w:rsidR="00E8129F">
        <w:rPr>
          <w:rFonts w:ascii="Times New Roman" w:hAnsi="Times New Roman" w:cs="Times New Roman"/>
          <w:color w:val="auto"/>
        </w:rPr>
        <w:t xml:space="preserve">: </w:t>
      </w:r>
      <w:r w:rsidRPr="00253595" w:rsidR="004B4B63">
        <w:rPr>
          <w:rFonts w:ascii="Times New Roman" w:hAnsi="Times New Roman" w:cs="Times New Roman"/>
          <w:color w:val="auto"/>
        </w:rPr>
        <w:t>de verhouding tussen de eerste en tweede geldstroom per wetenschapsdomein</w:t>
      </w:r>
      <w:r w:rsidRPr="00253595" w:rsidR="00E8129F">
        <w:rPr>
          <w:rFonts w:ascii="Times New Roman" w:hAnsi="Times New Roman" w:cs="Times New Roman"/>
          <w:color w:val="auto"/>
        </w:rPr>
        <w:t>,</w:t>
      </w:r>
      <w:r w:rsidRPr="00253595" w:rsidR="004B4B63">
        <w:rPr>
          <w:rFonts w:ascii="Times New Roman" w:hAnsi="Times New Roman" w:cs="Times New Roman"/>
          <w:color w:val="auto"/>
        </w:rPr>
        <w:t xml:space="preserve"> de mate waarin de wetenschapsdomeinen worden gefinancierd vanuit respectievelijk universiteiten en NWO en de mate waarin wetenschapsdomeinen afhankelijk zijn van </w:t>
      </w:r>
      <w:proofErr w:type="spellStart"/>
      <w:r w:rsidRPr="00253595" w:rsidR="004B4B63">
        <w:rPr>
          <w:rFonts w:ascii="Times New Roman" w:hAnsi="Times New Roman" w:cs="Times New Roman"/>
          <w:color w:val="auto"/>
        </w:rPr>
        <w:t>onderzoeksfinanciering</w:t>
      </w:r>
      <w:proofErr w:type="spellEnd"/>
      <w:r w:rsidRPr="00253595" w:rsidR="004B4B63">
        <w:rPr>
          <w:rFonts w:ascii="Times New Roman" w:hAnsi="Times New Roman" w:cs="Times New Roman"/>
          <w:color w:val="auto"/>
        </w:rPr>
        <w:t xml:space="preserve"> vanuit NWO. In het verlengde hiervan </w:t>
      </w:r>
      <w:r w:rsidR="008B3201">
        <w:rPr>
          <w:rFonts w:ascii="Times New Roman" w:hAnsi="Times New Roman" w:cs="Times New Roman"/>
          <w:color w:val="auto"/>
        </w:rPr>
        <w:t>kan worden gedacht</w:t>
      </w:r>
      <w:r w:rsidRPr="00253595" w:rsidR="004B4B63">
        <w:rPr>
          <w:rFonts w:ascii="Times New Roman" w:hAnsi="Times New Roman" w:cs="Times New Roman"/>
          <w:color w:val="auto"/>
        </w:rPr>
        <w:t xml:space="preserve"> aan de aanvraagdruk en de </w:t>
      </w:r>
      <w:r w:rsidR="000F3BAB">
        <w:rPr>
          <w:rFonts w:ascii="Times New Roman" w:hAnsi="Times New Roman" w:cs="Times New Roman"/>
          <w:color w:val="auto"/>
        </w:rPr>
        <w:t>honoreringspercentages bij NWO</w:t>
      </w:r>
      <w:r w:rsidRPr="00253595" w:rsidR="004B4B63">
        <w:rPr>
          <w:rFonts w:ascii="Times New Roman" w:hAnsi="Times New Roman" w:cs="Times New Roman"/>
          <w:color w:val="auto"/>
        </w:rPr>
        <w:t>.</w:t>
      </w:r>
    </w:p>
    <w:p w:rsidR="00887228" w:rsidP="00AB3031" w:rsidRDefault="00887228" w14:paraId="594734BC" w14:textId="77777777">
      <w:pPr>
        <w:pStyle w:val="Default"/>
        <w:spacing w:line="276" w:lineRule="auto"/>
        <w:rPr>
          <w:rFonts w:ascii="Times New Roman" w:hAnsi="Times New Roman" w:cs="Times New Roman"/>
          <w:bCs/>
        </w:rPr>
      </w:pPr>
    </w:p>
    <w:p w:rsidRPr="00AB3031" w:rsidR="004B4B63" w:rsidP="00AB3031" w:rsidRDefault="00680972" w14:paraId="53A5C62A" w14:textId="32B475F3">
      <w:pPr>
        <w:pStyle w:val="Default"/>
        <w:spacing w:line="276" w:lineRule="auto"/>
        <w:rPr>
          <w:rFonts w:ascii="Times New Roman" w:hAnsi="Times New Roman" w:cs="Times New Roman"/>
          <w:bCs/>
          <w:color w:val="auto"/>
        </w:rPr>
      </w:pPr>
      <w:r w:rsidRPr="002A6529">
        <w:rPr>
          <w:rFonts w:ascii="Times New Roman" w:hAnsi="Times New Roman" w:cs="Times New Roman"/>
          <w:bCs/>
          <w:i/>
          <w:iCs/>
        </w:rPr>
        <w:t xml:space="preserve">De leden van de NSC-fractie </w:t>
      </w:r>
      <w:r w:rsidRPr="002A6529" w:rsidR="002D40A3">
        <w:rPr>
          <w:rFonts w:ascii="Times New Roman" w:hAnsi="Times New Roman" w:cs="Times New Roman"/>
          <w:bCs/>
          <w:i/>
          <w:iCs/>
        </w:rPr>
        <w:t xml:space="preserve">vragen zich af </w:t>
      </w:r>
      <w:r w:rsidRPr="002A6529" w:rsidR="00FF08FC">
        <w:rPr>
          <w:rFonts w:ascii="Times New Roman" w:hAnsi="Times New Roman" w:cs="Times New Roman"/>
          <w:bCs/>
          <w:i/>
          <w:iCs/>
        </w:rPr>
        <w:t>of</w:t>
      </w:r>
      <w:r w:rsidR="000234AA">
        <w:rPr>
          <w:rFonts w:ascii="Times New Roman" w:hAnsi="Times New Roman" w:cs="Times New Roman"/>
          <w:bCs/>
          <w:i/>
          <w:iCs/>
        </w:rPr>
        <w:t xml:space="preserve"> ik</w:t>
      </w:r>
      <w:r w:rsidRPr="002A6529" w:rsidR="00FF08FC">
        <w:rPr>
          <w:rFonts w:ascii="Times New Roman" w:hAnsi="Times New Roman" w:cs="Times New Roman"/>
          <w:bCs/>
          <w:i/>
          <w:iCs/>
        </w:rPr>
        <w:t xml:space="preserve"> </w:t>
      </w:r>
      <w:r w:rsidRPr="002A6529">
        <w:rPr>
          <w:rFonts w:ascii="Times New Roman" w:hAnsi="Times New Roman" w:cs="Times New Roman"/>
          <w:bCs/>
          <w:i/>
          <w:iCs/>
        </w:rPr>
        <w:t>erken dat</w:t>
      </w:r>
      <w:r w:rsidRPr="002A6529" w:rsidR="00C94FD8">
        <w:rPr>
          <w:rFonts w:ascii="Times New Roman" w:hAnsi="Times New Roman" w:cs="Times New Roman"/>
          <w:bCs/>
          <w:i/>
          <w:iCs/>
        </w:rPr>
        <w:t xml:space="preserve"> de huidige </w:t>
      </w:r>
      <w:proofErr w:type="spellStart"/>
      <w:r w:rsidRPr="002A6529" w:rsidR="00C94FD8">
        <w:rPr>
          <w:rFonts w:ascii="Times New Roman" w:hAnsi="Times New Roman" w:cs="Times New Roman"/>
          <w:bCs/>
          <w:i/>
          <w:iCs/>
        </w:rPr>
        <w:t>bekostigings</w:t>
      </w:r>
      <w:r w:rsidRPr="002A6529" w:rsidR="002D40A3">
        <w:rPr>
          <w:rFonts w:ascii="Times New Roman" w:hAnsi="Times New Roman" w:cs="Times New Roman"/>
          <w:bCs/>
          <w:i/>
          <w:iCs/>
        </w:rPr>
        <w:t>-</w:t>
      </w:r>
      <w:r w:rsidRPr="002A6529" w:rsidR="00C94FD8">
        <w:rPr>
          <w:rFonts w:ascii="Times New Roman" w:hAnsi="Times New Roman" w:cs="Times New Roman"/>
          <w:bCs/>
          <w:i/>
          <w:iCs/>
        </w:rPr>
        <w:t>systematiek</w:t>
      </w:r>
      <w:proofErr w:type="spellEnd"/>
      <w:r w:rsidRPr="002A6529" w:rsidR="00C94FD8">
        <w:rPr>
          <w:rFonts w:ascii="Times New Roman" w:hAnsi="Times New Roman" w:cs="Times New Roman"/>
          <w:bCs/>
          <w:i/>
          <w:iCs/>
        </w:rPr>
        <w:t xml:space="preserve"> vraagt om een hervorming</w:t>
      </w:r>
      <w:r w:rsidRPr="002A6529">
        <w:rPr>
          <w:rFonts w:ascii="Times New Roman" w:hAnsi="Times New Roman" w:cs="Times New Roman"/>
          <w:bCs/>
          <w:i/>
          <w:iCs/>
        </w:rPr>
        <w:t>, en z</w:t>
      </w:r>
      <w:r w:rsidRPr="002A6529" w:rsidR="00C94FD8">
        <w:rPr>
          <w:rFonts w:ascii="Times New Roman" w:hAnsi="Times New Roman" w:cs="Times New Roman"/>
          <w:bCs/>
          <w:i/>
          <w:iCs/>
        </w:rPr>
        <w:t xml:space="preserve">o ja, wat de redenen </w:t>
      </w:r>
      <w:r w:rsidRPr="002A6529" w:rsidR="00AF6F22">
        <w:rPr>
          <w:rFonts w:ascii="Times New Roman" w:hAnsi="Times New Roman" w:cs="Times New Roman"/>
          <w:bCs/>
          <w:i/>
          <w:iCs/>
        </w:rPr>
        <w:t>daarvoor zouden zijn</w:t>
      </w:r>
      <w:r w:rsidRPr="002A6529">
        <w:rPr>
          <w:rFonts w:ascii="Times New Roman" w:hAnsi="Times New Roman" w:cs="Times New Roman"/>
          <w:bCs/>
          <w:i/>
          <w:iCs/>
        </w:rPr>
        <w:t>.</w:t>
      </w:r>
      <w:r w:rsidRPr="002A6529" w:rsidR="00C94FD8">
        <w:rPr>
          <w:rFonts w:ascii="Times New Roman" w:hAnsi="Times New Roman" w:cs="Times New Roman"/>
          <w:bCs/>
          <w:i/>
          <w:iCs/>
        </w:rPr>
        <w:t xml:space="preserve"> </w:t>
      </w:r>
      <w:r w:rsidRPr="002A6529" w:rsidR="00FF08FC">
        <w:rPr>
          <w:rFonts w:ascii="Times New Roman" w:hAnsi="Times New Roman" w:cs="Times New Roman"/>
          <w:bCs/>
          <w:i/>
          <w:iCs/>
        </w:rPr>
        <w:t>Ze vragen w</w:t>
      </w:r>
      <w:r w:rsidRPr="002A6529" w:rsidR="00C94FD8">
        <w:rPr>
          <w:rFonts w:ascii="Times New Roman" w:hAnsi="Times New Roman" w:cs="Times New Roman"/>
          <w:bCs/>
          <w:i/>
          <w:iCs/>
        </w:rPr>
        <w:t>at precies het probleem</w:t>
      </w:r>
      <w:r w:rsidRPr="002A6529" w:rsidR="00FF08FC">
        <w:rPr>
          <w:rFonts w:ascii="Times New Roman" w:hAnsi="Times New Roman" w:cs="Times New Roman"/>
          <w:bCs/>
          <w:i/>
          <w:iCs/>
        </w:rPr>
        <w:t xml:space="preserve"> is</w:t>
      </w:r>
      <w:r w:rsidRPr="002A6529" w:rsidR="00C94FD8">
        <w:rPr>
          <w:rFonts w:ascii="Times New Roman" w:hAnsi="Times New Roman" w:cs="Times New Roman"/>
          <w:bCs/>
          <w:i/>
          <w:iCs/>
        </w:rPr>
        <w:t xml:space="preserve"> met de huidige verdeling en de historische groei hiervan</w:t>
      </w:r>
      <w:r w:rsidRPr="002A6529" w:rsidR="00FF08FC">
        <w:rPr>
          <w:rFonts w:ascii="Times New Roman" w:hAnsi="Times New Roman" w:cs="Times New Roman"/>
          <w:bCs/>
          <w:i/>
          <w:iCs/>
        </w:rPr>
        <w:t>.</w:t>
      </w:r>
      <w:r w:rsidRPr="00AB3031" w:rsidR="00EE64FF">
        <w:rPr>
          <w:rFonts w:ascii="Times New Roman" w:hAnsi="Times New Roman" w:cs="Times New Roman"/>
          <w:bCs/>
        </w:rPr>
        <w:t xml:space="preserve"> </w:t>
      </w:r>
      <w:r w:rsidRPr="00215E5F" w:rsidR="00215E5F">
        <w:rPr>
          <w:rFonts w:ascii="Times New Roman" w:hAnsi="Times New Roman" w:cs="Times New Roman"/>
          <w:bCs/>
        </w:rPr>
        <w:t xml:space="preserve">Er is nog geen sprake van een hervorming van de huidige bekostigingssystematiek. NWO heeft ervoor gekozen om een pilot te starten. De aanleiding hiervoor is meerledig. De huidige verdeling van het budget tussen de domeinen is historisch gegroeid en in de afgelopen twintig jaar amper aangepast. Het </w:t>
      </w:r>
      <w:proofErr w:type="spellStart"/>
      <w:r w:rsidRPr="00215E5F" w:rsidR="00215E5F">
        <w:rPr>
          <w:rFonts w:ascii="Times New Roman" w:hAnsi="Times New Roman" w:cs="Times New Roman"/>
          <w:bCs/>
        </w:rPr>
        <w:t>onderzoeksstelsel</w:t>
      </w:r>
      <w:proofErr w:type="spellEnd"/>
      <w:r w:rsidRPr="00215E5F" w:rsidR="00215E5F">
        <w:rPr>
          <w:rFonts w:ascii="Times New Roman" w:hAnsi="Times New Roman" w:cs="Times New Roman"/>
          <w:bCs/>
        </w:rPr>
        <w:t xml:space="preserve"> is in die periode wel veranderd. Denk aan de komst van de European Research Council (ERC), de sectorplannen, de opkomst van </w:t>
      </w:r>
      <w:proofErr w:type="spellStart"/>
      <w:r w:rsidRPr="00215E5F" w:rsidR="00215E5F">
        <w:rPr>
          <w:rFonts w:ascii="Times New Roman" w:hAnsi="Times New Roman" w:cs="Times New Roman"/>
          <w:bCs/>
        </w:rPr>
        <w:t>multi</w:t>
      </w:r>
      <w:proofErr w:type="spellEnd"/>
      <w:r w:rsidRPr="00215E5F" w:rsidR="00215E5F">
        <w:rPr>
          <w:rFonts w:ascii="Times New Roman" w:hAnsi="Times New Roman" w:cs="Times New Roman"/>
          <w:bCs/>
        </w:rPr>
        <w:t>- en interdisciplinair onderzoek en de sterk toegenomen competitie om onderzoeksgelden. Het aantal aanvragen is vooral in het ongebonden onderzoek flink gestegen, sneller dan de groei van het beschikbare budget, waarbij deze stijging ook verschilt per domein. Ik vind het belangrijk dat er vooralsnog uitsluitend sprake is van een pilot die goed door NWO geëvalueerd wordt. Voor dat laatste verwijs ik graag naar mijn antwoord op de vorige vraag.</w:t>
      </w:r>
    </w:p>
    <w:p w:rsidR="00CF0BF5" w:rsidP="00AB3031" w:rsidRDefault="00CF0BF5" w14:paraId="302C0680" w14:textId="77777777">
      <w:pPr>
        <w:pStyle w:val="Default"/>
        <w:spacing w:line="276" w:lineRule="auto"/>
        <w:rPr>
          <w:rFonts w:ascii="Times New Roman" w:hAnsi="Times New Roman" w:cs="Times New Roman"/>
          <w:bCs/>
          <w:color w:val="FF0000"/>
        </w:rPr>
      </w:pPr>
    </w:p>
    <w:p w:rsidRPr="00CF0209" w:rsidR="002C64CA" w:rsidP="00AB3031" w:rsidRDefault="00680972" w14:paraId="13385030" w14:textId="0BFE82D3">
      <w:pPr>
        <w:pStyle w:val="Default"/>
        <w:spacing w:line="276" w:lineRule="auto"/>
        <w:rPr>
          <w:rFonts w:ascii="Times New Roman" w:hAnsi="Times New Roman" w:cs="Times New Roman"/>
          <w:bCs/>
          <w:color w:val="auto"/>
        </w:rPr>
      </w:pPr>
      <w:r w:rsidRPr="002A6529">
        <w:rPr>
          <w:rFonts w:ascii="Times New Roman" w:hAnsi="Times New Roman" w:cs="Times New Roman"/>
          <w:bCs/>
          <w:i/>
          <w:iCs/>
        </w:rPr>
        <w:t>De leden van de NSC-fractie vragen of</w:t>
      </w:r>
      <w:r w:rsidR="000234AA">
        <w:rPr>
          <w:rFonts w:ascii="Times New Roman" w:hAnsi="Times New Roman" w:cs="Times New Roman"/>
          <w:bCs/>
          <w:i/>
          <w:iCs/>
        </w:rPr>
        <w:t xml:space="preserve"> ik</w:t>
      </w:r>
      <w:r w:rsidRPr="002A6529">
        <w:rPr>
          <w:rFonts w:ascii="Times New Roman" w:hAnsi="Times New Roman" w:cs="Times New Roman"/>
          <w:bCs/>
          <w:i/>
          <w:iCs/>
        </w:rPr>
        <w:t xml:space="preserve"> het ermee eens</w:t>
      </w:r>
      <w:r w:rsidR="000234AA">
        <w:rPr>
          <w:rFonts w:ascii="Times New Roman" w:hAnsi="Times New Roman" w:cs="Times New Roman"/>
          <w:bCs/>
          <w:i/>
          <w:iCs/>
        </w:rPr>
        <w:t xml:space="preserve"> ben</w:t>
      </w:r>
      <w:r w:rsidRPr="002A6529">
        <w:rPr>
          <w:rFonts w:ascii="Times New Roman" w:hAnsi="Times New Roman" w:cs="Times New Roman"/>
          <w:bCs/>
          <w:i/>
          <w:iCs/>
        </w:rPr>
        <w:t xml:space="preserve"> dat praktische uitvoerbaarheid weliswaar een noodzakelijke, maar onvoldoende basis is voor de inzet van de omvang van het aantal aanvragen als verdeelsleutel van het onderzoeksbudget. </w:t>
      </w:r>
      <w:r w:rsidRPr="002A6529" w:rsidR="00C94FD8">
        <w:rPr>
          <w:rFonts w:ascii="Times New Roman" w:hAnsi="Times New Roman" w:cs="Times New Roman"/>
          <w:bCs/>
          <w:i/>
          <w:iCs/>
        </w:rPr>
        <w:t xml:space="preserve">Zo ja, wat rechtvaardigt een </w:t>
      </w:r>
      <w:r w:rsidRPr="002A6529" w:rsidR="00C94FD8">
        <w:rPr>
          <w:rFonts w:ascii="Times New Roman" w:hAnsi="Times New Roman" w:cs="Times New Roman"/>
          <w:bCs/>
          <w:i/>
          <w:iCs/>
        </w:rPr>
        <w:lastRenderedPageBreak/>
        <w:t>op aanvraag gebaseerde verdeling? Wat maakt het geschikt als criterium?</w:t>
      </w:r>
      <w:r w:rsidRPr="00CF0209">
        <w:rPr>
          <w:rFonts w:ascii="Times New Roman" w:hAnsi="Times New Roman" w:cs="Times New Roman"/>
          <w:bCs/>
        </w:rPr>
        <w:t xml:space="preserve"> </w:t>
      </w:r>
      <w:r w:rsidRPr="00CF0209" w:rsidR="002C64CA">
        <w:rPr>
          <w:rFonts w:ascii="Times New Roman" w:hAnsi="Times New Roman" w:cs="Times New Roman"/>
          <w:bCs/>
          <w:color w:val="auto"/>
        </w:rPr>
        <w:t xml:space="preserve">Ik ben het ermee eens dat praktische uitvoerbaarheid niet alleen </w:t>
      </w:r>
      <w:r w:rsidRPr="00CF0209" w:rsidR="00FE6209">
        <w:rPr>
          <w:rFonts w:ascii="Times New Roman" w:hAnsi="Times New Roman" w:cs="Times New Roman"/>
          <w:bCs/>
          <w:color w:val="auto"/>
        </w:rPr>
        <w:t xml:space="preserve">de </w:t>
      </w:r>
      <w:r w:rsidRPr="00CF0209" w:rsidR="002C64CA">
        <w:rPr>
          <w:rFonts w:ascii="Times New Roman" w:hAnsi="Times New Roman" w:cs="Times New Roman"/>
          <w:bCs/>
          <w:color w:val="auto"/>
        </w:rPr>
        <w:t xml:space="preserve">basis </w:t>
      </w:r>
      <w:r w:rsidRPr="00CF0209" w:rsidR="005A485A">
        <w:rPr>
          <w:rFonts w:ascii="Times New Roman" w:hAnsi="Times New Roman" w:cs="Times New Roman"/>
          <w:bCs/>
          <w:color w:val="auto"/>
        </w:rPr>
        <w:t>kan vormen</w:t>
      </w:r>
      <w:r w:rsidRPr="00CF0209" w:rsidR="00FE6209">
        <w:rPr>
          <w:rFonts w:ascii="Times New Roman" w:hAnsi="Times New Roman" w:cs="Times New Roman"/>
          <w:bCs/>
          <w:color w:val="auto"/>
        </w:rPr>
        <w:t xml:space="preserve"> </w:t>
      </w:r>
      <w:r w:rsidRPr="00CF0209" w:rsidR="002C64CA">
        <w:rPr>
          <w:rFonts w:ascii="Times New Roman" w:hAnsi="Times New Roman" w:cs="Times New Roman"/>
          <w:bCs/>
          <w:color w:val="auto"/>
        </w:rPr>
        <w:t xml:space="preserve">voor de inzet van </w:t>
      </w:r>
      <w:r w:rsidRPr="00CF0209" w:rsidR="00FE6209">
        <w:rPr>
          <w:rFonts w:ascii="Times New Roman" w:hAnsi="Times New Roman" w:cs="Times New Roman"/>
          <w:bCs/>
          <w:color w:val="auto"/>
        </w:rPr>
        <w:t xml:space="preserve">een alternatieve </w:t>
      </w:r>
      <w:r w:rsidRPr="00CF0209" w:rsidR="002C64CA">
        <w:rPr>
          <w:rFonts w:ascii="Times New Roman" w:hAnsi="Times New Roman" w:cs="Times New Roman"/>
          <w:bCs/>
          <w:color w:val="auto"/>
        </w:rPr>
        <w:t xml:space="preserve">verdeelsleutel. </w:t>
      </w:r>
      <w:r w:rsidRPr="00CF0209" w:rsidR="00527562">
        <w:rPr>
          <w:rFonts w:ascii="Times New Roman" w:hAnsi="Times New Roman" w:cs="Times New Roman"/>
          <w:bCs/>
          <w:color w:val="auto"/>
        </w:rPr>
        <w:t>Dat is ook niet het geval in de voorliggende pilot. Volgend op h</w:t>
      </w:r>
      <w:r w:rsidRPr="00CF0209" w:rsidR="002C64CA">
        <w:rPr>
          <w:rFonts w:ascii="Times New Roman" w:hAnsi="Times New Roman" w:cs="Times New Roman"/>
          <w:bCs/>
          <w:color w:val="auto"/>
        </w:rPr>
        <w:t xml:space="preserve">et rapport </w:t>
      </w:r>
      <w:r w:rsidRPr="00CF0209" w:rsidR="00527562">
        <w:rPr>
          <w:rFonts w:ascii="Times New Roman" w:hAnsi="Times New Roman" w:cs="Times New Roman"/>
          <w:bCs/>
          <w:color w:val="auto"/>
        </w:rPr>
        <w:t xml:space="preserve">van het </w:t>
      </w:r>
      <w:r w:rsidRPr="00CF0209" w:rsidR="002C64CA">
        <w:rPr>
          <w:rFonts w:ascii="Times New Roman" w:hAnsi="Times New Roman" w:cs="Times New Roman"/>
          <w:bCs/>
          <w:color w:val="auto"/>
        </w:rPr>
        <w:t>Rathenau</w:t>
      </w:r>
      <w:r w:rsidRPr="00CF0209" w:rsidR="00527562">
        <w:rPr>
          <w:rFonts w:ascii="Times New Roman" w:hAnsi="Times New Roman" w:cs="Times New Roman"/>
          <w:bCs/>
          <w:color w:val="auto"/>
        </w:rPr>
        <w:t xml:space="preserve"> Instituut</w:t>
      </w:r>
      <w:r w:rsidRPr="00CF0209" w:rsidR="002C64CA">
        <w:rPr>
          <w:rFonts w:ascii="Times New Roman" w:hAnsi="Times New Roman" w:cs="Times New Roman"/>
          <w:bCs/>
          <w:color w:val="auto"/>
        </w:rPr>
        <w:t xml:space="preserve"> </w:t>
      </w:r>
      <w:r w:rsidRPr="00CF0209" w:rsidR="00527562">
        <w:rPr>
          <w:rFonts w:ascii="Times New Roman" w:hAnsi="Times New Roman" w:cs="Times New Roman"/>
          <w:bCs/>
          <w:color w:val="auto"/>
        </w:rPr>
        <w:t>worden door NWO in de pilot twee criteria gecombineerd toegepast</w:t>
      </w:r>
      <w:r w:rsidRPr="00CF0209" w:rsidR="007A5DCC">
        <w:rPr>
          <w:rFonts w:ascii="Times New Roman" w:hAnsi="Times New Roman" w:cs="Times New Roman"/>
          <w:bCs/>
          <w:color w:val="auto"/>
        </w:rPr>
        <w:t xml:space="preserve"> in een verdeelsleutel</w:t>
      </w:r>
      <w:r w:rsidRPr="00CF0209" w:rsidR="00527562">
        <w:rPr>
          <w:rFonts w:ascii="Times New Roman" w:hAnsi="Times New Roman" w:cs="Times New Roman"/>
          <w:bCs/>
          <w:color w:val="auto"/>
        </w:rPr>
        <w:t xml:space="preserve">: 1) behoefte, gemeten naar het aantal aanvragen binnen een domein, en 2) kwaliteit, gemeten naar het aandeel van de aanvragen in elk domein dat tenminste als ‘zeer goed’ is beoordeeld. </w:t>
      </w:r>
      <w:r w:rsidRPr="00CF0209" w:rsidR="002C64CA">
        <w:rPr>
          <w:rFonts w:ascii="Times New Roman" w:hAnsi="Times New Roman" w:cs="Times New Roman"/>
          <w:color w:val="auto"/>
        </w:rPr>
        <w:t xml:space="preserve">De gedachte daarbij </w:t>
      </w:r>
      <w:r w:rsidRPr="00CF0209" w:rsidR="00527562">
        <w:rPr>
          <w:rFonts w:ascii="Times New Roman" w:hAnsi="Times New Roman" w:cs="Times New Roman"/>
          <w:color w:val="auto"/>
        </w:rPr>
        <w:t>is</w:t>
      </w:r>
      <w:r w:rsidRPr="00CF0209" w:rsidR="002C64CA">
        <w:rPr>
          <w:rFonts w:ascii="Times New Roman" w:hAnsi="Times New Roman" w:cs="Times New Roman"/>
          <w:color w:val="auto"/>
        </w:rPr>
        <w:t xml:space="preserve"> dat een grotere</w:t>
      </w:r>
      <w:r w:rsidRPr="00CF0209" w:rsidR="005A485A">
        <w:rPr>
          <w:rFonts w:ascii="Times New Roman" w:hAnsi="Times New Roman" w:cs="Times New Roman"/>
          <w:color w:val="auto"/>
        </w:rPr>
        <w:t xml:space="preserve"> en</w:t>
      </w:r>
      <w:r w:rsidRPr="00CF0209" w:rsidR="002C64CA">
        <w:rPr>
          <w:rFonts w:ascii="Times New Roman" w:hAnsi="Times New Roman" w:cs="Times New Roman"/>
          <w:color w:val="auto"/>
        </w:rPr>
        <w:t xml:space="preserve"> </w:t>
      </w:r>
      <w:r w:rsidRPr="00CF0209" w:rsidR="00527562">
        <w:rPr>
          <w:rFonts w:ascii="Times New Roman" w:hAnsi="Times New Roman" w:cs="Times New Roman"/>
          <w:color w:val="auto"/>
        </w:rPr>
        <w:t xml:space="preserve">hoogwaardige </w:t>
      </w:r>
      <w:r w:rsidRPr="00CF0209" w:rsidR="002C64CA">
        <w:rPr>
          <w:rFonts w:ascii="Times New Roman" w:hAnsi="Times New Roman" w:cs="Times New Roman"/>
          <w:color w:val="auto"/>
        </w:rPr>
        <w:t xml:space="preserve">vraag naar middelen een rechtvaardiging </w:t>
      </w:r>
      <w:r w:rsidRPr="00CF0209" w:rsidR="00527562">
        <w:rPr>
          <w:rFonts w:ascii="Times New Roman" w:hAnsi="Times New Roman" w:cs="Times New Roman"/>
          <w:color w:val="auto"/>
        </w:rPr>
        <w:t xml:space="preserve">kan zijn </w:t>
      </w:r>
      <w:r w:rsidRPr="00CF0209" w:rsidR="002C64CA">
        <w:rPr>
          <w:rFonts w:ascii="Times New Roman" w:hAnsi="Times New Roman" w:cs="Times New Roman"/>
          <w:color w:val="auto"/>
        </w:rPr>
        <w:t>voor een groter aandeel in het budget.</w:t>
      </w:r>
      <w:r w:rsidR="00834236">
        <w:rPr>
          <w:rFonts w:ascii="Times New Roman" w:hAnsi="Times New Roman" w:cs="Times New Roman"/>
          <w:color w:val="auto"/>
        </w:rPr>
        <w:t xml:space="preserve"> De pilot moet uitwijzen in hoeverre deze criteria geschikt zijn. </w:t>
      </w:r>
    </w:p>
    <w:p w:rsidR="00CF0BF5" w:rsidP="00AB3031" w:rsidRDefault="00CF0BF5" w14:paraId="688539EA" w14:textId="77777777">
      <w:pPr>
        <w:pStyle w:val="Default"/>
        <w:spacing w:line="276" w:lineRule="auto"/>
        <w:rPr>
          <w:rFonts w:ascii="Times New Roman" w:hAnsi="Times New Roman" w:cs="Times New Roman"/>
          <w:bCs/>
        </w:rPr>
      </w:pPr>
    </w:p>
    <w:p w:rsidRPr="00CF0209" w:rsidR="008F4697" w:rsidP="00AB3031" w:rsidRDefault="00C94FD8" w14:paraId="0827AE4E" w14:textId="76FDD6E5">
      <w:pPr>
        <w:pStyle w:val="Default"/>
        <w:spacing w:line="276" w:lineRule="auto"/>
        <w:rPr>
          <w:rFonts w:ascii="Times New Roman" w:hAnsi="Times New Roman" w:cs="Times New Roman"/>
          <w:bCs/>
        </w:rPr>
      </w:pPr>
      <w:r w:rsidRPr="002A6529">
        <w:rPr>
          <w:rFonts w:ascii="Times New Roman" w:hAnsi="Times New Roman" w:cs="Times New Roman"/>
          <w:bCs/>
          <w:i/>
          <w:iCs/>
        </w:rPr>
        <w:t xml:space="preserve">De leden </w:t>
      </w:r>
      <w:r w:rsidRPr="002A6529" w:rsidR="00E02E7F">
        <w:rPr>
          <w:rFonts w:ascii="Times New Roman" w:hAnsi="Times New Roman" w:cs="Times New Roman"/>
          <w:bCs/>
          <w:i/>
          <w:iCs/>
        </w:rPr>
        <w:t xml:space="preserve">van de NSC-fractie </w:t>
      </w:r>
      <w:r w:rsidRPr="002A6529">
        <w:rPr>
          <w:rFonts w:ascii="Times New Roman" w:hAnsi="Times New Roman" w:cs="Times New Roman"/>
          <w:bCs/>
          <w:i/>
          <w:iCs/>
        </w:rPr>
        <w:t>vragen wat de pilot precies behelst</w:t>
      </w:r>
      <w:r w:rsidRPr="002A6529" w:rsidR="001764D8">
        <w:rPr>
          <w:rFonts w:ascii="Times New Roman" w:hAnsi="Times New Roman" w:cs="Times New Roman"/>
          <w:bCs/>
          <w:i/>
          <w:iCs/>
        </w:rPr>
        <w:t>.</w:t>
      </w:r>
      <w:r w:rsidRPr="002A6529">
        <w:rPr>
          <w:rFonts w:ascii="Times New Roman" w:hAnsi="Times New Roman" w:cs="Times New Roman"/>
          <w:bCs/>
          <w:i/>
          <w:iCs/>
        </w:rPr>
        <w:t xml:space="preserve"> Welke aanvragen tellen mee? Vindt de verdeling plaats op basis van aantal aanvragen of </w:t>
      </w:r>
      <w:r w:rsidRPr="002A6529" w:rsidR="001764D8">
        <w:rPr>
          <w:rFonts w:ascii="Times New Roman" w:hAnsi="Times New Roman" w:cs="Times New Roman"/>
          <w:bCs/>
          <w:i/>
          <w:iCs/>
        </w:rPr>
        <w:t xml:space="preserve">op basis van </w:t>
      </w:r>
      <w:r w:rsidRPr="002A6529">
        <w:rPr>
          <w:rFonts w:ascii="Times New Roman" w:hAnsi="Times New Roman" w:cs="Times New Roman"/>
          <w:bCs/>
          <w:i/>
          <w:iCs/>
        </w:rPr>
        <w:t>hoeveel geld er wordt aangevraagd? Hoe vaak mag iemand een aanvraag indienen</w:t>
      </w:r>
      <w:r w:rsidRPr="002A6529" w:rsidR="009409DA">
        <w:rPr>
          <w:rFonts w:ascii="Times New Roman" w:hAnsi="Times New Roman" w:cs="Times New Roman"/>
          <w:bCs/>
          <w:i/>
          <w:iCs/>
        </w:rPr>
        <w:t xml:space="preserve"> e</w:t>
      </w:r>
      <w:r w:rsidRPr="002A6529">
        <w:rPr>
          <w:rFonts w:ascii="Times New Roman" w:hAnsi="Times New Roman" w:cs="Times New Roman"/>
          <w:bCs/>
          <w:i/>
          <w:iCs/>
        </w:rPr>
        <w:t>n hoe vaak wordt de verdeling opnieuw gemaakt op basis van aanvragen?</w:t>
      </w:r>
      <w:r w:rsidRPr="00CF0209" w:rsidR="0072510A">
        <w:rPr>
          <w:rFonts w:ascii="Times New Roman" w:hAnsi="Times New Roman" w:cs="Times New Roman"/>
          <w:bCs/>
        </w:rPr>
        <w:t xml:space="preserve"> </w:t>
      </w:r>
      <w:r w:rsidRPr="00CF0209" w:rsidR="008F4697">
        <w:rPr>
          <w:rFonts w:ascii="Times New Roman" w:hAnsi="Times New Roman" w:cs="Times New Roman"/>
          <w:bCs/>
        </w:rPr>
        <w:t>NWO heeft besloten een</w:t>
      </w:r>
      <w:r w:rsidR="002A6529">
        <w:rPr>
          <w:rFonts w:ascii="Times New Roman" w:hAnsi="Times New Roman" w:cs="Times New Roman"/>
          <w:bCs/>
        </w:rPr>
        <w:t xml:space="preserve"> klein</w:t>
      </w:r>
      <w:r w:rsidRPr="00CF0209" w:rsidR="008F4697">
        <w:rPr>
          <w:rFonts w:ascii="Times New Roman" w:hAnsi="Times New Roman" w:cs="Times New Roman"/>
          <w:bCs/>
        </w:rPr>
        <w:t xml:space="preserve"> deel van het budget van het NWO Talentprogramma</w:t>
      </w:r>
      <w:r w:rsidRPr="002A6529" w:rsidR="002A6529">
        <w:rPr>
          <w:rStyle w:val="cf01"/>
          <w:rFonts w:ascii="Times New Roman" w:hAnsi="Times New Roman" w:cs="Times New Roman"/>
          <w:sz w:val="24"/>
          <w:szCs w:val="24"/>
        </w:rPr>
        <w:t xml:space="preserve"> </w:t>
      </w:r>
      <w:proofErr w:type="spellStart"/>
      <w:r w:rsidRPr="00011406" w:rsidR="002A6529">
        <w:rPr>
          <w:rStyle w:val="cf01"/>
          <w:rFonts w:ascii="Times New Roman" w:hAnsi="Times New Roman" w:cs="Times New Roman"/>
          <w:sz w:val="24"/>
          <w:szCs w:val="24"/>
        </w:rPr>
        <w:t>Veni</w:t>
      </w:r>
      <w:proofErr w:type="spellEnd"/>
      <w:r w:rsidRPr="00011406" w:rsidR="002A6529">
        <w:rPr>
          <w:rStyle w:val="cf01"/>
          <w:rFonts w:ascii="Times New Roman" w:hAnsi="Times New Roman" w:cs="Times New Roman"/>
          <w:sz w:val="24"/>
          <w:szCs w:val="24"/>
        </w:rPr>
        <w:t>/</w:t>
      </w:r>
      <w:proofErr w:type="spellStart"/>
      <w:r w:rsidRPr="00011406" w:rsidR="002A6529">
        <w:rPr>
          <w:rStyle w:val="cf01"/>
          <w:rFonts w:ascii="Times New Roman" w:hAnsi="Times New Roman" w:cs="Times New Roman"/>
          <w:sz w:val="24"/>
          <w:szCs w:val="24"/>
        </w:rPr>
        <w:t>Vidi</w:t>
      </w:r>
      <w:proofErr w:type="spellEnd"/>
      <w:r w:rsidRPr="00011406" w:rsidR="002A6529">
        <w:rPr>
          <w:rStyle w:val="cf01"/>
          <w:rFonts w:ascii="Times New Roman" w:hAnsi="Times New Roman" w:cs="Times New Roman"/>
          <w:sz w:val="24"/>
          <w:szCs w:val="24"/>
        </w:rPr>
        <w:t>/</w:t>
      </w:r>
      <w:proofErr w:type="spellStart"/>
      <w:r w:rsidRPr="00011406" w:rsidR="002A6529">
        <w:rPr>
          <w:rStyle w:val="cf01"/>
          <w:rFonts w:ascii="Times New Roman" w:hAnsi="Times New Roman" w:cs="Times New Roman"/>
          <w:sz w:val="24"/>
          <w:szCs w:val="24"/>
        </w:rPr>
        <w:t>Vici</w:t>
      </w:r>
      <w:proofErr w:type="spellEnd"/>
      <w:r w:rsidRPr="00CF0209" w:rsidR="008F4697">
        <w:rPr>
          <w:rFonts w:ascii="Times New Roman" w:hAnsi="Times New Roman" w:cs="Times New Roman"/>
          <w:bCs/>
        </w:rPr>
        <w:t xml:space="preserve"> vanaf 2025</w:t>
      </w:r>
      <w:r w:rsidR="000C2FC2">
        <w:rPr>
          <w:rFonts w:ascii="Times New Roman" w:hAnsi="Times New Roman" w:cs="Times New Roman"/>
          <w:bCs/>
        </w:rPr>
        <w:t xml:space="preserve"> tot en met 2027</w:t>
      </w:r>
      <w:r w:rsidRPr="00CF0209" w:rsidR="008F4697">
        <w:rPr>
          <w:rFonts w:ascii="Times New Roman" w:hAnsi="Times New Roman" w:cs="Times New Roman"/>
          <w:bCs/>
        </w:rPr>
        <w:t xml:space="preserve"> bij wijze van pilot op een andere manier te verdelen. </w:t>
      </w:r>
      <w:r w:rsidR="000C2FC2">
        <w:rPr>
          <w:rFonts w:ascii="Times New Roman" w:hAnsi="Times New Roman" w:cs="Times New Roman"/>
          <w:bCs/>
        </w:rPr>
        <w:t>Het gaat om</w:t>
      </w:r>
      <w:r w:rsidRPr="00CF0209" w:rsidR="000C2FC2">
        <w:rPr>
          <w:rFonts w:ascii="Times New Roman" w:hAnsi="Times New Roman" w:cs="Times New Roman"/>
          <w:bCs/>
        </w:rPr>
        <w:t xml:space="preserve"> €</w:t>
      </w:r>
      <w:r w:rsidR="005D4D50">
        <w:rPr>
          <w:rFonts w:ascii="Times New Roman" w:hAnsi="Times New Roman" w:cs="Times New Roman"/>
          <w:bCs/>
        </w:rPr>
        <w:t xml:space="preserve"> </w:t>
      </w:r>
      <w:r w:rsidRPr="00CF0209" w:rsidR="000C2FC2">
        <w:rPr>
          <w:rFonts w:ascii="Times New Roman" w:hAnsi="Times New Roman" w:cs="Times New Roman"/>
          <w:bCs/>
        </w:rPr>
        <w:t>37,5 miljoen</w:t>
      </w:r>
      <w:r w:rsidR="000C2FC2">
        <w:rPr>
          <w:rFonts w:ascii="Times New Roman" w:hAnsi="Times New Roman" w:cs="Times New Roman"/>
          <w:bCs/>
        </w:rPr>
        <w:t>. Vo</w:t>
      </w:r>
      <w:r w:rsidRPr="00CF0209" w:rsidR="000C2FC2">
        <w:rPr>
          <w:rFonts w:ascii="Times New Roman" w:hAnsi="Times New Roman" w:cs="Times New Roman"/>
          <w:bCs/>
        </w:rPr>
        <w:t>or de overige € 153,7 miljoen</w:t>
      </w:r>
      <w:r w:rsidR="000C2FC2">
        <w:rPr>
          <w:rFonts w:ascii="Times New Roman" w:hAnsi="Times New Roman" w:cs="Times New Roman"/>
          <w:bCs/>
        </w:rPr>
        <w:t xml:space="preserve"> wordt</w:t>
      </w:r>
      <w:r w:rsidRPr="00CF0209" w:rsidR="000C2FC2">
        <w:rPr>
          <w:rFonts w:ascii="Times New Roman" w:hAnsi="Times New Roman" w:cs="Times New Roman"/>
          <w:bCs/>
        </w:rPr>
        <w:t xml:space="preserve"> de historische verdeling aan</w:t>
      </w:r>
      <w:r w:rsidR="000C2FC2">
        <w:rPr>
          <w:rFonts w:ascii="Times New Roman" w:hAnsi="Times New Roman" w:cs="Times New Roman"/>
          <w:bCs/>
        </w:rPr>
        <w:t>ge</w:t>
      </w:r>
      <w:r w:rsidRPr="00CF0209" w:rsidR="000C2FC2">
        <w:rPr>
          <w:rFonts w:ascii="Times New Roman" w:hAnsi="Times New Roman" w:cs="Times New Roman"/>
          <w:bCs/>
        </w:rPr>
        <w:t>houden.</w:t>
      </w:r>
      <w:r w:rsidR="000C2FC2">
        <w:rPr>
          <w:rFonts w:ascii="Times New Roman" w:hAnsi="Times New Roman" w:cs="Times New Roman"/>
          <w:bCs/>
        </w:rPr>
        <w:t xml:space="preserve"> </w:t>
      </w:r>
      <w:r w:rsidRPr="00CF0209" w:rsidR="008F4697">
        <w:rPr>
          <w:rFonts w:ascii="Times New Roman" w:hAnsi="Times New Roman" w:cs="Times New Roman"/>
          <w:bCs/>
        </w:rPr>
        <w:t>Voor de rondes 202</w:t>
      </w:r>
      <w:r w:rsidR="007C152C">
        <w:rPr>
          <w:rFonts w:ascii="Times New Roman" w:hAnsi="Times New Roman" w:cs="Times New Roman"/>
          <w:bCs/>
        </w:rPr>
        <w:t>5</w:t>
      </w:r>
      <w:r w:rsidRPr="00CF0209" w:rsidR="008F4697">
        <w:rPr>
          <w:rFonts w:ascii="Times New Roman" w:hAnsi="Times New Roman" w:cs="Times New Roman"/>
          <w:bCs/>
        </w:rPr>
        <w:t>-202</w:t>
      </w:r>
      <w:r w:rsidR="007C152C">
        <w:rPr>
          <w:rFonts w:ascii="Times New Roman" w:hAnsi="Times New Roman" w:cs="Times New Roman"/>
          <w:bCs/>
        </w:rPr>
        <w:t>7</w:t>
      </w:r>
      <w:r w:rsidRPr="00CF0209" w:rsidR="008F4697">
        <w:rPr>
          <w:rFonts w:ascii="Times New Roman" w:hAnsi="Times New Roman" w:cs="Times New Roman"/>
          <w:bCs/>
        </w:rPr>
        <w:t xml:space="preserve"> is de verdeling van het budget </w:t>
      </w:r>
      <w:r w:rsidR="000C2FC2">
        <w:rPr>
          <w:rFonts w:ascii="Times New Roman" w:hAnsi="Times New Roman" w:cs="Times New Roman"/>
          <w:bCs/>
        </w:rPr>
        <w:t xml:space="preserve">van de pilot </w:t>
      </w:r>
      <w:r w:rsidRPr="00CF0209" w:rsidR="008F4697">
        <w:rPr>
          <w:rFonts w:ascii="Times New Roman" w:hAnsi="Times New Roman" w:cs="Times New Roman"/>
          <w:bCs/>
        </w:rPr>
        <w:t xml:space="preserve">over de domeinen bepaald op basis van </w:t>
      </w:r>
      <w:r w:rsidR="002A6529">
        <w:rPr>
          <w:rFonts w:ascii="Times New Roman" w:hAnsi="Times New Roman" w:cs="Times New Roman"/>
          <w:bCs/>
        </w:rPr>
        <w:t>het aantal aanvragen (</w:t>
      </w:r>
      <w:r w:rsidRPr="00CF0209" w:rsidR="008F4697">
        <w:rPr>
          <w:rFonts w:ascii="Times New Roman" w:hAnsi="Times New Roman" w:cs="Times New Roman"/>
          <w:bCs/>
        </w:rPr>
        <w:t xml:space="preserve">de behoefte aan </w:t>
      </w:r>
      <w:proofErr w:type="spellStart"/>
      <w:r w:rsidRPr="00CF0209" w:rsidR="008F4697">
        <w:rPr>
          <w:rFonts w:ascii="Times New Roman" w:hAnsi="Times New Roman" w:cs="Times New Roman"/>
          <w:bCs/>
        </w:rPr>
        <w:t>onderzoeksfinanciering</w:t>
      </w:r>
      <w:proofErr w:type="spellEnd"/>
      <w:r w:rsidRPr="00CF0209" w:rsidR="008F4697">
        <w:rPr>
          <w:rFonts w:ascii="Times New Roman" w:hAnsi="Times New Roman" w:cs="Times New Roman"/>
          <w:bCs/>
        </w:rPr>
        <w:t xml:space="preserve">) </w:t>
      </w:r>
      <w:r w:rsidRPr="00CF0209" w:rsidR="00E44F14">
        <w:rPr>
          <w:rFonts w:ascii="Times New Roman" w:hAnsi="Times New Roman" w:cs="Times New Roman"/>
          <w:bCs/>
        </w:rPr>
        <w:t>in de jaren 2022 en 2023</w:t>
      </w:r>
      <w:r w:rsidR="00E44F14">
        <w:rPr>
          <w:rFonts w:ascii="Times New Roman" w:hAnsi="Times New Roman" w:cs="Times New Roman"/>
          <w:bCs/>
        </w:rPr>
        <w:t xml:space="preserve"> die minimaal zijn beoordeeld als </w:t>
      </w:r>
      <w:r w:rsidRPr="00CF0209" w:rsidR="008F4697">
        <w:rPr>
          <w:rFonts w:ascii="Times New Roman" w:hAnsi="Times New Roman" w:cs="Times New Roman"/>
          <w:bCs/>
        </w:rPr>
        <w:t>‘zeer goed’.</w:t>
      </w:r>
      <w:r w:rsidRPr="00CF0209" w:rsidR="00B205BE">
        <w:rPr>
          <w:rFonts w:ascii="Times New Roman" w:hAnsi="Times New Roman" w:cs="Times New Roman"/>
          <w:bCs/>
        </w:rPr>
        <w:t xml:space="preserve"> De </w:t>
      </w:r>
      <w:r w:rsidRPr="00CF0209" w:rsidR="00666BCA">
        <w:rPr>
          <w:rFonts w:ascii="Times New Roman" w:hAnsi="Times New Roman" w:cs="Times New Roman"/>
          <w:bCs/>
        </w:rPr>
        <w:t>her</w:t>
      </w:r>
      <w:r w:rsidRPr="00CF0209" w:rsidR="00B205BE">
        <w:rPr>
          <w:rFonts w:ascii="Times New Roman" w:hAnsi="Times New Roman" w:cs="Times New Roman"/>
          <w:bCs/>
        </w:rPr>
        <w:t xml:space="preserve">verdeling van het budget </w:t>
      </w:r>
      <w:r w:rsidRPr="00CF0209" w:rsidR="009D01DC">
        <w:rPr>
          <w:rFonts w:ascii="Times New Roman" w:hAnsi="Times New Roman" w:cs="Times New Roman"/>
          <w:bCs/>
        </w:rPr>
        <w:t xml:space="preserve">is </w:t>
      </w:r>
      <w:r w:rsidR="00E44F14">
        <w:rPr>
          <w:rFonts w:ascii="Times New Roman" w:hAnsi="Times New Roman" w:cs="Times New Roman"/>
          <w:bCs/>
        </w:rPr>
        <w:t xml:space="preserve">dus </w:t>
      </w:r>
      <w:r w:rsidRPr="00CF0209" w:rsidR="009D01DC">
        <w:rPr>
          <w:rFonts w:ascii="Times New Roman" w:hAnsi="Times New Roman" w:cs="Times New Roman"/>
          <w:bCs/>
        </w:rPr>
        <w:t>eenmalig</w:t>
      </w:r>
      <w:r w:rsidRPr="00CF0209" w:rsidR="00B205BE">
        <w:rPr>
          <w:rFonts w:ascii="Times New Roman" w:hAnsi="Times New Roman" w:cs="Times New Roman"/>
          <w:bCs/>
        </w:rPr>
        <w:t xml:space="preserve"> bepaald op basis van aanvragen die in rondes </w:t>
      </w:r>
      <w:r w:rsidRPr="00BB76E7" w:rsidR="00B205BE">
        <w:rPr>
          <w:rFonts w:ascii="Times New Roman" w:hAnsi="Times New Roman" w:cs="Times New Roman"/>
          <w:bCs/>
        </w:rPr>
        <w:t>in het verleden</w:t>
      </w:r>
      <w:r w:rsidRPr="00CF0209" w:rsidR="00B205BE">
        <w:rPr>
          <w:rFonts w:ascii="Times New Roman" w:hAnsi="Times New Roman" w:cs="Times New Roman"/>
          <w:bCs/>
        </w:rPr>
        <w:t xml:space="preserve"> zijn ingedien</w:t>
      </w:r>
      <w:r w:rsidR="00A95499">
        <w:rPr>
          <w:rFonts w:ascii="Times New Roman" w:hAnsi="Times New Roman" w:cs="Times New Roman"/>
          <w:bCs/>
        </w:rPr>
        <w:t>d.</w:t>
      </w:r>
      <w:r w:rsidRPr="00CF0209" w:rsidR="008F4697">
        <w:rPr>
          <w:rFonts w:ascii="Times New Roman" w:hAnsi="Times New Roman" w:cs="Times New Roman"/>
          <w:bCs/>
        </w:rPr>
        <w:t xml:space="preserve"> </w:t>
      </w:r>
      <w:r w:rsidRPr="00CF0209" w:rsidR="00F90A9B">
        <w:rPr>
          <w:rFonts w:ascii="Times New Roman" w:hAnsi="Times New Roman" w:cs="Times New Roman"/>
          <w:bCs/>
        </w:rPr>
        <w:t xml:space="preserve">De aanvragen die in </w:t>
      </w:r>
      <w:r w:rsidRPr="00CF0209" w:rsidR="009D01DC">
        <w:rPr>
          <w:rFonts w:ascii="Times New Roman" w:hAnsi="Times New Roman" w:cs="Times New Roman"/>
          <w:bCs/>
        </w:rPr>
        <w:t xml:space="preserve">komende </w:t>
      </w:r>
      <w:r w:rsidRPr="00CF0209" w:rsidR="00F90A9B">
        <w:rPr>
          <w:rFonts w:ascii="Times New Roman" w:hAnsi="Times New Roman" w:cs="Times New Roman"/>
          <w:bCs/>
        </w:rPr>
        <w:t>rondes worden ingediend</w:t>
      </w:r>
      <w:r w:rsidR="00D13949">
        <w:rPr>
          <w:rFonts w:ascii="Times New Roman" w:hAnsi="Times New Roman" w:cs="Times New Roman"/>
          <w:bCs/>
        </w:rPr>
        <w:t>,</w:t>
      </w:r>
      <w:r w:rsidRPr="00CF0209" w:rsidR="00F90A9B">
        <w:rPr>
          <w:rFonts w:ascii="Times New Roman" w:hAnsi="Times New Roman" w:cs="Times New Roman"/>
          <w:bCs/>
        </w:rPr>
        <w:t xml:space="preserve"> </w:t>
      </w:r>
      <w:r w:rsidRPr="00CF0209" w:rsidR="00666BCA">
        <w:rPr>
          <w:rFonts w:ascii="Times New Roman" w:hAnsi="Times New Roman" w:cs="Times New Roman"/>
          <w:bCs/>
        </w:rPr>
        <w:t xml:space="preserve">tellen </w:t>
      </w:r>
      <w:r w:rsidRPr="00CF0209" w:rsidR="00F90A9B">
        <w:rPr>
          <w:rFonts w:ascii="Times New Roman" w:hAnsi="Times New Roman" w:cs="Times New Roman"/>
          <w:bCs/>
        </w:rPr>
        <w:t>niet mee voor de herverdeling van het budget in de pilot.</w:t>
      </w:r>
      <w:r w:rsidRPr="00CF0209" w:rsidR="00B205BE">
        <w:rPr>
          <w:rFonts w:ascii="Times New Roman" w:hAnsi="Times New Roman" w:cs="Times New Roman"/>
          <w:bCs/>
        </w:rPr>
        <w:t xml:space="preserve"> </w:t>
      </w:r>
      <w:r w:rsidRPr="00CF0209" w:rsidR="008F4697">
        <w:rPr>
          <w:rFonts w:ascii="Times New Roman" w:hAnsi="Times New Roman" w:cs="Times New Roman"/>
          <w:bCs/>
        </w:rPr>
        <w:t>De nieuwe verdeelsleutel geldt voor drie jaar en de effecten worden gemonitord.</w:t>
      </w:r>
    </w:p>
    <w:p w:rsidRPr="00BA053A" w:rsidR="00423DAA" w:rsidP="00AB3031" w:rsidRDefault="00423DAA" w14:paraId="319F1540" w14:textId="77777777">
      <w:pPr>
        <w:pStyle w:val="Default"/>
        <w:spacing w:line="276" w:lineRule="auto"/>
        <w:rPr>
          <w:rFonts w:ascii="Times New Roman" w:hAnsi="Times New Roman" w:cs="Times New Roman"/>
          <w:bCs/>
          <w:i/>
          <w:iCs/>
        </w:rPr>
      </w:pPr>
    </w:p>
    <w:p w:rsidRPr="00CF0209" w:rsidR="00F63394" w:rsidP="00AB3031" w:rsidRDefault="00527562" w14:paraId="12BDF120" w14:textId="6617BF3F">
      <w:pPr>
        <w:spacing w:line="276" w:lineRule="auto"/>
        <w:rPr>
          <w:color w:val="FF0000"/>
        </w:rPr>
      </w:pPr>
      <w:r w:rsidRPr="002079C6">
        <w:rPr>
          <w:i/>
          <w:iCs/>
        </w:rPr>
        <w:t>De leden van de NSC-fractie vragen welke maatregelen er nog meer genomen worden om de aanvraagdruk echt te reduceren.</w:t>
      </w:r>
      <w:r w:rsidRPr="00CF0209">
        <w:t xml:space="preserve"> </w:t>
      </w:r>
      <w:r w:rsidRPr="00CF0209" w:rsidR="00062C9A">
        <w:t xml:space="preserve">In mijn brief </w:t>
      </w:r>
      <w:r w:rsidR="00CF0209">
        <w:t xml:space="preserve">van 30 september jl. </w:t>
      </w:r>
      <w:r w:rsidRPr="00CF0209" w:rsidR="00062C9A">
        <w:t xml:space="preserve">heb ik aangegeven dat </w:t>
      </w:r>
      <w:r w:rsidRPr="00CF0209" w:rsidR="0054085A">
        <w:t xml:space="preserve">NWO en UNL eerder gezamenlijk voorstellen </w:t>
      </w:r>
      <w:r w:rsidRPr="00CF0209" w:rsidR="00062C9A">
        <w:t xml:space="preserve">hebben </w:t>
      </w:r>
      <w:r w:rsidRPr="00CF0209" w:rsidR="0054085A">
        <w:t>gedaan voor het verlagen van de druk op het wetenschapssysteem.</w:t>
      </w:r>
      <w:r w:rsidRPr="00CF0209" w:rsidR="00EC749F">
        <w:rPr>
          <w:color w:val="FF0000"/>
        </w:rPr>
        <w:t xml:space="preserve"> </w:t>
      </w:r>
      <w:r w:rsidRPr="00CF0209" w:rsidR="00F63394">
        <w:t xml:space="preserve">NWO en UNL stelden in 2020 een integraal plan op om de druk op het wetenschapssysteem te reduceren. Eén van de drie lijnen in dat plan is het reduceren en beheersen van de aanvraagdruk. NWO heeft binnen een aantal programma’s maatregelen genomen, zoals het beperken van het aantal </w:t>
      </w:r>
      <w:proofErr w:type="spellStart"/>
      <w:r w:rsidRPr="00CF0209" w:rsidR="00F63394">
        <w:t>herindieningen</w:t>
      </w:r>
      <w:proofErr w:type="spellEnd"/>
      <w:r w:rsidR="00A4336E">
        <w:t xml:space="preserve">, </w:t>
      </w:r>
      <w:r w:rsidRPr="00CF0209" w:rsidR="00F63394">
        <w:t xml:space="preserve">het invoeren van doorlopend indienen en </w:t>
      </w:r>
      <w:r w:rsidR="00A4336E">
        <w:t xml:space="preserve">het invoeren van </w:t>
      </w:r>
      <w:r w:rsidRPr="00CF0209" w:rsidR="00F63394">
        <w:t xml:space="preserve">vooraanmeldingen. De universiteiten </w:t>
      </w:r>
      <w:r w:rsidRPr="00CF0209" w:rsidR="00FE6209">
        <w:t>hebben</w:t>
      </w:r>
      <w:r w:rsidRPr="00CF0209" w:rsidR="00F63394">
        <w:t xml:space="preserve"> aan de versterking van de Research Support Offices </w:t>
      </w:r>
      <w:r w:rsidRPr="00CF0209" w:rsidR="00FE6209">
        <w:t xml:space="preserve">gewerkt </w:t>
      </w:r>
      <w:r w:rsidRPr="00CF0209" w:rsidR="00F63394">
        <w:t xml:space="preserve">en verminderen de nadruk op externe financieringsaanvragen in de wetenschappelijke carrière </w:t>
      </w:r>
      <w:r w:rsidRPr="00CF0209" w:rsidR="00FE6209">
        <w:t>met behulp van</w:t>
      </w:r>
      <w:r w:rsidRPr="00CF0209" w:rsidR="00F63394">
        <w:t xml:space="preserve"> het landelijk programma Erkennen &amp; Waarderen. Zoals ik in mijn brief aan uw Kamer aangaf, ga ik met NWO en UNL in gesprek over de uitvoering en doorontwikkeling van dit plan met het oog op de pilot en de budgetwijzigingen.</w:t>
      </w:r>
    </w:p>
    <w:p w:rsidR="00F845B9" w:rsidP="00AB3031" w:rsidRDefault="00F845B9" w14:paraId="3DECB6F6" w14:textId="77777777">
      <w:pPr>
        <w:pStyle w:val="Default"/>
        <w:spacing w:line="276" w:lineRule="auto"/>
        <w:rPr>
          <w:rFonts w:ascii="Times New Roman" w:hAnsi="Times New Roman" w:cs="Times New Roman"/>
          <w:bCs/>
          <w:i/>
          <w:iCs/>
        </w:rPr>
      </w:pPr>
    </w:p>
    <w:p w:rsidRPr="00CF0209" w:rsidR="007149D7" w:rsidP="00AB3031" w:rsidRDefault="00EC749F" w14:paraId="2114EF6B" w14:textId="3AFC65E4">
      <w:pPr>
        <w:pStyle w:val="Default"/>
        <w:spacing w:line="276" w:lineRule="auto"/>
        <w:rPr>
          <w:rFonts w:ascii="Times New Roman" w:hAnsi="Times New Roman" w:cs="Times New Roman"/>
          <w:bCs/>
        </w:rPr>
      </w:pPr>
      <w:r w:rsidRPr="002079C6">
        <w:rPr>
          <w:rFonts w:ascii="Times New Roman" w:hAnsi="Times New Roman" w:cs="Times New Roman"/>
          <w:bCs/>
          <w:i/>
          <w:iCs/>
        </w:rPr>
        <w:t xml:space="preserve">De leden van de NSC-fractie vragen of </w:t>
      </w:r>
      <w:r w:rsidR="000234AA">
        <w:rPr>
          <w:rFonts w:ascii="Times New Roman" w:hAnsi="Times New Roman" w:cs="Times New Roman"/>
          <w:bCs/>
          <w:i/>
          <w:iCs/>
        </w:rPr>
        <w:t>ik</w:t>
      </w:r>
      <w:r w:rsidRPr="002079C6" w:rsidR="00C94FD8">
        <w:rPr>
          <w:rFonts w:ascii="Times New Roman" w:hAnsi="Times New Roman" w:cs="Times New Roman"/>
          <w:bCs/>
          <w:i/>
          <w:iCs/>
        </w:rPr>
        <w:t xml:space="preserve"> het </w:t>
      </w:r>
      <w:r w:rsidRPr="002079C6" w:rsidR="00A30B03">
        <w:rPr>
          <w:rFonts w:ascii="Times New Roman" w:hAnsi="Times New Roman" w:cs="Times New Roman"/>
          <w:bCs/>
          <w:i/>
          <w:iCs/>
        </w:rPr>
        <w:t xml:space="preserve">ermee </w:t>
      </w:r>
      <w:r w:rsidRPr="002079C6" w:rsidR="00C94FD8">
        <w:rPr>
          <w:rFonts w:ascii="Times New Roman" w:hAnsi="Times New Roman" w:cs="Times New Roman"/>
          <w:bCs/>
          <w:i/>
          <w:iCs/>
        </w:rPr>
        <w:t>eens</w:t>
      </w:r>
      <w:r w:rsidRPr="002079C6">
        <w:rPr>
          <w:rFonts w:ascii="Times New Roman" w:hAnsi="Times New Roman" w:cs="Times New Roman"/>
          <w:bCs/>
          <w:i/>
          <w:iCs/>
        </w:rPr>
        <w:t xml:space="preserve"> </w:t>
      </w:r>
      <w:r w:rsidR="000234AA">
        <w:rPr>
          <w:rFonts w:ascii="Times New Roman" w:hAnsi="Times New Roman" w:cs="Times New Roman"/>
          <w:bCs/>
          <w:i/>
          <w:iCs/>
        </w:rPr>
        <w:t>ben</w:t>
      </w:r>
      <w:r w:rsidRPr="002079C6" w:rsidR="00C94FD8">
        <w:rPr>
          <w:rFonts w:ascii="Times New Roman" w:hAnsi="Times New Roman" w:cs="Times New Roman"/>
          <w:bCs/>
          <w:i/>
          <w:iCs/>
        </w:rPr>
        <w:t xml:space="preserve"> dat geld verdelen tussen domeinen op basis van </w:t>
      </w:r>
      <w:r w:rsidRPr="002079C6" w:rsidR="00A30B03">
        <w:rPr>
          <w:rFonts w:ascii="Times New Roman" w:hAnsi="Times New Roman" w:cs="Times New Roman"/>
          <w:bCs/>
          <w:i/>
          <w:iCs/>
        </w:rPr>
        <w:t xml:space="preserve">het </w:t>
      </w:r>
      <w:r w:rsidRPr="002079C6" w:rsidR="00C94FD8">
        <w:rPr>
          <w:rFonts w:ascii="Times New Roman" w:hAnsi="Times New Roman" w:cs="Times New Roman"/>
          <w:bCs/>
          <w:i/>
          <w:iCs/>
        </w:rPr>
        <w:t>aantal aanvragen een directe prikkel is om als decanen zoveel mogelijk aanvragen in te dienen</w:t>
      </w:r>
      <w:r w:rsidRPr="002079C6">
        <w:rPr>
          <w:rFonts w:ascii="Times New Roman" w:hAnsi="Times New Roman" w:cs="Times New Roman"/>
          <w:bCs/>
          <w:i/>
          <w:iCs/>
        </w:rPr>
        <w:t>.</w:t>
      </w:r>
      <w:r w:rsidRPr="00CF0209" w:rsidR="00C94FD8">
        <w:rPr>
          <w:rFonts w:ascii="Times New Roman" w:hAnsi="Times New Roman" w:cs="Times New Roman"/>
          <w:bCs/>
        </w:rPr>
        <w:t xml:space="preserve"> </w:t>
      </w:r>
      <w:r w:rsidRPr="00CF0209" w:rsidR="007149D7">
        <w:rPr>
          <w:rFonts w:ascii="Times New Roman" w:hAnsi="Times New Roman" w:cs="Times New Roman"/>
          <w:bCs/>
        </w:rPr>
        <w:t xml:space="preserve">In mijn brief geef ik aan dat een verdeling van budget op basis van de omvang van de vraag onbedoeld strategisch gedrag vanuit de aanvragers </w:t>
      </w:r>
      <w:r w:rsidRPr="00CF0209" w:rsidR="00AD2827">
        <w:rPr>
          <w:rFonts w:ascii="Times New Roman" w:hAnsi="Times New Roman" w:cs="Times New Roman"/>
          <w:bCs/>
        </w:rPr>
        <w:t xml:space="preserve">kan </w:t>
      </w:r>
      <w:r w:rsidRPr="00CF0209" w:rsidR="007149D7">
        <w:rPr>
          <w:rFonts w:ascii="Times New Roman" w:hAnsi="Times New Roman" w:cs="Times New Roman"/>
          <w:bCs/>
        </w:rPr>
        <w:t xml:space="preserve">uitlokken, waarbij het aantal aanvragen vanuit een wetenschapsdomein op termijn kan leiden tot meer budget voor het betreffende wetenschapsdomein. Vanuit de afzonderlijke </w:t>
      </w:r>
      <w:r w:rsidRPr="00CF0209" w:rsidR="007149D7">
        <w:rPr>
          <w:rFonts w:ascii="Times New Roman" w:hAnsi="Times New Roman" w:cs="Times New Roman"/>
          <w:bCs/>
        </w:rPr>
        <w:lastRenderedPageBreak/>
        <w:t>wetenschapsdomeinen kan dit rationeel gedrag zijn, maar op stelselniveau kan dit suboptimale uitkomsten geven.</w:t>
      </w:r>
      <w:r w:rsidRPr="00CF0209" w:rsidR="00BD1E78">
        <w:rPr>
          <w:rFonts w:ascii="Times New Roman" w:hAnsi="Times New Roman" w:cs="Times New Roman"/>
          <w:bCs/>
        </w:rPr>
        <w:t xml:space="preserve"> </w:t>
      </w:r>
      <w:r w:rsidR="00CD01A9">
        <w:rPr>
          <w:rFonts w:ascii="Times New Roman" w:hAnsi="Times New Roman" w:cs="Times New Roman"/>
          <w:bCs/>
        </w:rPr>
        <w:t xml:space="preserve">Bovendien leidt zo’n concurrentie op aantallen tot een steeds lager honoreringspercentage en dus tot steeds meer aanvraagdruk. </w:t>
      </w:r>
      <w:r w:rsidR="00102912">
        <w:rPr>
          <w:rFonts w:ascii="Times New Roman" w:hAnsi="Times New Roman" w:cs="Times New Roman"/>
          <w:bCs/>
        </w:rPr>
        <w:t>De</w:t>
      </w:r>
      <w:r w:rsidRPr="00CF0209" w:rsidR="00102912">
        <w:rPr>
          <w:rFonts w:ascii="Times New Roman" w:hAnsi="Times New Roman" w:cs="Times New Roman"/>
          <w:bCs/>
        </w:rPr>
        <w:t xml:space="preserve"> </w:t>
      </w:r>
      <w:r w:rsidRPr="00CF0209" w:rsidR="00BD1E78">
        <w:rPr>
          <w:rFonts w:ascii="Times New Roman" w:hAnsi="Times New Roman" w:cs="Times New Roman"/>
          <w:bCs/>
        </w:rPr>
        <w:t xml:space="preserve">evaluatie </w:t>
      </w:r>
      <w:r w:rsidR="00102912">
        <w:rPr>
          <w:rFonts w:ascii="Times New Roman" w:hAnsi="Times New Roman" w:cs="Times New Roman"/>
          <w:bCs/>
        </w:rPr>
        <w:t>van</w:t>
      </w:r>
      <w:r w:rsidRPr="00CF0209" w:rsidR="00102912">
        <w:rPr>
          <w:rFonts w:ascii="Times New Roman" w:hAnsi="Times New Roman" w:cs="Times New Roman"/>
          <w:bCs/>
        </w:rPr>
        <w:t xml:space="preserve"> </w:t>
      </w:r>
      <w:r w:rsidRPr="00CF0209" w:rsidR="00BD1E78">
        <w:rPr>
          <w:rFonts w:ascii="Times New Roman" w:hAnsi="Times New Roman" w:cs="Times New Roman"/>
          <w:bCs/>
        </w:rPr>
        <w:t>d</w:t>
      </w:r>
      <w:r w:rsidRPr="00CF0209" w:rsidR="007149D7">
        <w:rPr>
          <w:rFonts w:ascii="Times New Roman" w:hAnsi="Times New Roman" w:cs="Times New Roman"/>
          <w:bCs/>
        </w:rPr>
        <w:t xml:space="preserve">e pilot </w:t>
      </w:r>
      <w:r w:rsidR="00102912">
        <w:rPr>
          <w:rFonts w:ascii="Times New Roman" w:hAnsi="Times New Roman" w:cs="Times New Roman"/>
          <w:bCs/>
        </w:rPr>
        <w:t xml:space="preserve">zal </w:t>
      </w:r>
      <w:r w:rsidRPr="00CF0209" w:rsidR="007149D7">
        <w:rPr>
          <w:rFonts w:ascii="Times New Roman" w:hAnsi="Times New Roman" w:cs="Times New Roman"/>
          <w:bCs/>
        </w:rPr>
        <w:t xml:space="preserve">moeten uitwijzen wat de </w:t>
      </w:r>
      <w:r w:rsidR="00102912">
        <w:rPr>
          <w:rFonts w:ascii="Times New Roman" w:hAnsi="Times New Roman" w:cs="Times New Roman"/>
          <w:bCs/>
        </w:rPr>
        <w:t>effecten zijn van een dergelijke aanpak</w:t>
      </w:r>
      <w:r w:rsidRPr="00CF0209" w:rsidR="007149D7">
        <w:rPr>
          <w:rFonts w:ascii="Times New Roman" w:hAnsi="Times New Roman" w:cs="Times New Roman"/>
          <w:bCs/>
        </w:rPr>
        <w:t>.</w:t>
      </w:r>
    </w:p>
    <w:p w:rsidRPr="00CF0209" w:rsidR="007149D7" w:rsidP="00AB3031" w:rsidRDefault="007149D7" w14:paraId="48D5E6F0" w14:textId="77777777">
      <w:pPr>
        <w:pStyle w:val="Default"/>
        <w:spacing w:line="276" w:lineRule="auto"/>
        <w:rPr>
          <w:rFonts w:ascii="Times New Roman" w:hAnsi="Times New Roman" w:cs="Times New Roman"/>
          <w:bCs/>
        </w:rPr>
      </w:pPr>
    </w:p>
    <w:p w:rsidRPr="00CF0209" w:rsidR="001B7E40" w:rsidP="00AB3031" w:rsidRDefault="00EC749F" w14:paraId="20EAB6DB" w14:textId="3D3DECA6">
      <w:pPr>
        <w:pStyle w:val="Default"/>
        <w:spacing w:line="276" w:lineRule="auto"/>
        <w:rPr>
          <w:rFonts w:ascii="Times New Roman" w:hAnsi="Times New Roman" w:cs="Times New Roman"/>
          <w:bCs/>
          <w:color w:val="auto"/>
        </w:rPr>
      </w:pPr>
      <w:r w:rsidRPr="002079C6">
        <w:rPr>
          <w:rFonts w:ascii="Times New Roman" w:hAnsi="Times New Roman" w:cs="Times New Roman"/>
          <w:bCs/>
          <w:i/>
          <w:iCs/>
        </w:rPr>
        <w:t>De</w:t>
      </w:r>
      <w:r w:rsidRPr="002079C6" w:rsidR="00A30B03">
        <w:rPr>
          <w:rFonts w:ascii="Times New Roman" w:hAnsi="Times New Roman" w:cs="Times New Roman"/>
          <w:bCs/>
          <w:i/>
          <w:iCs/>
        </w:rPr>
        <w:t xml:space="preserve"> leden van de NSC-fractie</w:t>
      </w:r>
      <w:r w:rsidRPr="002079C6">
        <w:rPr>
          <w:rFonts w:ascii="Times New Roman" w:hAnsi="Times New Roman" w:cs="Times New Roman"/>
          <w:bCs/>
          <w:i/>
          <w:iCs/>
        </w:rPr>
        <w:t xml:space="preserve"> geven aan</w:t>
      </w:r>
      <w:r w:rsidRPr="002079C6" w:rsidR="00A30B03">
        <w:rPr>
          <w:rFonts w:ascii="Times New Roman" w:hAnsi="Times New Roman" w:cs="Times New Roman"/>
          <w:bCs/>
          <w:i/>
          <w:iCs/>
        </w:rPr>
        <w:t xml:space="preserve"> van mening </w:t>
      </w:r>
      <w:r w:rsidRPr="002079C6">
        <w:rPr>
          <w:rFonts w:ascii="Times New Roman" w:hAnsi="Times New Roman" w:cs="Times New Roman"/>
          <w:bCs/>
          <w:i/>
          <w:iCs/>
        </w:rPr>
        <w:t xml:space="preserve">te zijn </w:t>
      </w:r>
      <w:r w:rsidRPr="002079C6" w:rsidR="00A30B03">
        <w:rPr>
          <w:rFonts w:ascii="Times New Roman" w:hAnsi="Times New Roman" w:cs="Times New Roman"/>
          <w:bCs/>
          <w:i/>
          <w:iCs/>
        </w:rPr>
        <w:t xml:space="preserve">dat </w:t>
      </w:r>
      <w:r w:rsidRPr="002079C6" w:rsidR="00C94FD8">
        <w:rPr>
          <w:rFonts w:ascii="Times New Roman" w:hAnsi="Times New Roman" w:cs="Times New Roman"/>
          <w:bCs/>
          <w:i/>
          <w:iCs/>
        </w:rPr>
        <w:t>de ‘tombola’, de grote invloed van willekeur wanneer het toekenningspercentage onder de 25% valt</w:t>
      </w:r>
      <w:r w:rsidRPr="002079C6" w:rsidR="00A30B03">
        <w:rPr>
          <w:rFonts w:ascii="Times New Roman" w:hAnsi="Times New Roman" w:cs="Times New Roman"/>
          <w:bCs/>
          <w:i/>
          <w:iCs/>
        </w:rPr>
        <w:t>,</w:t>
      </w:r>
      <w:r w:rsidRPr="002079C6" w:rsidR="00C94FD8">
        <w:rPr>
          <w:rFonts w:ascii="Times New Roman" w:hAnsi="Times New Roman" w:cs="Times New Roman"/>
          <w:bCs/>
          <w:i/>
          <w:iCs/>
        </w:rPr>
        <w:t xml:space="preserve"> </w:t>
      </w:r>
      <w:r w:rsidRPr="002079C6" w:rsidR="00A30B03">
        <w:rPr>
          <w:rFonts w:ascii="Times New Roman" w:hAnsi="Times New Roman" w:cs="Times New Roman"/>
          <w:bCs/>
          <w:i/>
          <w:iCs/>
        </w:rPr>
        <w:t>e</w:t>
      </w:r>
      <w:r w:rsidRPr="002079C6" w:rsidR="00C94FD8">
        <w:rPr>
          <w:rFonts w:ascii="Times New Roman" w:hAnsi="Times New Roman" w:cs="Times New Roman"/>
          <w:bCs/>
          <w:i/>
          <w:iCs/>
        </w:rPr>
        <w:t>en hardnekkig probleem</w:t>
      </w:r>
      <w:r w:rsidRPr="002079C6" w:rsidR="00A30B03">
        <w:rPr>
          <w:rFonts w:ascii="Times New Roman" w:hAnsi="Times New Roman" w:cs="Times New Roman"/>
          <w:bCs/>
          <w:i/>
          <w:iCs/>
        </w:rPr>
        <w:t xml:space="preserve"> is</w:t>
      </w:r>
      <w:r w:rsidRPr="002079C6" w:rsidR="00C94FD8">
        <w:rPr>
          <w:rFonts w:ascii="Times New Roman" w:hAnsi="Times New Roman" w:cs="Times New Roman"/>
          <w:bCs/>
          <w:i/>
          <w:iCs/>
        </w:rPr>
        <w:t xml:space="preserve">. </w:t>
      </w:r>
      <w:r w:rsidRPr="002079C6">
        <w:rPr>
          <w:rFonts w:ascii="Times New Roman" w:hAnsi="Times New Roman" w:cs="Times New Roman"/>
          <w:bCs/>
          <w:i/>
          <w:iCs/>
        </w:rPr>
        <w:t xml:space="preserve">Zij vragen welke pilots </w:t>
      </w:r>
      <w:r w:rsidR="000234AA">
        <w:rPr>
          <w:rFonts w:ascii="Times New Roman" w:hAnsi="Times New Roman" w:cs="Times New Roman"/>
          <w:bCs/>
          <w:i/>
          <w:iCs/>
        </w:rPr>
        <w:t>ik</w:t>
      </w:r>
      <w:r w:rsidRPr="002079C6">
        <w:rPr>
          <w:rFonts w:ascii="Times New Roman" w:hAnsi="Times New Roman" w:cs="Times New Roman"/>
          <w:bCs/>
          <w:i/>
          <w:iCs/>
        </w:rPr>
        <w:t xml:space="preserve"> graag zou </w:t>
      </w:r>
      <w:r w:rsidRPr="002079C6" w:rsidR="00C94FD8">
        <w:rPr>
          <w:rFonts w:ascii="Times New Roman" w:hAnsi="Times New Roman" w:cs="Times New Roman"/>
          <w:bCs/>
          <w:i/>
          <w:iCs/>
        </w:rPr>
        <w:t>willen zien om dit rechtvaardiger in te richten</w:t>
      </w:r>
      <w:r w:rsidR="000234AA">
        <w:rPr>
          <w:rFonts w:ascii="Times New Roman" w:hAnsi="Times New Roman" w:cs="Times New Roman"/>
          <w:bCs/>
          <w:i/>
          <w:iCs/>
        </w:rPr>
        <w:t>.</w:t>
      </w:r>
      <w:r w:rsidRPr="00CF0209">
        <w:rPr>
          <w:rFonts w:ascii="Times New Roman" w:hAnsi="Times New Roman" w:cs="Times New Roman"/>
          <w:bCs/>
        </w:rPr>
        <w:t xml:space="preserve"> </w:t>
      </w:r>
      <w:r w:rsidRPr="00CF0209" w:rsidR="00B64F73">
        <w:rPr>
          <w:rFonts w:ascii="Times New Roman" w:hAnsi="Times New Roman" w:cs="Times New Roman"/>
          <w:bCs/>
          <w:color w:val="auto"/>
        </w:rPr>
        <w:t xml:space="preserve">Ik steun het streven van NWO om te komen tot meer acceptabele </w:t>
      </w:r>
      <w:r w:rsidRPr="00FE3335" w:rsidR="00B64F73">
        <w:rPr>
          <w:rFonts w:ascii="Times New Roman" w:hAnsi="Times New Roman" w:cs="Times New Roman"/>
          <w:bCs/>
          <w:color w:val="auto"/>
        </w:rPr>
        <w:t>honoreringspercentages van minimaal 25 procent. In dat kader verwijs ik graag naar mijn antwoord</w:t>
      </w:r>
      <w:r w:rsidRPr="00FE3335" w:rsidR="00FE3335">
        <w:rPr>
          <w:rFonts w:ascii="Times New Roman" w:hAnsi="Times New Roman" w:cs="Times New Roman"/>
          <w:bCs/>
          <w:color w:val="auto"/>
        </w:rPr>
        <w:t xml:space="preserve"> hierboven</w:t>
      </w:r>
      <w:r w:rsidRPr="00FE3335" w:rsidR="00B64F73">
        <w:rPr>
          <w:rFonts w:ascii="Times New Roman" w:hAnsi="Times New Roman" w:cs="Times New Roman"/>
          <w:bCs/>
          <w:color w:val="auto"/>
        </w:rPr>
        <w:t xml:space="preserve"> </w:t>
      </w:r>
      <w:r w:rsidRPr="00FE3335" w:rsidR="00FE3335">
        <w:rPr>
          <w:rFonts w:ascii="Times New Roman" w:hAnsi="Times New Roman" w:cs="Times New Roman"/>
          <w:bCs/>
          <w:color w:val="auto"/>
        </w:rPr>
        <w:t>op de vraag van NSC over het reduceren van de aanvraagdruk</w:t>
      </w:r>
      <w:r w:rsidRPr="00FE3335" w:rsidR="00B64F73">
        <w:rPr>
          <w:rFonts w:ascii="Times New Roman" w:hAnsi="Times New Roman" w:cs="Times New Roman"/>
          <w:bCs/>
          <w:color w:val="auto"/>
        </w:rPr>
        <w:t>.</w:t>
      </w:r>
    </w:p>
    <w:p w:rsidRPr="00266EA4" w:rsidR="002644AC" w:rsidP="00AB3031" w:rsidRDefault="002644AC" w14:paraId="63655D1B" w14:textId="77777777">
      <w:pPr>
        <w:pStyle w:val="Default"/>
        <w:spacing w:line="276" w:lineRule="auto"/>
        <w:rPr>
          <w:rFonts w:ascii="Times New Roman" w:hAnsi="Times New Roman" w:cs="Times New Roman"/>
          <w:bCs/>
          <w:i/>
          <w:iCs/>
          <w:color w:val="FF0000"/>
        </w:rPr>
      </w:pPr>
    </w:p>
    <w:p w:rsidRPr="00FE3335" w:rsidR="00B64F73" w:rsidP="00AB3031" w:rsidRDefault="00EC749F" w14:paraId="10D13DA7" w14:textId="43A7A23C">
      <w:pPr>
        <w:pStyle w:val="Default"/>
        <w:spacing w:line="276" w:lineRule="auto"/>
        <w:rPr>
          <w:rFonts w:ascii="Times New Roman" w:hAnsi="Times New Roman" w:cs="Times New Roman"/>
          <w:bCs/>
          <w:color w:val="auto"/>
        </w:rPr>
      </w:pPr>
      <w:r w:rsidRPr="002079C6">
        <w:rPr>
          <w:rFonts w:ascii="Times New Roman" w:hAnsi="Times New Roman" w:cs="Times New Roman"/>
          <w:bCs/>
          <w:i/>
          <w:iCs/>
        </w:rPr>
        <w:t>De leden van de NSC-fractie vragen h</w:t>
      </w:r>
      <w:r w:rsidRPr="002079C6" w:rsidR="00C94FD8">
        <w:rPr>
          <w:rFonts w:ascii="Times New Roman" w:hAnsi="Times New Roman" w:cs="Times New Roman"/>
          <w:bCs/>
          <w:i/>
          <w:iCs/>
        </w:rPr>
        <w:t xml:space="preserve">oe </w:t>
      </w:r>
      <w:r w:rsidR="000234AA">
        <w:rPr>
          <w:rFonts w:ascii="Times New Roman" w:hAnsi="Times New Roman" w:cs="Times New Roman"/>
          <w:bCs/>
          <w:i/>
          <w:iCs/>
        </w:rPr>
        <w:t>ik</w:t>
      </w:r>
      <w:r w:rsidRPr="002079C6" w:rsidR="00C94FD8">
        <w:rPr>
          <w:rFonts w:ascii="Times New Roman" w:hAnsi="Times New Roman" w:cs="Times New Roman"/>
          <w:bCs/>
          <w:i/>
          <w:iCs/>
        </w:rPr>
        <w:t xml:space="preserve"> </w:t>
      </w:r>
      <w:r w:rsidRPr="002079C6">
        <w:rPr>
          <w:rFonts w:ascii="Times New Roman" w:hAnsi="Times New Roman" w:cs="Times New Roman"/>
          <w:bCs/>
          <w:i/>
          <w:iCs/>
        </w:rPr>
        <w:t xml:space="preserve">kijk </w:t>
      </w:r>
      <w:r w:rsidRPr="002079C6" w:rsidR="00C94FD8">
        <w:rPr>
          <w:rFonts w:ascii="Times New Roman" w:hAnsi="Times New Roman" w:cs="Times New Roman"/>
          <w:bCs/>
          <w:i/>
          <w:iCs/>
        </w:rPr>
        <w:t>naar een pilot met gewogen loting met groepen die rondom de ‘zaaglijn’ vallen</w:t>
      </w:r>
      <w:r w:rsidR="009A0A90">
        <w:rPr>
          <w:rFonts w:ascii="Times New Roman" w:hAnsi="Times New Roman" w:cs="Times New Roman"/>
          <w:bCs/>
          <w:i/>
          <w:iCs/>
        </w:rPr>
        <w:t>.</w:t>
      </w:r>
      <w:r w:rsidRPr="00FE3335" w:rsidR="001B7E40">
        <w:rPr>
          <w:rFonts w:ascii="Times New Roman" w:hAnsi="Times New Roman" w:cs="Times New Roman"/>
          <w:bCs/>
        </w:rPr>
        <w:t xml:space="preserve"> </w:t>
      </w:r>
      <w:r w:rsidRPr="00FE3335" w:rsidR="006F7479">
        <w:rPr>
          <w:rFonts w:ascii="Times New Roman" w:hAnsi="Times New Roman" w:cs="Times New Roman"/>
          <w:bCs/>
          <w:color w:val="auto"/>
        </w:rPr>
        <w:t>Het is aan</w:t>
      </w:r>
      <w:r w:rsidRPr="00FE3335" w:rsidR="00B64F73">
        <w:rPr>
          <w:rFonts w:ascii="Times New Roman" w:hAnsi="Times New Roman" w:cs="Times New Roman"/>
          <w:bCs/>
          <w:color w:val="auto"/>
        </w:rPr>
        <w:t xml:space="preserve"> NWO om vanuit haar expertise</w:t>
      </w:r>
      <w:r w:rsidR="00B340F3">
        <w:rPr>
          <w:rFonts w:ascii="Times New Roman" w:hAnsi="Times New Roman" w:cs="Times New Roman"/>
          <w:bCs/>
          <w:color w:val="auto"/>
        </w:rPr>
        <w:t xml:space="preserve"> en zelfstandige positie</w:t>
      </w:r>
      <w:r w:rsidRPr="00FE3335" w:rsidR="00B64F73">
        <w:rPr>
          <w:rFonts w:ascii="Times New Roman" w:hAnsi="Times New Roman" w:cs="Times New Roman"/>
          <w:bCs/>
          <w:color w:val="auto"/>
        </w:rPr>
        <w:t xml:space="preserve"> te bezien of en zo ja hoe, waar, wanneer en met welke randvoorwaarden een dergelijke loting van toegevoegde waarde kan zijn.</w:t>
      </w:r>
    </w:p>
    <w:p w:rsidRPr="00FE3335" w:rsidR="002644AC" w:rsidP="00AB3031" w:rsidRDefault="002644AC" w14:paraId="1194078D" w14:textId="77777777">
      <w:pPr>
        <w:pStyle w:val="Default"/>
        <w:spacing w:line="276" w:lineRule="auto"/>
        <w:rPr>
          <w:rFonts w:ascii="Times New Roman" w:hAnsi="Times New Roman" w:cs="Times New Roman"/>
          <w:bCs/>
        </w:rPr>
      </w:pPr>
    </w:p>
    <w:p w:rsidRPr="00FE3335" w:rsidR="002644AC" w:rsidP="00AB3031" w:rsidRDefault="00EE4742" w14:paraId="4BC40265" w14:textId="4F2364DB">
      <w:pPr>
        <w:pStyle w:val="Default"/>
        <w:spacing w:line="276" w:lineRule="auto"/>
        <w:rPr>
          <w:rFonts w:ascii="Times New Roman" w:hAnsi="Times New Roman" w:cs="Times New Roman"/>
          <w:bCs/>
          <w:color w:val="auto"/>
        </w:rPr>
      </w:pPr>
      <w:r w:rsidRPr="002079C6">
        <w:rPr>
          <w:rFonts w:ascii="Times New Roman" w:hAnsi="Times New Roman" w:cs="Times New Roman"/>
          <w:bCs/>
          <w:i/>
          <w:iCs/>
        </w:rPr>
        <w:t>De leden van de NSC-fractie vragen w</w:t>
      </w:r>
      <w:r w:rsidRPr="002079C6" w:rsidR="00C94FD8">
        <w:rPr>
          <w:rFonts w:ascii="Times New Roman" w:hAnsi="Times New Roman" w:cs="Times New Roman"/>
          <w:bCs/>
          <w:i/>
          <w:iCs/>
        </w:rPr>
        <w:t xml:space="preserve">at </w:t>
      </w:r>
      <w:r w:rsidR="00DE2DBD">
        <w:rPr>
          <w:rFonts w:ascii="Times New Roman" w:hAnsi="Times New Roman" w:cs="Times New Roman"/>
          <w:bCs/>
          <w:i/>
          <w:iCs/>
        </w:rPr>
        <w:t>ik</w:t>
      </w:r>
      <w:r w:rsidRPr="002079C6" w:rsidR="00C94FD8">
        <w:rPr>
          <w:rFonts w:ascii="Times New Roman" w:hAnsi="Times New Roman" w:cs="Times New Roman"/>
          <w:bCs/>
          <w:i/>
          <w:iCs/>
        </w:rPr>
        <w:t xml:space="preserve"> </w:t>
      </w:r>
      <w:r w:rsidRPr="002079C6">
        <w:rPr>
          <w:rFonts w:ascii="Times New Roman" w:hAnsi="Times New Roman" w:cs="Times New Roman"/>
          <w:bCs/>
          <w:i/>
          <w:iCs/>
        </w:rPr>
        <w:t xml:space="preserve">verwacht </w:t>
      </w:r>
      <w:r w:rsidRPr="002079C6" w:rsidR="00C94FD8">
        <w:rPr>
          <w:rFonts w:ascii="Times New Roman" w:hAnsi="Times New Roman" w:cs="Times New Roman"/>
          <w:bCs/>
          <w:i/>
          <w:iCs/>
        </w:rPr>
        <w:t>van de hoeveelheid geld die verschuift binnen de domeinen</w:t>
      </w:r>
      <w:r w:rsidR="00700150">
        <w:rPr>
          <w:rFonts w:ascii="Times New Roman" w:hAnsi="Times New Roman" w:cs="Times New Roman"/>
          <w:bCs/>
          <w:i/>
          <w:iCs/>
        </w:rPr>
        <w:t xml:space="preserve"> in de pilot</w:t>
      </w:r>
      <w:r w:rsidRPr="002079C6" w:rsidR="00013A91">
        <w:rPr>
          <w:rFonts w:ascii="Times New Roman" w:hAnsi="Times New Roman" w:cs="Times New Roman"/>
          <w:bCs/>
          <w:i/>
          <w:iCs/>
        </w:rPr>
        <w:t xml:space="preserve"> e</w:t>
      </w:r>
      <w:r w:rsidRPr="002079C6" w:rsidR="00661630">
        <w:rPr>
          <w:rFonts w:ascii="Times New Roman" w:hAnsi="Times New Roman" w:cs="Times New Roman"/>
          <w:bCs/>
          <w:i/>
          <w:iCs/>
        </w:rPr>
        <w:t>n</w:t>
      </w:r>
      <w:r w:rsidRPr="002079C6" w:rsidR="00C94FD8">
        <w:rPr>
          <w:rFonts w:ascii="Times New Roman" w:hAnsi="Times New Roman" w:cs="Times New Roman"/>
          <w:bCs/>
          <w:i/>
          <w:iCs/>
        </w:rPr>
        <w:t xml:space="preserve"> in welke richting en in welke domeinen die verschuiving plaats</w:t>
      </w:r>
      <w:r w:rsidRPr="002079C6" w:rsidR="00A6689E">
        <w:rPr>
          <w:rFonts w:ascii="Times New Roman" w:hAnsi="Times New Roman" w:cs="Times New Roman"/>
          <w:bCs/>
          <w:i/>
          <w:iCs/>
        </w:rPr>
        <w:t>vindt.</w:t>
      </w:r>
      <w:r w:rsidRPr="00FE3335" w:rsidR="00AF07FD">
        <w:rPr>
          <w:rFonts w:ascii="Times New Roman" w:hAnsi="Times New Roman" w:cs="Times New Roman"/>
          <w:bCs/>
        </w:rPr>
        <w:t xml:space="preserve"> </w:t>
      </w:r>
      <w:r w:rsidRPr="00FE3335" w:rsidR="00FE54F0">
        <w:rPr>
          <w:rFonts w:ascii="Times New Roman" w:hAnsi="Times New Roman" w:cs="Times New Roman"/>
          <w:bCs/>
          <w:color w:val="auto"/>
        </w:rPr>
        <w:t xml:space="preserve">Als gevolg van de pilot verschuift er </w:t>
      </w:r>
      <w:r w:rsidRPr="00FE3335" w:rsidR="00FE54F0">
        <w:rPr>
          <w:rFonts w:ascii="Times New Roman" w:hAnsi="Times New Roman" w:cs="Times New Roman"/>
          <w:color w:val="auto"/>
        </w:rPr>
        <w:t>€ 0</w:t>
      </w:r>
      <w:r w:rsidRPr="00FE3335" w:rsidR="00751E02">
        <w:rPr>
          <w:rFonts w:ascii="Times New Roman" w:hAnsi="Times New Roman" w:cs="Times New Roman"/>
          <w:color w:val="auto"/>
        </w:rPr>
        <w:t>,</w:t>
      </w:r>
      <w:r w:rsidRPr="00FE3335" w:rsidR="00FE54F0">
        <w:rPr>
          <w:rFonts w:ascii="Times New Roman" w:hAnsi="Times New Roman" w:cs="Times New Roman"/>
          <w:color w:val="auto"/>
        </w:rPr>
        <w:t>5</w:t>
      </w:r>
      <w:r w:rsidRPr="00FE3335" w:rsidR="00751E02">
        <w:rPr>
          <w:rFonts w:ascii="Times New Roman" w:hAnsi="Times New Roman" w:cs="Times New Roman"/>
          <w:color w:val="auto"/>
        </w:rPr>
        <w:t xml:space="preserve"> </w:t>
      </w:r>
      <w:r w:rsidRPr="00FE3335" w:rsidR="00751E02">
        <w:rPr>
          <w:rFonts w:ascii="Times New Roman" w:hAnsi="Times New Roman" w:cs="Times New Roman"/>
          <w:bCs/>
          <w:color w:val="auto"/>
        </w:rPr>
        <w:t xml:space="preserve">miljoen </w:t>
      </w:r>
      <w:r w:rsidRPr="00FE3335" w:rsidR="00751E02">
        <w:rPr>
          <w:rFonts w:ascii="Times New Roman" w:hAnsi="Times New Roman" w:cs="Times New Roman"/>
          <w:color w:val="auto"/>
        </w:rPr>
        <w:t xml:space="preserve">tot € </w:t>
      </w:r>
      <w:r w:rsidRPr="00FE3335" w:rsidR="00FE54F0">
        <w:rPr>
          <w:rFonts w:ascii="Times New Roman" w:hAnsi="Times New Roman" w:cs="Times New Roman"/>
          <w:color w:val="auto"/>
        </w:rPr>
        <w:t>1</w:t>
      </w:r>
      <w:r w:rsidRPr="00FE3335" w:rsidR="00751E02">
        <w:rPr>
          <w:rFonts w:ascii="Times New Roman" w:hAnsi="Times New Roman" w:cs="Times New Roman"/>
          <w:color w:val="auto"/>
        </w:rPr>
        <w:t>,</w:t>
      </w:r>
      <w:r w:rsidRPr="00FE3335" w:rsidR="00FE54F0">
        <w:rPr>
          <w:rFonts w:ascii="Times New Roman" w:hAnsi="Times New Roman" w:cs="Times New Roman"/>
          <w:color w:val="auto"/>
        </w:rPr>
        <w:t>2</w:t>
      </w:r>
      <w:r w:rsidRPr="00FE3335" w:rsidR="00FE54F0">
        <w:rPr>
          <w:rFonts w:ascii="Times New Roman" w:hAnsi="Times New Roman" w:cs="Times New Roman"/>
          <w:bCs/>
          <w:color w:val="auto"/>
        </w:rPr>
        <w:t xml:space="preserve"> miljoen van elk van de drie domeinen E</w:t>
      </w:r>
      <w:r w:rsidR="007C75CB">
        <w:rPr>
          <w:rFonts w:ascii="Times New Roman" w:hAnsi="Times New Roman" w:cs="Times New Roman"/>
          <w:bCs/>
          <w:color w:val="auto"/>
        </w:rPr>
        <w:t>xacte en Natuurwetenschappen (E</w:t>
      </w:r>
      <w:r w:rsidRPr="00FE3335" w:rsidR="00FE54F0">
        <w:rPr>
          <w:rFonts w:ascii="Times New Roman" w:hAnsi="Times New Roman" w:cs="Times New Roman"/>
          <w:bCs/>
          <w:color w:val="auto"/>
        </w:rPr>
        <w:t>NW</w:t>
      </w:r>
      <w:r w:rsidR="007C75CB">
        <w:rPr>
          <w:rFonts w:ascii="Times New Roman" w:hAnsi="Times New Roman" w:cs="Times New Roman"/>
          <w:bCs/>
          <w:color w:val="auto"/>
        </w:rPr>
        <w:t>)</w:t>
      </w:r>
      <w:r w:rsidRPr="00FE3335" w:rsidR="00FE54F0">
        <w:rPr>
          <w:rFonts w:ascii="Times New Roman" w:hAnsi="Times New Roman" w:cs="Times New Roman"/>
          <w:bCs/>
          <w:color w:val="auto"/>
        </w:rPr>
        <w:t>, T</w:t>
      </w:r>
      <w:r w:rsidR="007C75CB">
        <w:rPr>
          <w:rFonts w:ascii="Times New Roman" w:hAnsi="Times New Roman" w:cs="Times New Roman"/>
          <w:bCs/>
          <w:color w:val="auto"/>
        </w:rPr>
        <w:t>oegepaste en Technische Wetenschappen</w:t>
      </w:r>
      <w:r w:rsidRPr="00FE3335" w:rsidR="00FE54F0">
        <w:rPr>
          <w:rFonts w:ascii="Times New Roman" w:hAnsi="Times New Roman" w:cs="Times New Roman"/>
          <w:bCs/>
          <w:color w:val="auto"/>
        </w:rPr>
        <w:t xml:space="preserve"> </w:t>
      </w:r>
      <w:r w:rsidR="007C75CB">
        <w:rPr>
          <w:rFonts w:ascii="Times New Roman" w:hAnsi="Times New Roman" w:cs="Times New Roman"/>
          <w:bCs/>
          <w:color w:val="auto"/>
        </w:rPr>
        <w:t xml:space="preserve">(TTW) </w:t>
      </w:r>
      <w:r w:rsidRPr="00FE3335" w:rsidR="00FE54F0">
        <w:rPr>
          <w:rFonts w:ascii="Times New Roman" w:hAnsi="Times New Roman" w:cs="Times New Roman"/>
          <w:bCs/>
          <w:color w:val="auto"/>
        </w:rPr>
        <w:t xml:space="preserve">en </w:t>
      </w:r>
      <w:proofErr w:type="spellStart"/>
      <w:r w:rsidRPr="00FE3335" w:rsidR="00FE54F0">
        <w:rPr>
          <w:rFonts w:ascii="Times New Roman" w:hAnsi="Times New Roman" w:cs="Times New Roman"/>
          <w:bCs/>
          <w:color w:val="auto"/>
        </w:rPr>
        <w:t>ZonMw</w:t>
      </w:r>
      <w:proofErr w:type="spellEnd"/>
      <w:r w:rsidRPr="00FE3335" w:rsidR="00FE54F0">
        <w:rPr>
          <w:rFonts w:ascii="Times New Roman" w:hAnsi="Times New Roman" w:cs="Times New Roman"/>
          <w:bCs/>
          <w:color w:val="auto"/>
        </w:rPr>
        <w:t xml:space="preserve"> naar S</w:t>
      </w:r>
      <w:r w:rsidR="007C75CB">
        <w:rPr>
          <w:rFonts w:ascii="Times New Roman" w:hAnsi="Times New Roman" w:cs="Times New Roman"/>
          <w:bCs/>
          <w:color w:val="auto"/>
        </w:rPr>
        <w:t>ociale en Geesteswetenschappen (SGW)</w:t>
      </w:r>
      <w:r w:rsidRPr="00FE3335" w:rsidR="00FE54F0">
        <w:rPr>
          <w:rFonts w:ascii="Times New Roman" w:hAnsi="Times New Roman" w:cs="Times New Roman"/>
          <w:bCs/>
          <w:color w:val="auto"/>
        </w:rPr>
        <w:t xml:space="preserve">, dat er ongeveer </w:t>
      </w:r>
      <w:r w:rsidRPr="00FE3335" w:rsidR="00FE54F0">
        <w:rPr>
          <w:rFonts w:ascii="Times New Roman" w:hAnsi="Times New Roman" w:cs="Times New Roman"/>
          <w:color w:val="auto"/>
        </w:rPr>
        <w:t>€ 2</w:t>
      </w:r>
      <w:r w:rsidRPr="00FE3335" w:rsidR="00751E02">
        <w:rPr>
          <w:rFonts w:ascii="Times New Roman" w:hAnsi="Times New Roman" w:cs="Times New Roman"/>
          <w:color w:val="auto"/>
        </w:rPr>
        <w:t>,</w:t>
      </w:r>
      <w:r w:rsidRPr="00FE3335" w:rsidR="00FE54F0">
        <w:rPr>
          <w:rFonts w:ascii="Times New Roman" w:hAnsi="Times New Roman" w:cs="Times New Roman"/>
          <w:color w:val="auto"/>
        </w:rPr>
        <w:t xml:space="preserve">6 miljoen bij krijgt. </w:t>
      </w:r>
      <w:r w:rsidRPr="00FE3335" w:rsidR="00751E02">
        <w:rPr>
          <w:rFonts w:ascii="Times New Roman" w:hAnsi="Times New Roman" w:cs="Times New Roman"/>
          <w:color w:val="auto"/>
        </w:rPr>
        <w:t xml:space="preserve">In totaal </w:t>
      </w:r>
      <w:r w:rsidRPr="00FE3335" w:rsidR="00373F0A">
        <w:rPr>
          <w:rFonts w:ascii="Times New Roman" w:hAnsi="Times New Roman" w:cs="Times New Roman"/>
          <w:color w:val="auto"/>
        </w:rPr>
        <w:t xml:space="preserve">betreft </w:t>
      </w:r>
      <w:r w:rsidRPr="00FE3335" w:rsidR="00751E02">
        <w:rPr>
          <w:rFonts w:ascii="Times New Roman" w:hAnsi="Times New Roman" w:cs="Times New Roman"/>
          <w:color w:val="auto"/>
        </w:rPr>
        <w:t xml:space="preserve">dit </w:t>
      </w:r>
      <w:r w:rsidR="00172846">
        <w:rPr>
          <w:rFonts w:ascii="Times New Roman" w:hAnsi="Times New Roman" w:cs="Times New Roman"/>
          <w:color w:val="auto"/>
        </w:rPr>
        <w:t>ongeveer</w:t>
      </w:r>
      <w:r w:rsidRPr="00FE3335" w:rsidR="00373F0A">
        <w:rPr>
          <w:rFonts w:ascii="Times New Roman" w:hAnsi="Times New Roman" w:cs="Times New Roman"/>
          <w:color w:val="auto"/>
        </w:rPr>
        <w:t xml:space="preserve"> 1</w:t>
      </w:r>
      <w:r w:rsidR="00591026">
        <w:rPr>
          <w:rFonts w:ascii="Times New Roman" w:hAnsi="Times New Roman" w:cs="Times New Roman"/>
          <w:color w:val="auto"/>
        </w:rPr>
        <w:t xml:space="preserve"> procent</w:t>
      </w:r>
      <w:r w:rsidRPr="00FE3335" w:rsidR="00373F0A">
        <w:rPr>
          <w:rFonts w:ascii="Times New Roman" w:hAnsi="Times New Roman" w:cs="Times New Roman"/>
          <w:color w:val="auto"/>
        </w:rPr>
        <w:t xml:space="preserve"> van het totaalbudget van het </w:t>
      </w:r>
      <w:r w:rsidR="009A0A90">
        <w:rPr>
          <w:rFonts w:ascii="Times New Roman" w:hAnsi="Times New Roman" w:cs="Times New Roman"/>
          <w:color w:val="auto"/>
        </w:rPr>
        <w:t>T</w:t>
      </w:r>
      <w:r w:rsidRPr="00FE3335" w:rsidR="00373F0A">
        <w:rPr>
          <w:rFonts w:ascii="Times New Roman" w:hAnsi="Times New Roman" w:cs="Times New Roman"/>
          <w:color w:val="auto"/>
        </w:rPr>
        <w:t>alentprogramma</w:t>
      </w:r>
      <w:r w:rsidRPr="00FE3335" w:rsidR="00751E02">
        <w:rPr>
          <w:rFonts w:ascii="Times New Roman" w:hAnsi="Times New Roman" w:cs="Times New Roman"/>
          <w:color w:val="auto"/>
        </w:rPr>
        <w:t>.</w:t>
      </w:r>
    </w:p>
    <w:p w:rsidR="007728FE" w:rsidP="00AB3031" w:rsidRDefault="007728FE" w14:paraId="3A3A4B67" w14:textId="77777777">
      <w:pPr>
        <w:pStyle w:val="Default"/>
        <w:spacing w:line="276" w:lineRule="auto"/>
        <w:rPr>
          <w:rFonts w:ascii="Times New Roman" w:hAnsi="Times New Roman" w:cs="Times New Roman"/>
          <w:bCs/>
        </w:rPr>
      </w:pPr>
    </w:p>
    <w:p w:rsidRPr="00EC0DA4" w:rsidR="005304AF" w:rsidP="00AB3031" w:rsidRDefault="00C94FD8" w14:paraId="770BBDF6" w14:textId="77777777">
      <w:pPr>
        <w:pStyle w:val="Default"/>
        <w:spacing w:line="276" w:lineRule="auto"/>
        <w:rPr>
          <w:rFonts w:ascii="Times New Roman" w:hAnsi="Times New Roman" w:cs="Times New Roman"/>
          <w:bCs/>
        </w:rPr>
      </w:pPr>
      <w:r w:rsidRPr="00EC0DA4">
        <w:rPr>
          <w:rFonts w:ascii="Times New Roman" w:hAnsi="Times New Roman" w:cs="Times New Roman"/>
          <w:bCs/>
          <w:i/>
          <w:iCs/>
        </w:rPr>
        <w:t>De</w:t>
      </w:r>
      <w:r w:rsidRPr="00EC0DA4" w:rsidR="00661630">
        <w:rPr>
          <w:rFonts w:ascii="Times New Roman" w:hAnsi="Times New Roman" w:cs="Times New Roman"/>
          <w:bCs/>
          <w:i/>
          <w:iCs/>
        </w:rPr>
        <w:t xml:space="preserve"> leden van de NSC-fractie constateren dat</w:t>
      </w:r>
      <w:r w:rsidRPr="00EC0DA4">
        <w:rPr>
          <w:rFonts w:ascii="Times New Roman" w:hAnsi="Times New Roman" w:cs="Times New Roman"/>
          <w:bCs/>
          <w:i/>
          <w:iCs/>
        </w:rPr>
        <w:t xml:space="preserve"> talentenprogramma’s niet de enige </w:t>
      </w:r>
      <w:r w:rsidRPr="00EC0DA4" w:rsidR="00661630">
        <w:rPr>
          <w:rFonts w:ascii="Times New Roman" w:hAnsi="Times New Roman" w:cs="Times New Roman"/>
          <w:bCs/>
          <w:i/>
          <w:iCs/>
        </w:rPr>
        <w:t xml:space="preserve">zijn </w:t>
      </w:r>
      <w:r w:rsidRPr="00EC0DA4">
        <w:rPr>
          <w:rFonts w:ascii="Times New Roman" w:hAnsi="Times New Roman" w:cs="Times New Roman"/>
          <w:bCs/>
          <w:i/>
          <w:iCs/>
        </w:rPr>
        <w:t>waar een verdeling binnen domeinen plaatsvindt</w:t>
      </w:r>
      <w:r w:rsidRPr="00EC0DA4" w:rsidR="00C33B40">
        <w:rPr>
          <w:rFonts w:ascii="Times New Roman" w:hAnsi="Times New Roman" w:cs="Times New Roman"/>
          <w:bCs/>
          <w:i/>
          <w:iCs/>
        </w:rPr>
        <w:t xml:space="preserve"> en vragen hoe de verdeling tussen de domeinen in de pilot in de context past van de verschuiving die andere instrumenten realiseren. Ook vragen ze op welke manier het gehele stelsel in balans blijft en voorziet in redelijke verdeling van de financiering. Daarnaast vragen ze op welke wijze eventuele toekomstige financieringsbronnen, bijvoorbeeld uit defensiegelden, worden meegenomen in het palet. Is het niet verstandiger om ook bij de open competitie en de talentenprogramma’s strategischer beslissingen te maken met betrekking tot de verdeling tussen domeinen in plaats van het aan het aantal aanvragen te laten afhangen met mogelijk negatieve prikkels tot gevolg?</w:t>
      </w:r>
      <w:r w:rsidRPr="00EC0DA4" w:rsidR="00392A36">
        <w:rPr>
          <w:rFonts w:ascii="Times New Roman" w:hAnsi="Times New Roman" w:cs="Times New Roman"/>
          <w:bCs/>
          <w:i/>
          <w:iCs/>
        </w:rPr>
        <w:t xml:space="preserve"> </w:t>
      </w:r>
    </w:p>
    <w:p w:rsidRPr="003F2E22" w:rsidR="003F2E22" w:rsidP="00DE2DBD" w:rsidRDefault="002E2504" w14:paraId="22C03C85" w14:textId="31926CBC">
      <w:pPr>
        <w:pStyle w:val="Default"/>
        <w:spacing w:line="276" w:lineRule="auto"/>
        <w:rPr>
          <w:rFonts w:ascii="Times New Roman" w:hAnsi="Times New Roman" w:cs="Times New Roman"/>
          <w:bCs/>
          <w:color w:val="FF0000"/>
        </w:rPr>
      </w:pPr>
      <w:r>
        <w:rPr>
          <w:rFonts w:ascii="Times New Roman" w:hAnsi="Times New Roman" w:cs="Times New Roman"/>
          <w:bCs/>
          <w:color w:val="auto"/>
        </w:rPr>
        <w:t xml:space="preserve">Vanuit de brede kennisbasis </w:t>
      </w:r>
      <w:r w:rsidR="00CE5D86">
        <w:rPr>
          <w:rFonts w:ascii="Times New Roman" w:hAnsi="Times New Roman" w:cs="Times New Roman"/>
          <w:bCs/>
          <w:color w:val="auto"/>
        </w:rPr>
        <w:t xml:space="preserve">van de Nederlandse wetenschap </w:t>
      </w:r>
      <w:r>
        <w:rPr>
          <w:rFonts w:ascii="Times New Roman" w:hAnsi="Times New Roman" w:cs="Times New Roman"/>
          <w:bCs/>
          <w:color w:val="auto"/>
        </w:rPr>
        <w:t>kan er strategisch ingezet worden op zwaartepunten waar de</w:t>
      </w:r>
      <w:r w:rsidR="00030AAA">
        <w:rPr>
          <w:rFonts w:ascii="Times New Roman" w:hAnsi="Times New Roman" w:cs="Times New Roman"/>
          <w:bCs/>
          <w:color w:val="auto"/>
        </w:rPr>
        <w:t xml:space="preserve"> samenleving of</w:t>
      </w:r>
      <w:r>
        <w:rPr>
          <w:rFonts w:ascii="Times New Roman" w:hAnsi="Times New Roman" w:cs="Times New Roman"/>
          <w:bCs/>
          <w:color w:val="auto"/>
        </w:rPr>
        <w:t xml:space="preserve"> economie een grote behoefte kent. Daarin past het voorbeeld van de defensiegelden dat door de NSC-fractie wordt genoemd. Ook de sectorplannen zijn daar</w:t>
      </w:r>
      <w:r w:rsidR="00591026">
        <w:rPr>
          <w:rFonts w:ascii="Times New Roman" w:hAnsi="Times New Roman" w:cs="Times New Roman"/>
          <w:bCs/>
          <w:color w:val="auto"/>
        </w:rPr>
        <w:t xml:space="preserve">van </w:t>
      </w:r>
      <w:r>
        <w:rPr>
          <w:rFonts w:ascii="Times New Roman" w:hAnsi="Times New Roman" w:cs="Times New Roman"/>
          <w:bCs/>
          <w:color w:val="auto"/>
        </w:rPr>
        <w:t>een voorbeeld</w:t>
      </w:r>
      <w:r w:rsidR="008366F1">
        <w:rPr>
          <w:rFonts w:ascii="Times New Roman" w:hAnsi="Times New Roman" w:cs="Times New Roman"/>
          <w:bCs/>
          <w:color w:val="auto"/>
        </w:rPr>
        <w:t>. Als het gaat om de programma’s bij NWO, wil ik erop wijzen dat NWO als zelfstandig bestuursorgaan gaat over de verdeling van de middelen over de domeinen. Specifiek de Open Competitie en de Talentprogramma’s van NWO zijn gericht op het bevorderen van</w:t>
      </w:r>
      <w:r w:rsidR="00CE5D86">
        <w:rPr>
          <w:rFonts w:ascii="Times New Roman" w:hAnsi="Times New Roman" w:cs="Times New Roman"/>
          <w:bCs/>
          <w:color w:val="auto"/>
        </w:rPr>
        <w:t xml:space="preserve"> vrij en</w:t>
      </w:r>
      <w:r w:rsidR="008366F1">
        <w:rPr>
          <w:rFonts w:ascii="Times New Roman" w:hAnsi="Times New Roman" w:cs="Times New Roman"/>
          <w:bCs/>
          <w:color w:val="auto"/>
        </w:rPr>
        <w:t xml:space="preserve"> ongebonden</w:t>
      </w:r>
      <w:r w:rsidR="00CE5D86">
        <w:rPr>
          <w:rFonts w:ascii="Times New Roman" w:hAnsi="Times New Roman" w:cs="Times New Roman"/>
          <w:bCs/>
          <w:color w:val="auto"/>
        </w:rPr>
        <w:t xml:space="preserve"> fundamenteel</w:t>
      </w:r>
      <w:r w:rsidR="008366F1">
        <w:rPr>
          <w:rFonts w:ascii="Times New Roman" w:hAnsi="Times New Roman" w:cs="Times New Roman"/>
          <w:bCs/>
          <w:color w:val="auto"/>
        </w:rPr>
        <w:t xml:space="preserve"> onderzoek. Deze instrumenten zijn daarom juist niet geschikt om ingezet te worden voor strategische keuzes. </w:t>
      </w:r>
    </w:p>
    <w:p w:rsidR="00DE2DBD" w:rsidP="00AB3031" w:rsidRDefault="00DE2DBD" w14:paraId="3654E2C8" w14:textId="77777777">
      <w:pPr>
        <w:pStyle w:val="Default"/>
        <w:spacing w:line="276" w:lineRule="auto"/>
        <w:rPr>
          <w:rFonts w:ascii="Times New Roman" w:hAnsi="Times New Roman" w:cs="Times New Roman"/>
          <w:bCs/>
          <w:i/>
          <w:iCs/>
        </w:rPr>
      </w:pPr>
    </w:p>
    <w:p w:rsidRPr="0061253E" w:rsidR="00873F37" w:rsidP="00AB3031" w:rsidRDefault="00BA24E5" w14:paraId="77B4B792" w14:textId="7C0B6962">
      <w:pPr>
        <w:pStyle w:val="Default"/>
        <w:spacing w:line="276" w:lineRule="auto"/>
        <w:rPr>
          <w:rFonts w:ascii="Times New Roman" w:hAnsi="Times New Roman" w:cs="Times New Roman"/>
          <w:bCs/>
          <w:color w:val="auto"/>
        </w:rPr>
      </w:pPr>
      <w:r w:rsidRPr="00392A36">
        <w:rPr>
          <w:rFonts w:ascii="Times New Roman" w:hAnsi="Times New Roman" w:cs="Times New Roman"/>
          <w:bCs/>
          <w:i/>
          <w:iCs/>
        </w:rPr>
        <w:lastRenderedPageBreak/>
        <w:t>De leden van de NSC</w:t>
      </w:r>
      <w:r w:rsidR="008B5650">
        <w:rPr>
          <w:rFonts w:ascii="Times New Roman" w:hAnsi="Times New Roman" w:cs="Times New Roman"/>
          <w:bCs/>
          <w:i/>
          <w:iCs/>
        </w:rPr>
        <w:t>-</w:t>
      </w:r>
      <w:r w:rsidRPr="00392A36">
        <w:rPr>
          <w:rFonts w:ascii="Times New Roman" w:hAnsi="Times New Roman" w:cs="Times New Roman"/>
          <w:bCs/>
          <w:i/>
          <w:iCs/>
        </w:rPr>
        <w:t xml:space="preserve">fractie vragen of </w:t>
      </w:r>
      <w:r w:rsidR="00993C96">
        <w:rPr>
          <w:rFonts w:ascii="Times New Roman" w:hAnsi="Times New Roman" w:cs="Times New Roman"/>
          <w:bCs/>
          <w:i/>
          <w:iCs/>
        </w:rPr>
        <w:t>ik</w:t>
      </w:r>
      <w:r w:rsidRPr="00392A36" w:rsidR="00C94FD8">
        <w:rPr>
          <w:rFonts w:ascii="Times New Roman" w:hAnsi="Times New Roman" w:cs="Times New Roman"/>
          <w:bCs/>
          <w:i/>
          <w:iCs/>
        </w:rPr>
        <w:t xml:space="preserve"> </w:t>
      </w:r>
      <w:r w:rsidRPr="00392A36">
        <w:rPr>
          <w:rFonts w:ascii="Times New Roman" w:hAnsi="Times New Roman" w:cs="Times New Roman"/>
          <w:bCs/>
          <w:i/>
          <w:iCs/>
        </w:rPr>
        <w:t xml:space="preserve">kan </w:t>
      </w:r>
      <w:r w:rsidRPr="00392A36" w:rsidR="00C94FD8">
        <w:rPr>
          <w:rFonts w:ascii="Times New Roman" w:hAnsi="Times New Roman" w:cs="Times New Roman"/>
          <w:bCs/>
          <w:i/>
          <w:iCs/>
        </w:rPr>
        <w:t xml:space="preserve">toezeggen dat deze pilot ook </w:t>
      </w:r>
      <w:r w:rsidRPr="00392A36" w:rsidR="0061253E">
        <w:rPr>
          <w:rFonts w:ascii="Times New Roman" w:hAnsi="Times New Roman" w:cs="Times New Roman"/>
          <w:bCs/>
          <w:i/>
          <w:iCs/>
        </w:rPr>
        <w:t>gestopt</w:t>
      </w:r>
      <w:r w:rsidRPr="00392A36" w:rsidR="00C94FD8">
        <w:rPr>
          <w:rFonts w:ascii="Times New Roman" w:hAnsi="Times New Roman" w:cs="Times New Roman"/>
          <w:bCs/>
          <w:i/>
          <w:iCs/>
        </w:rPr>
        <w:t xml:space="preserve"> </w:t>
      </w:r>
      <w:r w:rsidRPr="00392A36">
        <w:rPr>
          <w:rFonts w:ascii="Times New Roman" w:hAnsi="Times New Roman" w:cs="Times New Roman"/>
          <w:bCs/>
          <w:i/>
          <w:iCs/>
        </w:rPr>
        <w:t>kan worden</w:t>
      </w:r>
      <w:r w:rsidRPr="00392A36" w:rsidR="00C94FD8">
        <w:rPr>
          <w:rFonts w:ascii="Times New Roman" w:hAnsi="Times New Roman" w:cs="Times New Roman"/>
          <w:bCs/>
          <w:i/>
          <w:iCs/>
        </w:rPr>
        <w:t xml:space="preserve"> tijdens deze evaluatie</w:t>
      </w:r>
      <w:r w:rsidRPr="00392A36">
        <w:rPr>
          <w:rFonts w:ascii="Times New Roman" w:hAnsi="Times New Roman" w:cs="Times New Roman"/>
          <w:bCs/>
          <w:i/>
          <w:iCs/>
        </w:rPr>
        <w:t xml:space="preserve"> en ze vragen w</w:t>
      </w:r>
      <w:r w:rsidRPr="00392A36" w:rsidR="00C94FD8">
        <w:rPr>
          <w:rFonts w:ascii="Times New Roman" w:hAnsi="Times New Roman" w:cs="Times New Roman"/>
          <w:bCs/>
          <w:i/>
          <w:iCs/>
        </w:rPr>
        <w:t xml:space="preserve">aar </w:t>
      </w:r>
      <w:r w:rsidR="00993C96">
        <w:rPr>
          <w:rFonts w:ascii="Times New Roman" w:hAnsi="Times New Roman" w:cs="Times New Roman"/>
          <w:bCs/>
          <w:i/>
          <w:iCs/>
        </w:rPr>
        <w:t>ik</w:t>
      </w:r>
      <w:r w:rsidRPr="00392A36" w:rsidR="00C94FD8">
        <w:rPr>
          <w:rFonts w:ascii="Times New Roman" w:hAnsi="Times New Roman" w:cs="Times New Roman"/>
          <w:bCs/>
          <w:i/>
          <w:iCs/>
        </w:rPr>
        <w:t xml:space="preserve"> aan</w:t>
      </w:r>
      <w:r w:rsidRPr="00392A36">
        <w:rPr>
          <w:rFonts w:ascii="Times New Roman" w:hAnsi="Times New Roman" w:cs="Times New Roman"/>
          <w:bCs/>
          <w:i/>
          <w:iCs/>
        </w:rPr>
        <w:t xml:space="preserve"> denk</w:t>
      </w:r>
      <w:r w:rsidRPr="00392A36" w:rsidR="00C94FD8">
        <w:rPr>
          <w:rFonts w:ascii="Times New Roman" w:hAnsi="Times New Roman" w:cs="Times New Roman"/>
          <w:bCs/>
          <w:i/>
          <w:iCs/>
        </w:rPr>
        <w:t xml:space="preserve"> als </w:t>
      </w:r>
      <w:r w:rsidR="00993C96">
        <w:rPr>
          <w:rFonts w:ascii="Times New Roman" w:hAnsi="Times New Roman" w:cs="Times New Roman"/>
          <w:bCs/>
          <w:i/>
          <w:iCs/>
        </w:rPr>
        <w:t>ik het heb</w:t>
      </w:r>
      <w:r w:rsidRPr="00392A36" w:rsidR="00C94FD8">
        <w:rPr>
          <w:rFonts w:ascii="Times New Roman" w:hAnsi="Times New Roman" w:cs="Times New Roman"/>
          <w:bCs/>
          <w:i/>
          <w:iCs/>
        </w:rPr>
        <w:t xml:space="preserve"> over </w:t>
      </w:r>
      <w:r w:rsidRPr="00392A36" w:rsidR="00FD19E3">
        <w:rPr>
          <w:rFonts w:ascii="Times New Roman" w:hAnsi="Times New Roman" w:cs="Times New Roman"/>
          <w:bCs/>
          <w:i/>
          <w:iCs/>
        </w:rPr>
        <w:t>‘</w:t>
      </w:r>
      <w:r w:rsidRPr="00392A36" w:rsidR="00C94FD8">
        <w:rPr>
          <w:rFonts w:ascii="Times New Roman" w:hAnsi="Times New Roman" w:cs="Times New Roman"/>
          <w:bCs/>
          <w:i/>
          <w:iCs/>
        </w:rPr>
        <w:t>suboptimale uitkomsten</w:t>
      </w:r>
      <w:r w:rsidRPr="00392A36" w:rsidR="00FD19E3">
        <w:rPr>
          <w:rFonts w:ascii="Times New Roman" w:hAnsi="Times New Roman" w:cs="Times New Roman"/>
          <w:bCs/>
          <w:i/>
          <w:iCs/>
        </w:rPr>
        <w:t>’</w:t>
      </w:r>
      <w:r w:rsidRPr="00392A36" w:rsidR="00167957">
        <w:rPr>
          <w:rFonts w:ascii="Times New Roman" w:hAnsi="Times New Roman" w:cs="Times New Roman"/>
          <w:bCs/>
          <w:i/>
          <w:iCs/>
        </w:rPr>
        <w:t xml:space="preserve"> </w:t>
      </w:r>
      <w:r w:rsidRPr="00392A36" w:rsidR="00C94FD8">
        <w:rPr>
          <w:rFonts w:ascii="Times New Roman" w:hAnsi="Times New Roman" w:cs="Times New Roman"/>
          <w:bCs/>
          <w:i/>
          <w:iCs/>
        </w:rPr>
        <w:t xml:space="preserve">en welke resultaten </w:t>
      </w:r>
      <w:r w:rsidR="00993C96">
        <w:rPr>
          <w:rFonts w:ascii="Times New Roman" w:hAnsi="Times New Roman" w:cs="Times New Roman"/>
          <w:bCs/>
          <w:i/>
          <w:iCs/>
        </w:rPr>
        <w:t>ik</w:t>
      </w:r>
      <w:r w:rsidRPr="00392A36" w:rsidR="00C94FD8">
        <w:rPr>
          <w:rFonts w:ascii="Times New Roman" w:hAnsi="Times New Roman" w:cs="Times New Roman"/>
          <w:bCs/>
          <w:i/>
          <w:iCs/>
        </w:rPr>
        <w:t xml:space="preserve"> als optimaal of positief beoorde</w:t>
      </w:r>
      <w:r w:rsidRPr="00392A36">
        <w:rPr>
          <w:rFonts w:ascii="Times New Roman" w:hAnsi="Times New Roman" w:cs="Times New Roman"/>
          <w:bCs/>
          <w:i/>
          <w:iCs/>
        </w:rPr>
        <w:t>e</w:t>
      </w:r>
      <w:r w:rsidRPr="00392A36" w:rsidR="00C94FD8">
        <w:rPr>
          <w:rFonts w:ascii="Times New Roman" w:hAnsi="Times New Roman" w:cs="Times New Roman"/>
          <w:bCs/>
          <w:i/>
          <w:iCs/>
        </w:rPr>
        <w:t>l</w:t>
      </w:r>
      <w:r w:rsidRPr="00392A36">
        <w:rPr>
          <w:rFonts w:ascii="Times New Roman" w:hAnsi="Times New Roman" w:cs="Times New Roman"/>
          <w:bCs/>
          <w:i/>
          <w:iCs/>
        </w:rPr>
        <w:t>t.</w:t>
      </w:r>
      <w:r w:rsidRPr="0061253E" w:rsidR="00FB688C">
        <w:rPr>
          <w:rFonts w:ascii="Times New Roman" w:hAnsi="Times New Roman" w:cs="Times New Roman"/>
          <w:bCs/>
        </w:rPr>
        <w:t xml:space="preserve"> </w:t>
      </w:r>
      <w:r w:rsidRPr="0061253E" w:rsidR="00873F37">
        <w:rPr>
          <w:rFonts w:ascii="Times New Roman" w:hAnsi="Times New Roman" w:cs="Times New Roman"/>
          <w:bCs/>
          <w:color w:val="auto"/>
        </w:rPr>
        <w:t>NWO is een zelfstandig bestuursorgaan en kan zelfstandig beslissen</w:t>
      </w:r>
      <w:r w:rsidRPr="0061253E" w:rsidR="003D7E65">
        <w:rPr>
          <w:rFonts w:ascii="Times New Roman" w:hAnsi="Times New Roman" w:cs="Times New Roman"/>
          <w:bCs/>
          <w:color w:val="auto"/>
        </w:rPr>
        <w:t xml:space="preserve"> over het wel of niet doorzetten van de pilot</w:t>
      </w:r>
      <w:r w:rsidRPr="0061253E" w:rsidR="00873F37">
        <w:rPr>
          <w:rFonts w:ascii="Times New Roman" w:hAnsi="Times New Roman" w:cs="Times New Roman"/>
          <w:bCs/>
          <w:color w:val="auto"/>
        </w:rPr>
        <w:t xml:space="preserve">. Ik vind het wel belangrijk dat er een goede evaluatie van de pilot plaatsvindt </w:t>
      </w:r>
      <w:r w:rsidRPr="0061253E" w:rsidR="008A31CF">
        <w:rPr>
          <w:rFonts w:ascii="Times New Roman" w:hAnsi="Times New Roman" w:cs="Times New Roman"/>
          <w:bCs/>
          <w:color w:val="auto"/>
        </w:rPr>
        <w:t>waarbij er gekeken wordt naar de</w:t>
      </w:r>
      <w:r w:rsidRPr="0061253E" w:rsidR="00873F37">
        <w:rPr>
          <w:rFonts w:ascii="Times New Roman" w:hAnsi="Times New Roman" w:cs="Times New Roman"/>
          <w:bCs/>
          <w:color w:val="auto"/>
        </w:rPr>
        <w:t xml:space="preserve"> </w:t>
      </w:r>
      <w:r w:rsidRPr="0061253E" w:rsidR="003D7E65">
        <w:rPr>
          <w:rFonts w:ascii="Times New Roman" w:hAnsi="Times New Roman" w:cs="Times New Roman"/>
          <w:bCs/>
          <w:color w:val="auto"/>
        </w:rPr>
        <w:t>uitvoerbaarheid en</w:t>
      </w:r>
      <w:r w:rsidRPr="0061253E">
        <w:rPr>
          <w:rFonts w:ascii="Times New Roman" w:hAnsi="Times New Roman" w:cs="Times New Roman"/>
          <w:bCs/>
          <w:color w:val="auto"/>
        </w:rPr>
        <w:t xml:space="preserve"> naar</w:t>
      </w:r>
      <w:r w:rsidRPr="0061253E" w:rsidR="003D7E65">
        <w:rPr>
          <w:rFonts w:ascii="Times New Roman" w:hAnsi="Times New Roman" w:cs="Times New Roman"/>
          <w:bCs/>
          <w:color w:val="auto"/>
        </w:rPr>
        <w:t xml:space="preserve"> de mogelijke </w:t>
      </w:r>
      <w:r w:rsidRPr="0061253E" w:rsidR="00873F37">
        <w:rPr>
          <w:rFonts w:ascii="Times New Roman" w:hAnsi="Times New Roman" w:cs="Times New Roman"/>
          <w:bCs/>
          <w:color w:val="auto"/>
        </w:rPr>
        <w:t>effecten op stelsel</w:t>
      </w:r>
      <w:r w:rsidRPr="0061253E" w:rsidR="008A31CF">
        <w:rPr>
          <w:rFonts w:ascii="Times New Roman" w:hAnsi="Times New Roman" w:cs="Times New Roman"/>
          <w:bCs/>
          <w:color w:val="auto"/>
        </w:rPr>
        <w:t>niveau</w:t>
      </w:r>
      <w:r w:rsidRPr="0061253E" w:rsidR="00873F37">
        <w:rPr>
          <w:rFonts w:ascii="Times New Roman" w:hAnsi="Times New Roman" w:cs="Times New Roman"/>
          <w:bCs/>
          <w:color w:val="auto"/>
        </w:rPr>
        <w:t xml:space="preserve">. </w:t>
      </w:r>
      <w:r w:rsidRPr="0061253E" w:rsidR="003D7E65">
        <w:rPr>
          <w:rFonts w:ascii="Times New Roman" w:hAnsi="Times New Roman" w:cs="Times New Roman"/>
          <w:bCs/>
          <w:color w:val="auto"/>
        </w:rPr>
        <w:t xml:space="preserve">Hiervoor verwijs ik naar mijn antwoord op </w:t>
      </w:r>
      <w:r w:rsidR="0061253E">
        <w:rPr>
          <w:rFonts w:ascii="Times New Roman" w:hAnsi="Times New Roman" w:cs="Times New Roman"/>
          <w:bCs/>
          <w:color w:val="auto"/>
        </w:rPr>
        <w:t xml:space="preserve">de </w:t>
      </w:r>
      <w:r w:rsidR="00392A36">
        <w:rPr>
          <w:rFonts w:ascii="Times New Roman" w:hAnsi="Times New Roman" w:cs="Times New Roman"/>
          <w:bCs/>
          <w:color w:val="auto"/>
        </w:rPr>
        <w:t xml:space="preserve">vraag van de </w:t>
      </w:r>
      <w:r w:rsidR="0061253E">
        <w:rPr>
          <w:rFonts w:ascii="Times New Roman" w:hAnsi="Times New Roman" w:cs="Times New Roman"/>
          <w:bCs/>
          <w:color w:val="auto"/>
        </w:rPr>
        <w:t>NSC</w:t>
      </w:r>
      <w:r w:rsidR="008B5650">
        <w:rPr>
          <w:rFonts w:ascii="Times New Roman" w:hAnsi="Times New Roman" w:cs="Times New Roman"/>
          <w:bCs/>
          <w:color w:val="auto"/>
        </w:rPr>
        <w:t>-</w:t>
      </w:r>
      <w:r w:rsidR="00392A36">
        <w:rPr>
          <w:rFonts w:ascii="Times New Roman" w:hAnsi="Times New Roman" w:cs="Times New Roman"/>
          <w:bCs/>
          <w:color w:val="auto"/>
        </w:rPr>
        <w:t>fractie</w:t>
      </w:r>
      <w:r w:rsidR="00705E96">
        <w:rPr>
          <w:rFonts w:ascii="Times New Roman" w:hAnsi="Times New Roman" w:cs="Times New Roman"/>
          <w:bCs/>
          <w:color w:val="auto"/>
        </w:rPr>
        <w:t xml:space="preserve"> over evaluatiecriteria voor de pilot.</w:t>
      </w:r>
    </w:p>
    <w:p w:rsidRPr="0024622B" w:rsidR="007728FE" w:rsidP="00AB3031" w:rsidRDefault="007728FE" w14:paraId="5E59D202" w14:textId="77777777">
      <w:pPr>
        <w:pStyle w:val="Default"/>
        <w:spacing w:line="276" w:lineRule="auto"/>
        <w:rPr>
          <w:rFonts w:ascii="Times New Roman" w:hAnsi="Times New Roman" w:cs="Times New Roman"/>
          <w:bCs/>
          <w:color w:val="FF0000"/>
        </w:rPr>
      </w:pPr>
    </w:p>
    <w:p w:rsidR="001E25B7" w:rsidP="00AB3031" w:rsidRDefault="001E25B7" w14:paraId="52B10050" w14:textId="28831255">
      <w:pPr>
        <w:pStyle w:val="Default"/>
        <w:spacing w:line="276" w:lineRule="auto"/>
        <w:rPr>
          <w:rFonts w:ascii="Times New Roman" w:hAnsi="Times New Roman" w:cs="Times New Roman"/>
          <w:bCs/>
        </w:rPr>
      </w:pPr>
      <w:r w:rsidRPr="001E25B7">
        <w:rPr>
          <w:rFonts w:ascii="Times New Roman" w:hAnsi="Times New Roman" w:cs="Times New Roman"/>
          <w:b/>
        </w:rPr>
        <w:t xml:space="preserve">Inbreng </w:t>
      </w:r>
      <w:r>
        <w:rPr>
          <w:rFonts w:ascii="Times New Roman" w:hAnsi="Times New Roman" w:cs="Times New Roman"/>
          <w:b/>
        </w:rPr>
        <w:t xml:space="preserve">van de leden </w:t>
      </w:r>
      <w:r w:rsidR="00026B81">
        <w:rPr>
          <w:rFonts w:ascii="Times New Roman" w:hAnsi="Times New Roman" w:cs="Times New Roman"/>
          <w:b/>
        </w:rPr>
        <w:t xml:space="preserve">van de </w:t>
      </w:r>
      <w:r w:rsidRPr="001E25B7">
        <w:rPr>
          <w:rFonts w:ascii="Times New Roman" w:hAnsi="Times New Roman" w:cs="Times New Roman"/>
          <w:b/>
        </w:rPr>
        <w:t>D66-fractie</w:t>
      </w:r>
      <w:r w:rsidRPr="001E25B7">
        <w:rPr>
          <w:rFonts w:ascii="Times New Roman" w:hAnsi="Times New Roman" w:cs="Times New Roman"/>
          <w:bCs/>
        </w:rPr>
        <w:t xml:space="preserve"> </w:t>
      </w:r>
    </w:p>
    <w:p w:rsidRPr="00EC63A9" w:rsidR="007255FD" w:rsidP="00AB3031" w:rsidRDefault="001E25B7" w14:paraId="53382C81" w14:textId="593B00B1">
      <w:pPr>
        <w:pStyle w:val="Default"/>
        <w:spacing w:line="276" w:lineRule="auto"/>
        <w:rPr>
          <w:rFonts w:ascii="Times New Roman" w:hAnsi="Times New Roman" w:cs="Times New Roman"/>
          <w:bCs/>
          <w:color w:val="FF0000"/>
        </w:rPr>
      </w:pPr>
      <w:r w:rsidRPr="00392A36">
        <w:rPr>
          <w:rFonts w:ascii="Times New Roman" w:hAnsi="Times New Roman" w:cs="Times New Roman"/>
          <w:bCs/>
          <w:i/>
          <w:iCs/>
        </w:rPr>
        <w:t>De leden</w:t>
      </w:r>
      <w:r w:rsidRPr="00392A36" w:rsidR="00456699">
        <w:rPr>
          <w:rFonts w:ascii="Times New Roman" w:hAnsi="Times New Roman" w:cs="Times New Roman"/>
          <w:bCs/>
          <w:i/>
          <w:iCs/>
        </w:rPr>
        <w:t xml:space="preserve"> van de D66-fractie</w:t>
      </w:r>
      <w:r w:rsidRPr="00392A36">
        <w:rPr>
          <w:rFonts w:ascii="Times New Roman" w:hAnsi="Times New Roman" w:cs="Times New Roman"/>
          <w:bCs/>
          <w:i/>
          <w:iCs/>
        </w:rPr>
        <w:t xml:space="preserve"> vragen</w:t>
      </w:r>
      <w:r w:rsidR="00FC6975">
        <w:rPr>
          <w:rFonts w:ascii="Times New Roman" w:hAnsi="Times New Roman" w:cs="Times New Roman"/>
          <w:bCs/>
          <w:i/>
          <w:iCs/>
        </w:rPr>
        <w:t xml:space="preserve"> mij</w:t>
      </w:r>
      <w:r w:rsidRPr="00392A36">
        <w:rPr>
          <w:rFonts w:ascii="Times New Roman" w:hAnsi="Times New Roman" w:cs="Times New Roman"/>
          <w:bCs/>
          <w:i/>
          <w:iCs/>
        </w:rPr>
        <w:t xml:space="preserve"> wanneer en hoe </w:t>
      </w:r>
      <w:r w:rsidR="00FC6975">
        <w:rPr>
          <w:rFonts w:ascii="Times New Roman" w:hAnsi="Times New Roman" w:cs="Times New Roman"/>
          <w:bCs/>
          <w:i/>
          <w:iCs/>
        </w:rPr>
        <w:t>ik</w:t>
      </w:r>
      <w:r w:rsidRPr="00392A36">
        <w:rPr>
          <w:rFonts w:ascii="Times New Roman" w:hAnsi="Times New Roman" w:cs="Times New Roman"/>
          <w:bCs/>
          <w:i/>
          <w:iCs/>
        </w:rPr>
        <w:t xml:space="preserve"> dit experiment ga evalueren en wanneer </w:t>
      </w:r>
      <w:r w:rsidR="00FC6975">
        <w:rPr>
          <w:rFonts w:ascii="Times New Roman" w:hAnsi="Times New Roman" w:cs="Times New Roman"/>
          <w:bCs/>
          <w:i/>
          <w:iCs/>
        </w:rPr>
        <w:t>ik</w:t>
      </w:r>
      <w:r w:rsidRPr="00392A36">
        <w:rPr>
          <w:rFonts w:ascii="Times New Roman" w:hAnsi="Times New Roman" w:cs="Times New Roman"/>
          <w:bCs/>
          <w:i/>
          <w:iCs/>
        </w:rPr>
        <w:t xml:space="preserve"> voornemens is de </w:t>
      </w:r>
      <w:r w:rsidRPr="00392A36" w:rsidR="00613164">
        <w:rPr>
          <w:rFonts w:ascii="Times New Roman" w:hAnsi="Times New Roman" w:cs="Times New Roman"/>
          <w:bCs/>
          <w:i/>
          <w:iCs/>
        </w:rPr>
        <w:t>K</w:t>
      </w:r>
      <w:r w:rsidRPr="00392A36">
        <w:rPr>
          <w:rFonts w:ascii="Times New Roman" w:hAnsi="Times New Roman" w:cs="Times New Roman"/>
          <w:bCs/>
          <w:i/>
          <w:iCs/>
        </w:rPr>
        <w:t>amer hierover te informeren.</w:t>
      </w:r>
      <w:r w:rsidRPr="00EC63A9">
        <w:rPr>
          <w:rFonts w:ascii="Times New Roman" w:hAnsi="Times New Roman" w:cs="Times New Roman"/>
          <w:bCs/>
        </w:rPr>
        <w:t xml:space="preserve"> </w:t>
      </w:r>
      <w:r w:rsidRPr="00EC63A9" w:rsidR="007255FD">
        <w:rPr>
          <w:rFonts w:ascii="Times New Roman" w:hAnsi="Times New Roman" w:cs="Times New Roman"/>
          <w:bCs/>
          <w:color w:val="auto"/>
        </w:rPr>
        <w:t>Het is de verantwoordelijkheid van NWO om deze pilot te evalueren.</w:t>
      </w:r>
      <w:r w:rsidRPr="00EC63A9" w:rsidR="008A31CF">
        <w:rPr>
          <w:rFonts w:ascii="Times New Roman" w:hAnsi="Times New Roman" w:cs="Times New Roman"/>
          <w:bCs/>
          <w:color w:val="auto"/>
        </w:rPr>
        <w:t xml:space="preserve"> </w:t>
      </w:r>
      <w:r w:rsidRPr="00EC63A9" w:rsidR="007C468E">
        <w:rPr>
          <w:rFonts w:ascii="Times New Roman" w:hAnsi="Times New Roman" w:cs="Times New Roman"/>
          <w:bCs/>
          <w:color w:val="auto"/>
        </w:rPr>
        <w:t xml:space="preserve">Ik </w:t>
      </w:r>
      <w:r w:rsidRPr="00EC63A9" w:rsidR="008A31CF">
        <w:rPr>
          <w:rFonts w:ascii="Times New Roman" w:hAnsi="Times New Roman" w:cs="Times New Roman"/>
          <w:bCs/>
          <w:color w:val="auto"/>
        </w:rPr>
        <w:t>ga met NWO in gesprek</w:t>
      </w:r>
      <w:r w:rsidRPr="00EC63A9" w:rsidR="003D7E65">
        <w:rPr>
          <w:rFonts w:ascii="Times New Roman" w:hAnsi="Times New Roman" w:cs="Times New Roman"/>
          <w:bCs/>
          <w:color w:val="auto"/>
        </w:rPr>
        <w:t xml:space="preserve"> over de evaluatie, onder andere over de planning</w:t>
      </w:r>
      <w:r w:rsidR="00BB76E7">
        <w:rPr>
          <w:rFonts w:ascii="Times New Roman" w:hAnsi="Times New Roman" w:cs="Times New Roman"/>
          <w:bCs/>
          <w:color w:val="auto"/>
        </w:rPr>
        <w:t>,</w:t>
      </w:r>
      <w:r w:rsidRPr="00EC63A9" w:rsidR="007C468E">
        <w:rPr>
          <w:rFonts w:ascii="Times New Roman" w:hAnsi="Times New Roman" w:cs="Times New Roman"/>
          <w:bCs/>
          <w:color w:val="auto"/>
        </w:rPr>
        <w:t xml:space="preserve"> en zal hen verzoeken de resultaten van de evaluatie in h</w:t>
      </w:r>
      <w:r w:rsidR="005724F6">
        <w:rPr>
          <w:rFonts w:ascii="Times New Roman" w:hAnsi="Times New Roman" w:cs="Times New Roman"/>
          <w:bCs/>
          <w:color w:val="auto"/>
        </w:rPr>
        <w:t>aar</w:t>
      </w:r>
      <w:r w:rsidRPr="00EC63A9" w:rsidR="007C468E">
        <w:rPr>
          <w:rFonts w:ascii="Times New Roman" w:hAnsi="Times New Roman" w:cs="Times New Roman"/>
          <w:bCs/>
          <w:color w:val="auto"/>
        </w:rPr>
        <w:t xml:space="preserve"> reguliere rapportages te verwerken</w:t>
      </w:r>
      <w:r w:rsidRPr="00EC63A9" w:rsidR="008A31CF">
        <w:rPr>
          <w:rFonts w:ascii="Times New Roman" w:hAnsi="Times New Roman" w:cs="Times New Roman"/>
          <w:bCs/>
          <w:color w:val="auto"/>
        </w:rPr>
        <w:t>.</w:t>
      </w:r>
    </w:p>
    <w:p w:rsidRPr="00EC63A9" w:rsidR="007728FE" w:rsidP="00AB3031" w:rsidRDefault="007728FE" w14:paraId="212AEA02" w14:textId="77777777">
      <w:pPr>
        <w:pStyle w:val="Default"/>
        <w:spacing w:line="276" w:lineRule="auto"/>
        <w:rPr>
          <w:rFonts w:ascii="Times New Roman" w:hAnsi="Times New Roman" w:cs="Times New Roman"/>
          <w:bCs/>
        </w:rPr>
      </w:pPr>
    </w:p>
    <w:p w:rsidRPr="00EC63A9" w:rsidR="00690B73" w:rsidP="00AB3031" w:rsidRDefault="001E25B7" w14:paraId="7BA6C530" w14:textId="74E25213">
      <w:pPr>
        <w:pStyle w:val="Default"/>
        <w:spacing w:line="276" w:lineRule="auto"/>
        <w:rPr>
          <w:rFonts w:ascii="Times New Roman" w:hAnsi="Times New Roman" w:cs="Times New Roman"/>
          <w:bCs/>
          <w:color w:val="auto"/>
        </w:rPr>
      </w:pPr>
      <w:r w:rsidRPr="00392A36">
        <w:rPr>
          <w:rFonts w:ascii="Times New Roman" w:hAnsi="Times New Roman" w:cs="Times New Roman"/>
          <w:bCs/>
          <w:i/>
          <w:iCs/>
        </w:rPr>
        <w:t>De</w:t>
      </w:r>
      <w:r w:rsidRPr="00392A36" w:rsidR="003A254B">
        <w:rPr>
          <w:rFonts w:ascii="Times New Roman" w:hAnsi="Times New Roman" w:cs="Times New Roman"/>
          <w:bCs/>
          <w:i/>
          <w:iCs/>
        </w:rPr>
        <w:t>ze</w:t>
      </w:r>
      <w:r w:rsidRPr="00392A36">
        <w:rPr>
          <w:rFonts w:ascii="Times New Roman" w:hAnsi="Times New Roman" w:cs="Times New Roman"/>
          <w:bCs/>
          <w:i/>
          <w:iCs/>
        </w:rPr>
        <w:t xml:space="preserve"> leden vragen wat voor effect </w:t>
      </w:r>
      <w:r w:rsidR="00FC6975">
        <w:rPr>
          <w:rFonts w:ascii="Times New Roman" w:hAnsi="Times New Roman" w:cs="Times New Roman"/>
          <w:bCs/>
          <w:i/>
          <w:iCs/>
        </w:rPr>
        <w:t>ik</w:t>
      </w:r>
      <w:r w:rsidRPr="00392A36">
        <w:rPr>
          <w:rFonts w:ascii="Times New Roman" w:hAnsi="Times New Roman" w:cs="Times New Roman"/>
          <w:bCs/>
          <w:i/>
          <w:iCs/>
        </w:rPr>
        <w:t xml:space="preserve"> verwacht voor gebieden die normaal een laag</w:t>
      </w:r>
      <w:r w:rsidRPr="00392A36" w:rsidR="003A254B">
        <w:rPr>
          <w:rFonts w:ascii="Times New Roman" w:hAnsi="Times New Roman" w:cs="Times New Roman"/>
          <w:bCs/>
          <w:i/>
          <w:iCs/>
        </w:rPr>
        <w:t xml:space="preserve"> </w:t>
      </w:r>
      <w:r w:rsidRPr="00392A36">
        <w:rPr>
          <w:rFonts w:ascii="Times New Roman" w:hAnsi="Times New Roman" w:cs="Times New Roman"/>
          <w:bCs/>
          <w:i/>
          <w:iCs/>
        </w:rPr>
        <w:t>honoreringspercentage hebben</w:t>
      </w:r>
      <w:r w:rsidR="00FC6975">
        <w:rPr>
          <w:rFonts w:ascii="Times New Roman" w:hAnsi="Times New Roman" w:cs="Times New Roman"/>
          <w:bCs/>
          <w:i/>
          <w:iCs/>
        </w:rPr>
        <w:t xml:space="preserve"> en of ik</w:t>
      </w:r>
      <w:r w:rsidRPr="00392A36">
        <w:rPr>
          <w:rFonts w:ascii="Times New Roman" w:hAnsi="Times New Roman" w:cs="Times New Roman"/>
          <w:bCs/>
          <w:i/>
          <w:iCs/>
        </w:rPr>
        <w:t xml:space="preserve"> bereid</w:t>
      </w:r>
      <w:r w:rsidR="00FC6975">
        <w:rPr>
          <w:rFonts w:ascii="Times New Roman" w:hAnsi="Times New Roman" w:cs="Times New Roman"/>
          <w:bCs/>
          <w:i/>
          <w:iCs/>
        </w:rPr>
        <w:t xml:space="preserve"> ben</w:t>
      </w:r>
      <w:r w:rsidRPr="00392A36">
        <w:rPr>
          <w:rFonts w:ascii="Times New Roman" w:hAnsi="Times New Roman" w:cs="Times New Roman"/>
          <w:bCs/>
          <w:i/>
          <w:iCs/>
        </w:rPr>
        <w:t xml:space="preserve"> de verandering in honoreringspercentages van deze onderzoeksgebieden te monitoren</w:t>
      </w:r>
      <w:r w:rsidR="00FC6975">
        <w:rPr>
          <w:rFonts w:ascii="Times New Roman" w:hAnsi="Times New Roman" w:cs="Times New Roman"/>
          <w:bCs/>
          <w:i/>
          <w:iCs/>
        </w:rPr>
        <w:t>.</w:t>
      </w:r>
      <w:r w:rsidRPr="00EC63A9">
        <w:rPr>
          <w:rFonts w:ascii="Times New Roman" w:hAnsi="Times New Roman" w:cs="Times New Roman"/>
          <w:bCs/>
        </w:rPr>
        <w:t xml:space="preserve"> </w:t>
      </w:r>
      <w:r w:rsidR="007F06AF">
        <w:rPr>
          <w:rFonts w:ascii="Times New Roman" w:hAnsi="Times New Roman" w:cs="Times New Roman"/>
          <w:bCs/>
          <w:color w:val="auto"/>
        </w:rPr>
        <w:t>De jaarlijkse honoreringspercentages van het NWO-Talentprogramma worden al actief gemonitord en gepubliceerd op OCW in cijfers</w:t>
      </w:r>
      <w:r w:rsidR="00CE5D86">
        <w:rPr>
          <w:rStyle w:val="Voetnootmarkering"/>
          <w:rFonts w:ascii="Times New Roman" w:hAnsi="Times New Roman" w:cs="Times New Roman"/>
          <w:bCs/>
          <w:color w:val="auto"/>
        </w:rPr>
        <w:footnoteReference w:id="4"/>
      </w:r>
      <w:r w:rsidR="0059044A">
        <w:rPr>
          <w:rFonts w:ascii="Times New Roman" w:hAnsi="Times New Roman" w:cs="Times New Roman"/>
          <w:bCs/>
          <w:color w:val="auto"/>
        </w:rPr>
        <w:t xml:space="preserve"> </w:t>
      </w:r>
      <w:r w:rsidR="007F06AF">
        <w:rPr>
          <w:rFonts w:ascii="Times New Roman" w:hAnsi="Times New Roman" w:cs="Times New Roman"/>
          <w:bCs/>
          <w:color w:val="auto"/>
        </w:rPr>
        <w:t xml:space="preserve">en de website van NWO. </w:t>
      </w:r>
      <w:r w:rsidRPr="00EC63A9" w:rsidR="003D7E65">
        <w:rPr>
          <w:rFonts w:ascii="Times New Roman" w:hAnsi="Times New Roman" w:cs="Times New Roman"/>
          <w:bCs/>
          <w:color w:val="auto"/>
        </w:rPr>
        <w:t>Opgemerkt moet worden dat de budgetverschuiving beperkt van omvang is en daardoor waarschijnlijk weinig invloed zal hebben op de honoreringspercentages</w:t>
      </w:r>
      <w:r w:rsidRPr="00EC63A9" w:rsidR="00956F0F">
        <w:rPr>
          <w:rFonts w:ascii="Times New Roman" w:hAnsi="Times New Roman" w:cs="Times New Roman"/>
          <w:bCs/>
          <w:color w:val="auto"/>
        </w:rPr>
        <w:t xml:space="preserve">. Bovendien worden de honoreringspercentages door uiteenlopende factoren beïnvloed. Ik zal NWO vragen of er toch mogelijkheden </w:t>
      </w:r>
      <w:r w:rsidRPr="00EC63A9" w:rsidR="00CC0BDE">
        <w:rPr>
          <w:rFonts w:ascii="Times New Roman" w:hAnsi="Times New Roman" w:cs="Times New Roman"/>
          <w:bCs/>
          <w:color w:val="auto"/>
        </w:rPr>
        <w:t xml:space="preserve">zijn </w:t>
      </w:r>
      <w:r w:rsidRPr="00EC63A9" w:rsidR="00956F0F">
        <w:rPr>
          <w:rFonts w:ascii="Times New Roman" w:hAnsi="Times New Roman" w:cs="Times New Roman"/>
          <w:bCs/>
          <w:color w:val="auto"/>
        </w:rPr>
        <w:t>om de veranderingen in honoreringspercentages per domein in de evaluatie te betrekken.</w:t>
      </w:r>
    </w:p>
    <w:p w:rsidR="001B7E40" w:rsidP="00AB3031" w:rsidRDefault="001B7E40" w14:paraId="3565AF31" w14:textId="77777777">
      <w:pPr>
        <w:pStyle w:val="Default"/>
        <w:spacing w:line="276" w:lineRule="auto"/>
        <w:rPr>
          <w:rFonts w:ascii="Times New Roman" w:hAnsi="Times New Roman" w:cs="Times New Roman"/>
          <w:bCs/>
        </w:rPr>
      </w:pPr>
    </w:p>
    <w:p w:rsidRPr="00EC63A9" w:rsidR="007728FE" w:rsidP="00AB3031" w:rsidRDefault="001E25B7" w14:paraId="26FD912E" w14:textId="289EC292">
      <w:pPr>
        <w:pStyle w:val="Default"/>
        <w:spacing w:line="276" w:lineRule="auto"/>
      </w:pPr>
      <w:r w:rsidRPr="00E07B22">
        <w:rPr>
          <w:rFonts w:ascii="Times New Roman" w:hAnsi="Times New Roman" w:cs="Times New Roman"/>
          <w:bCs/>
          <w:i/>
          <w:iCs/>
        </w:rPr>
        <w:t>De leden vragen</w:t>
      </w:r>
      <w:r w:rsidR="00FC6975">
        <w:rPr>
          <w:rFonts w:ascii="Times New Roman" w:hAnsi="Times New Roman" w:cs="Times New Roman"/>
          <w:bCs/>
          <w:i/>
          <w:iCs/>
        </w:rPr>
        <w:t xml:space="preserve"> mij</w:t>
      </w:r>
      <w:r w:rsidRPr="00E07B22">
        <w:rPr>
          <w:rFonts w:ascii="Times New Roman" w:hAnsi="Times New Roman" w:cs="Times New Roman"/>
          <w:bCs/>
          <w:i/>
          <w:iCs/>
        </w:rPr>
        <w:t xml:space="preserve"> wat voor effect </w:t>
      </w:r>
      <w:r w:rsidR="00FC6975">
        <w:rPr>
          <w:rFonts w:ascii="Times New Roman" w:hAnsi="Times New Roman" w:cs="Times New Roman"/>
          <w:bCs/>
          <w:i/>
          <w:iCs/>
        </w:rPr>
        <w:t>ik</w:t>
      </w:r>
      <w:r w:rsidRPr="00E07B22">
        <w:rPr>
          <w:rFonts w:ascii="Times New Roman" w:hAnsi="Times New Roman" w:cs="Times New Roman"/>
          <w:bCs/>
          <w:i/>
          <w:iCs/>
        </w:rPr>
        <w:t xml:space="preserve"> naar aanleiding van dit experiment verwacht voor de aanvraagdruk en of </w:t>
      </w:r>
      <w:r w:rsidR="00FC6975">
        <w:rPr>
          <w:rFonts w:ascii="Times New Roman" w:hAnsi="Times New Roman" w:cs="Times New Roman"/>
          <w:bCs/>
          <w:i/>
          <w:iCs/>
        </w:rPr>
        <w:t>ik</w:t>
      </w:r>
      <w:r w:rsidRPr="00E07B22">
        <w:rPr>
          <w:rFonts w:ascii="Times New Roman" w:hAnsi="Times New Roman" w:cs="Times New Roman"/>
          <w:bCs/>
          <w:i/>
          <w:iCs/>
        </w:rPr>
        <w:t xml:space="preserve"> bereid </w:t>
      </w:r>
      <w:r w:rsidR="00FC6975">
        <w:rPr>
          <w:rFonts w:ascii="Times New Roman" w:hAnsi="Times New Roman" w:cs="Times New Roman"/>
          <w:bCs/>
          <w:i/>
          <w:iCs/>
        </w:rPr>
        <w:t>ben</w:t>
      </w:r>
      <w:r w:rsidRPr="00E07B22">
        <w:rPr>
          <w:rFonts w:ascii="Times New Roman" w:hAnsi="Times New Roman" w:cs="Times New Roman"/>
          <w:bCs/>
          <w:i/>
          <w:iCs/>
        </w:rPr>
        <w:t xml:space="preserve"> dit te monitoren. Daarnaast vragen </w:t>
      </w:r>
      <w:r w:rsidRPr="00E07B22" w:rsidR="00BD5C5F">
        <w:rPr>
          <w:rFonts w:ascii="Times New Roman" w:hAnsi="Times New Roman" w:cs="Times New Roman"/>
          <w:bCs/>
          <w:i/>
          <w:iCs/>
        </w:rPr>
        <w:t>zij</w:t>
      </w:r>
      <w:r w:rsidRPr="00E07B22">
        <w:rPr>
          <w:rFonts w:ascii="Times New Roman" w:hAnsi="Times New Roman" w:cs="Times New Roman"/>
          <w:bCs/>
          <w:i/>
          <w:iCs/>
        </w:rPr>
        <w:t xml:space="preserve"> </w:t>
      </w:r>
      <w:r w:rsidR="00FC6975">
        <w:rPr>
          <w:rFonts w:ascii="Times New Roman" w:hAnsi="Times New Roman" w:cs="Times New Roman"/>
          <w:bCs/>
          <w:i/>
          <w:iCs/>
        </w:rPr>
        <w:t>mij</w:t>
      </w:r>
      <w:r w:rsidRPr="00E07B22">
        <w:rPr>
          <w:rFonts w:ascii="Times New Roman" w:hAnsi="Times New Roman" w:cs="Times New Roman"/>
          <w:bCs/>
          <w:i/>
          <w:iCs/>
        </w:rPr>
        <w:t xml:space="preserve"> wat </w:t>
      </w:r>
      <w:r w:rsidR="00FC6975">
        <w:rPr>
          <w:rFonts w:ascii="Times New Roman" w:hAnsi="Times New Roman" w:cs="Times New Roman"/>
          <w:bCs/>
          <w:i/>
          <w:iCs/>
        </w:rPr>
        <w:t>ik</w:t>
      </w:r>
      <w:r w:rsidRPr="00E07B22">
        <w:rPr>
          <w:rFonts w:ascii="Times New Roman" w:hAnsi="Times New Roman" w:cs="Times New Roman"/>
          <w:bCs/>
          <w:i/>
          <w:iCs/>
        </w:rPr>
        <w:t xml:space="preserve"> het aankomende jaar in algemene zin ga doen om de aanvraagdruk voor onderzoekers te verlagen.</w:t>
      </w:r>
      <w:r w:rsidRPr="00EC63A9" w:rsidR="003B7724">
        <w:rPr>
          <w:rFonts w:ascii="Times New Roman" w:hAnsi="Times New Roman" w:cs="Times New Roman"/>
          <w:bCs/>
        </w:rPr>
        <w:t xml:space="preserve"> </w:t>
      </w:r>
      <w:r w:rsidRPr="00EC63A9" w:rsidR="00956F0F">
        <w:rPr>
          <w:rFonts w:ascii="Times New Roman" w:hAnsi="Times New Roman" w:cs="Times New Roman"/>
          <w:bCs/>
          <w:color w:val="auto"/>
        </w:rPr>
        <w:t>De honoreringspercentages geven</w:t>
      </w:r>
      <w:r w:rsidR="00030AAA">
        <w:rPr>
          <w:rFonts w:ascii="Times New Roman" w:hAnsi="Times New Roman" w:cs="Times New Roman"/>
          <w:bCs/>
          <w:color w:val="auto"/>
        </w:rPr>
        <w:t xml:space="preserve"> een</w:t>
      </w:r>
      <w:r w:rsidRPr="00EC63A9" w:rsidR="00956F0F">
        <w:rPr>
          <w:rFonts w:ascii="Times New Roman" w:hAnsi="Times New Roman" w:cs="Times New Roman"/>
          <w:bCs/>
          <w:color w:val="auto"/>
        </w:rPr>
        <w:t xml:space="preserve"> indicatie van de aanvraagdruk. </w:t>
      </w:r>
      <w:r w:rsidR="009D14CA">
        <w:rPr>
          <w:rFonts w:ascii="Times New Roman" w:hAnsi="Times New Roman" w:cs="Times New Roman"/>
          <w:bCs/>
          <w:color w:val="auto"/>
        </w:rPr>
        <w:t xml:space="preserve">Zoals in het antwoord op de vraag hierboven aangegeven worden de honoreringspercentages </w:t>
      </w:r>
      <w:r w:rsidR="00AC06D6">
        <w:rPr>
          <w:rFonts w:ascii="Times New Roman" w:hAnsi="Times New Roman" w:cs="Times New Roman"/>
          <w:bCs/>
          <w:color w:val="auto"/>
        </w:rPr>
        <w:t>jaarlijks</w:t>
      </w:r>
      <w:r w:rsidR="009D14CA">
        <w:rPr>
          <w:rFonts w:ascii="Times New Roman" w:hAnsi="Times New Roman" w:cs="Times New Roman"/>
          <w:bCs/>
          <w:color w:val="auto"/>
        </w:rPr>
        <w:t xml:space="preserve"> gemonitord.</w:t>
      </w:r>
      <w:r w:rsidR="00AC06D6">
        <w:rPr>
          <w:rFonts w:ascii="Times New Roman" w:hAnsi="Times New Roman" w:cs="Times New Roman"/>
          <w:bCs/>
          <w:color w:val="auto"/>
        </w:rPr>
        <w:t xml:space="preserve"> </w:t>
      </w:r>
      <w:r w:rsidR="00EC63A9">
        <w:rPr>
          <w:rFonts w:ascii="Times New Roman" w:hAnsi="Times New Roman" w:cs="Times New Roman"/>
          <w:bCs/>
          <w:color w:val="auto"/>
        </w:rPr>
        <w:t>V</w:t>
      </w:r>
      <w:r w:rsidRPr="00EC63A9" w:rsidR="00956F0F">
        <w:rPr>
          <w:rFonts w:ascii="Times New Roman" w:hAnsi="Times New Roman" w:cs="Times New Roman"/>
          <w:bCs/>
          <w:color w:val="auto"/>
        </w:rPr>
        <w:t xml:space="preserve">oor maatregelen ten behoeve van het verlagen van de aanvraagdruk verwijs ik graag naar mijn antwoord op </w:t>
      </w:r>
      <w:r w:rsidR="00EC63A9">
        <w:rPr>
          <w:rFonts w:ascii="Times New Roman" w:hAnsi="Times New Roman" w:cs="Times New Roman"/>
          <w:bCs/>
          <w:color w:val="auto"/>
        </w:rPr>
        <w:t>de</w:t>
      </w:r>
      <w:r w:rsidR="00E07B22">
        <w:rPr>
          <w:rFonts w:ascii="Times New Roman" w:hAnsi="Times New Roman" w:cs="Times New Roman"/>
          <w:bCs/>
          <w:color w:val="auto"/>
        </w:rPr>
        <w:t xml:space="preserve"> vraag van de</w:t>
      </w:r>
      <w:r w:rsidR="00EC63A9">
        <w:rPr>
          <w:rFonts w:ascii="Times New Roman" w:hAnsi="Times New Roman" w:cs="Times New Roman"/>
          <w:bCs/>
          <w:color w:val="auto"/>
        </w:rPr>
        <w:t xml:space="preserve"> NSC</w:t>
      </w:r>
      <w:r w:rsidR="00ED539D">
        <w:rPr>
          <w:rFonts w:ascii="Times New Roman" w:hAnsi="Times New Roman" w:cs="Times New Roman"/>
          <w:bCs/>
          <w:color w:val="auto"/>
        </w:rPr>
        <w:t>-</w:t>
      </w:r>
      <w:r w:rsidR="00E07B22">
        <w:rPr>
          <w:rFonts w:ascii="Times New Roman" w:hAnsi="Times New Roman" w:cs="Times New Roman"/>
          <w:bCs/>
          <w:color w:val="auto"/>
        </w:rPr>
        <w:t>fractie</w:t>
      </w:r>
      <w:r w:rsidRPr="00EC63A9" w:rsidR="00956F0F">
        <w:rPr>
          <w:rFonts w:ascii="Times New Roman" w:hAnsi="Times New Roman" w:cs="Times New Roman"/>
          <w:bCs/>
          <w:color w:val="auto"/>
        </w:rPr>
        <w:t xml:space="preserve"> </w:t>
      </w:r>
      <w:r w:rsidR="00EC63A9">
        <w:rPr>
          <w:rFonts w:ascii="Times New Roman" w:hAnsi="Times New Roman" w:cs="Times New Roman"/>
          <w:bCs/>
          <w:color w:val="auto"/>
        </w:rPr>
        <w:t>over</w:t>
      </w:r>
      <w:r w:rsidR="007F59A6">
        <w:rPr>
          <w:rFonts w:ascii="Times New Roman" w:hAnsi="Times New Roman" w:cs="Times New Roman"/>
          <w:bCs/>
          <w:color w:val="auto"/>
        </w:rPr>
        <w:t xml:space="preserve"> de</w:t>
      </w:r>
      <w:r w:rsidR="00EC63A9">
        <w:rPr>
          <w:rFonts w:ascii="Times New Roman" w:hAnsi="Times New Roman" w:cs="Times New Roman"/>
          <w:bCs/>
          <w:color w:val="auto"/>
        </w:rPr>
        <w:t xml:space="preserve"> verlaging van de aanvraagdruk</w:t>
      </w:r>
      <w:r w:rsidRPr="00EC63A9" w:rsidR="00956F0F">
        <w:rPr>
          <w:rFonts w:ascii="Times New Roman" w:hAnsi="Times New Roman" w:cs="Times New Roman"/>
          <w:bCs/>
          <w:color w:val="auto"/>
        </w:rPr>
        <w:t xml:space="preserve">. </w:t>
      </w:r>
    </w:p>
    <w:p w:rsidRPr="001E25B7" w:rsidR="006957A8" w:rsidP="00AB3031" w:rsidRDefault="006957A8" w14:paraId="5668D39C" w14:textId="77777777">
      <w:pPr>
        <w:pStyle w:val="Default"/>
        <w:spacing w:line="276" w:lineRule="auto"/>
        <w:rPr>
          <w:rFonts w:ascii="Times New Roman" w:hAnsi="Times New Roman" w:cs="Times New Roman"/>
          <w:bCs/>
        </w:rPr>
      </w:pPr>
    </w:p>
    <w:p w:rsidRPr="00AA0BD6" w:rsidR="00CD5142" w:rsidP="00AB3031" w:rsidRDefault="00561E60" w14:paraId="3E219E12" w14:textId="7FDDAB53">
      <w:pPr>
        <w:pStyle w:val="Default"/>
        <w:spacing w:line="276" w:lineRule="auto"/>
        <w:rPr>
          <w:rFonts w:ascii="Times New Roman" w:hAnsi="Times New Roman" w:cs="Times New Roman"/>
          <w:bCs/>
          <w:color w:val="auto"/>
        </w:rPr>
      </w:pPr>
      <w:r w:rsidRPr="007F59A6">
        <w:rPr>
          <w:rFonts w:ascii="Times New Roman" w:hAnsi="Times New Roman" w:cs="Times New Roman"/>
          <w:bCs/>
          <w:i/>
          <w:iCs/>
        </w:rPr>
        <w:t>D</w:t>
      </w:r>
      <w:r w:rsidRPr="007F59A6" w:rsidR="00CD5142">
        <w:rPr>
          <w:rFonts w:ascii="Times New Roman" w:hAnsi="Times New Roman" w:cs="Times New Roman"/>
          <w:bCs/>
          <w:i/>
          <w:iCs/>
          <w:color w:val="auto"/>
        </w:rPr>
        <w:t xml:space="preserve">e leden van de D66-fractie vragen of </w:t>
      </w:r>
      <w:r w:rsidR="00FC6975">
        <w:rPr>
          <w:rFonts w:ascii="Times New Roman" w:hAnsi="Times New Roman" w:cs="Times New Roman"/>
          <w:bCs/>
          <w:i/>
          <w:iCs/>
          <w:color w:val="auto"/>
        </w:rPr>
        <w:t>ik</w:t>
      </w:r>
      <w:r w:rsidRPr="005304AF" w:rsidR="005304AF">
        <w:rPr>
          <w:rFonts w:ascii="Times New Roman" w:hAnsi="Times New Roman" w:cs="Times New Roman"/>
          <w:bCs/>
          <w:i/>
          <w:iCs/>
          <w:color w:val="auto"/>
        </w:rPr>
        <w:t xml:space="preserve"> </w:t>
      </w:r>
      <w:r w:rsidRPr="007F59A6" w:rsidR="00CD5142">
        <w:rPr>
          <w:rFonts w:ascii="Times New Roman" w:hAnsi="Times New Roman" w:cs="Times New Roman"/>
          <w:bCs/>
          <w:i/>
          <w:iCs/>
          <w:color w:val="auto"/>
        </w:rPr>
        <w:t xml:space="preserve">verwacht dat </w:t>
      </w:r>
      <w:r w:rsidR="00FC6975">
        <w:rPr>
          <w:rFonts w:ascii="Times New Roman" w:hAnsi="Times New Roman" w:cs="Times New Roman"/>
          <w:bCs/>
          <w:i/>
          <w:iCs/>
          <w:color w:val="auto"/>
        </w:rPr>
        <w:t>mijn</w:t>
      </w:r>
      <w:r w:rsidRPr="007F59A6" w:rsidR="00CD5142">
        <w:rPr>
          <w:rFonts w:ascii="Times New Roman" w:hAnsi="Times New Roman" w:cs="Times New Roman"/>
          <w:bCs/>
          <w:i/>
          <w:iCs/>
          <w:color w:val="auto"/>
        </w:rPr>
        <w:t xml:space="preserve"> beleid in brede zin zal leiden tot meer of minder </w:t>
      </w:r>
      <w:proofErr w:type="spellStart"/>
      <w:r w:rsidRPr="007F59A6" w:rsidR="00CD5142">
        <w:rPr>
          <w:rFonts w:ascii="Times New Roman" w:hAnsi="Times New Roman" w:cs="Times New Roman"/>
          <w:bCs/>
          <w:i/>
          <w:iCs/>
          <w:color w:val="auto"/>
        </w:rPr>
        <w:t>domeinoverstijgend</w:t>
      </w:r>
      <w:proofErr w:type="spellEnd"/>
      <w:r w:rsidRPr="007F59A6" w:rsidR="00CD5142">
        <w:rPr>
          <w:rFonts w:ascii="Times New Roman" w:hAnsi="Times New Roman" w:cs="Times New Roman"/>
          <w:bCs/>
          <w:i/>
          <w:iCs/>
          <w:color w:val="auto"/>
        </w:rPr>
        <w:t xml:space="preserve"> onderzoek.</w:t>
      </w:r>
      <w:r w:rsidRPr="00AA0BD6" w:rsidR="00CD5142">
        <w:rPr>
          <w:rFonts w:ascii="Times New Roman" w:hAnsi="Times New Roman" w:cs="Times New Roman"/>
          <w:bCs/>
          <w:color w:val="auto"/>
        </w:rPr>
        <w:t xml:space="preserve"> Ik hecht belang aan </w:t>
      </w:r>
      <w:proofErr w:type="spellStart"/>
      <w:r w:rsidRPr="00AA0BD6" w:rsidR="00CD5142">
        <w:rPr>
          <w:rFonts w:ascii="Times New Roman" w:hAnsi="Times New Roman" w:cs="Times New Roman"/>
          <w:bCs/>
          <w:color w:val="auto"/>
        </w:rPr>
        <w:t>domeinoverstijgend</w:t>
      </w:r>
      <w:proofErr w:type="spellEnd"/>
      <w:r w:rsidRPr="00AA0BD6" w:rsidR="00CD5142">
        <w:rPr>
          <w:rFonts w:ascii="Times New Roman" w:hAnsi="Times New Roman" w:cs="Times New Roman"/>
          <w:bCs/>
          <w:color w:val="auto"/>
        </w:rPr>
        <w:t xml:space="preserve"> onderzoek</w:t>
      </w:r>
      <w:r w:rsidR="0059044A">
        <w:rPr>
          <w:rFonts w:ascii="Times New Roman" w:hAnsi="Times New Roman" w:cs="Times New Roman"/>
          <w:bCs/>
          <w:color w:val="auto"/>
        </w:rPr>
        <w:t>.</w:t>
      </w:r>
      <w:r w:rsidRPr="00AA0BD6" w:rsidR="00CD5142">
        <w:rPr>
          <w:rFonts w:ascii="Times New Roman" w:hAnsi="Times New Roman" w:cs="Times New Roman"/>
          <w:bCs/>
          <w:color w:val="auto"/>
        </w:rPr>
        <w:t xml:space="preserve"> Verschillende van mijn beleidsinstrumenten dragen</w:t>
      </w:r>
      <w:r w:rsidRPr="00AA0BD6" w:rsidR="00591026">
        <w:rPr>
          <w:rFonts w:ascii="Times New Roman" w:hAnsi="Times New Roman" w:cs="Times New Roman"/>
          <w:bCs/>
          <w:color w:val="auto"/>
        </w:rPr>
        <w:t xml:space="preserve"> </w:t>
      </w:r>
      <w:r w:rsidRPr="00AA0BD6" w:rsidR="00CD5142">
        <w:rPr>
          <w:rFonts w:ascii="Times New Roman" w:hAnsi="Times New Roman" w:cs="Times New Roman"/>
          <w:bCs/>
          <w:color w:val="auto"/>
        </w:rPr>
        <w:t>bij</w:t>
      </w:r>
      <w:r w:rsidR="0059044A">
        <w:rPr>
          <w:rFonts w:ascii="Times New Roman" w:hAnsi="Times New Roman" w:cs="Times New Roman"/>
          <w:bCs/>
          <w:color w:val="auto"/>
        </w:rPr>
        <w:t xml:space="preserve"> aan </w:t>
      </w:r>
      <w:proofErr w:type="spellStart"/>
      <w:r w:rsidR="0059044A">
        <w:rPr>
          <w:rFonts w:ascii="Times New Roman" w:hAnsi="Times New Roman" w:cs="Times New Roman"/>
          <w:bCs/>
          <w:color w:val="auto"/>
        </w:rPr>
        <w:t>domeinoverstijgend</w:t>
      </w:r>
      <w:proofErr w:type="spellEnd"/>
      <w:r w:rsidR="0059044A">
        <w:rPr>
          <w:rFonts w:ascii="Times New Roman" w:hAnsi="Times New Roman" w:cs="Times New Roman"/>
          <w:bCs/>
          <w:color w:val="auto"/>
        </w:rPr>
        <w:t xml:space="preserve"> onderzoek</w:t>
      </w:r>
      <w:r w:rsidRPr="00AA0BD6" w:rsidR="00CD5142">
        <w:rPr>
          <w:rFonts w:ascii="Times New Roman" w:hAnsi="Times New Roman" w:cs="Times New Roman"/>
          <w:bCs/>
          <w:color w:val="auto"/>
        </w:rPr>
        <w:t xml:space="preserve">. </w:t>
      </w:r>
      <w:r w:rsidR="005724F6">
        <w:rPr>
          <w:rFonts w:ascii="Times New Roman" w:hAnsi="Times New Roman" w:cs="Times New Roman"/>
          <w:bCs/>
          <w:color w:val="auto"/>
        </w:rPr>
        <w:t>I</w:t>
      </w:r>
      <w:r w:rsidRPr="00AA0BD6" w:rsidR="00CD5142">
        <w:rPr>
          <w:rFonts w:ascii="Times New Roman" w:hAnsi="Times New Roman" w:cs="Times New Roman"/>
          <w:bCs/>
          <w:color w:val="auto"/>
        </w:rPr>
        <w:t xml:space="preserve">n de sectorplannen </w:t>
      </w:r>
      <w:r w:rsidR="005724F6">
        <w:rPr>
          <w:rFonts w:ascii="Times New Roman" w:hAnsi="Times New Roman" w:cs="Times New Roman"/>
          <w:bCs/>
          <w:color w:val="auto"/>
        </w:rPr>
        <w:t xml:space="preserve">is </w:t>
      </w:r>
      <w:r w:rsidR="00215E5F">
        <w:rPr>
          <w:rFonts w:ascii="Times New Roman" w:hAnsi="Times New Roman" w:cs="Times New Roman"/>
          <w:bCs/>
          <w:color w:val="auto"/>
        </w:rPr>
        <w:t xml:space="preserve">er </w:t>
      </w:r>
      <w:r w:rsidR="005724F6">
        <w:rPr>
          <w:rFonts w:ascii="Times New Roman" w:hAnsi="Times New Roman" w:cs="Times New Roman"/>
          <w:bCs/>
          <w:color w:val="auto"/>
        </w:rPr>
        <w:t xml:space="preserve">bijvoorbeeld </w:t>
      </w:r>
      <w:r w:rsidRPr="00AA0BD6" w:rsidR="00CD5142">
        <w:rPr>
          <w:rFonts w:ascii="Times New Roman" w:hAnsi="Times New Roman" w:cs="Times New Roman"/>
          <w:bCs/>
          <w:color w:val="auto"/>
        </w:rPr>
        <w:t xml:space="preserve">expliciet ruimte voor </w:t>
      </w:r>
      <w:proofErr w:type="spellStart"/>
      <w:r w:rsidRPr="00AA0BD6" w:rsidR="00CD5142">
        <w:rPr>
          <w:rFonts w:ascii="Times New Roman" w:hAnsi="Times New Roman" w:cs="Times New Roman"/>
          <w:bCs/>
          <w:color w:val="auto"/>
        </w:rPr>
        <w:t>domeinoverstijgende</w:t>
      </w:r>
      <w:proofErr w:type="spellEnd"/>
      <w:r w:rsidRPr="00AA0BD6" w:rsidR="00CD5142">
        <w:rPr>
          <w:rFonts w:ascii="Times New Roman" w:hAnsi="Times New Roman" w:cs="Times New Roman"/>
          <w:bCs/>
          <w:color w:val="auto"/>
        </w:rPr>
        <w:t xml:space="preserve"> samenwerking</w:t>
      </w:r>
      <w:r w:rsidR="005724F6">
        <w:rPr>
          <w:rFonts w:ascii="Times New Roman" w:hAnsi="Times New Roman" w:cs="Times New Roman"/>
          <w:bCs/>
          <w:color w:val="auto"/>
        </w:rPr>
        <w:t>, evenals</w:t>
      </w:r>
      <w:r w:rsidRPr="00AA0BD6" w:rsidR="00CD5142">
        <w:rPr>
          <w:rFonts w:ascii="Times New Roman" w:hAnsi="Times New Roman" w:cs="Times New Roman"/>
          <w:bCs/>
          <w:color w:val="auto"/>
        </w:rPr>
        <w:t xml:space="preserve"> in de </w:t>
      </w:r>
      <w:r w:rsidR="007F59A6">
        <w:rPr>
          <w:rFonts w:ascii="Times New Roman" w:hAnsi="Times New Roman" w:cs="Times New Roman"/>
          <w:bCs/>
          <w:color w:val="auto"/>
        </w:rPr>
        <w:t>Nationale Wetenschapsagenda (</w:t>
      </w:r>
      <w:r w:rsidRPr="00AA0BD6" w:rsidR="00CD5142">
        <w:rPr>
          <w:rFonts w:ascii="Times New Roman" w:hAnsi="Times New Roman" w:cs="Times New Roman"/>
          <w:bCs/>
          <w:color w:val="auto"/>
        </w:rPr>
        <w:t>NWA</w:t>
      </w:r>
      <w:r w:rsidR="007F59A6">
        <w:rPr>
          <w:rFonts w:ascii="Times New Roman" w:hAnsi="Times New Roman" w:cs="Times New Roman"/>
          <w:bCs/>
          <w:color w:val="auto"/>
        </w:rPr>
        <w:t>)</w:t>
      </w:r>
      <w:r w:rsidRPr="00AA0BD6" w:rsidR="00CD5142">
        <w:rPr>
          <w:rFonts w:ascii="Times New Roman" w:hAnsi="Times New Roman" w:cs="Times New Roman"/>
          <w:bCs/>
          <w:color w:val="auto"/>
        </w:rPr>
        <w:t xml:space="preserve">. Deze programma’s lopen gewoon door. Ik verwacht daarom dat de </w:t>
      </w:r>
      <w:r w:rsidR="007F59A6">
        <w:rPr>
          <w:rFonts w:ascii="Times New Roman" w:hAnsi="Times New Roman" w:cs="Times New Roman"/>
          <w:bCs/>
          <w:color w:val="auto"/>
        </w:rPr>
        <w:t>ruimte</w:t>
      </w:r>
      <w:r w:rsidRPr="00AA0BD6" w:rsidR="007F59A6">
        <w:rPr>
          <w:rFonts w:ascii="Times New Roman" w:hAnsi="Times New Roman" w:cs="Times New Roman"/>
          <w:bCs/>
          <w:color w:val="auto"/>
        </w:rPr>
        <w:t xml:space="preserve"> </w:t>
      </w:r>
      <w:r w:rsidRPr="00AA0BD6" w:rsidR="00CD5142">
        <w:rPr>
          <w:rFonts w:ascii="Times New Roman" w:hAnsi="Times New Roman" w:cs="Times New Roman"/>
          <w:bCs/>
          <w:color w:val="auto"/>
        </w:rPr>
        <w:t xml:space="preserve">voor </w:t>
      </w:r>
      <w:proofErr w:type="spellStart"/>
      <w:r w:rsidRPr="00AA0BD6" w:rsidR="00CD5142">
        <w:rPr>
          <w:rFonts w:ascii="Times New Roman" w:hAnsi="Times New Roman" w:cs="Times New Roman"/>
          <w:bCs/>
          <w:color w:val="auto"/>
        </w:rPr>
        <w:t>domeinoverstijgend</w:t>
      </w:r>
      <w:proofErr w:type="spellEnd"/>
      <w:r w:rsidRPr="00AA0BD6" w:rsidR="00CD5142">
        <w:rPr>
          <w:rFonts w:ascii="Times New Roman" w:hAnsi="Times New Roman" w:cs="Times New Roman"/>
          <w:bCs/>
          <w:color w:val="auto"/>
        </w:rPr>
        <w:t xml:space="preserve"> onderzoek</w:t>
      </w:r>
      <w:r w:rsidR="00563304">
        <w:rPr>
          <w:rFonts w:ascii="Times New Roman" w:hAnsi="Times New Roman" w:cs="Times New Roman"/>
          <w:bCs/>
          <w:color w:val="auto"/>
        </w:rPr>
        <w:t xml:space="preserve"> in mijn beleid</w:t>
      </w:r>
      <w:r w:rsidRPr="00AA0BD6" w:rsidR="00CD5142">
        <w:rPr>
          <w:rFonts w:ascii="Times New Roman" w:hAnsi="Times New Roman" w:cs="Times New Roman"/>
          <w:bCs/>
          <w:color w:val="auto"/>
        </w:rPr>
        <w:t xml:space="preserve"> stabiel </w:t>
      </w:r>
      <w:r w:rsidRPr="00AA0BD6" w:rsidR="00BA24E5">
        <w:rPr>
          <w:rFonts w:ascii="Times New Roman" w:hAnsi="Times New Roman" w:cs="Times New Roman"/>
          <w:bCs/>
          <w:color w:val="auto"/>
        </w:rPr>
        <w:t>zal blijven.</w:t>
      </w:r>
      <w:r w:rsidR="007F59A6">
        <w:rPr>
          <w:rFonts w:ascii="Times New Roman" w:hAnsi="Times New Roman" w:cs="Times New Roman"/>
          <w:bCs/>
          <w:color w:val="auto"/>
        </w:rPr>
        <w:t xml:space="preserve"> Wel merk ik op dat beleid op andere terreinen wel tot minder </w:t>
      </w:r>
      <w:r w:rsidR="007F59A6">
        <w:rPr>
          <w:rFonts w:ascii="Times New Roman" w:hAnsi="Times New Roman" w:cs="Times New Roman"/>
          <w:bCs/>
          <w:color w:val="auto"/>
        </w:rPr>
        <w:lastRenderedPageBreak/>
        <w:t xml:space="preserve">ruimte voor </w:t>
      </w:r>
      <w:proofErr w:type="spellStart"/>
      <w:r w:rsidRPr="00AA0BD6" w:rsidR="007F59A6">
        <w:rPr>
          <w:rFonts w:ascii="Times New Roman" w:hAnsi="Times New Roman" w:cs="Times New Roman"/>
          <w:bCs/>
          <w:color w:val="auto"/>
        </w:rPr>
        <w:t>domeinoverstijgend</w:t>
      </w:r>
      <w:proofErr w:type="spellEnd"/>
      <w:r w:rsidRPr="00AA0BD6" w:rsidR="007F59A6">
        <w:rPr>
          <w:rFonts w:ascii="Times New Roman" w:hAnsi="Times New Roman" w:cs="Times New Roman"/>
          <w:bCs/>
          <w:color w:val="auto"/>
        </w:rPr>
        <w:t xml:space="preserve"> onderzoek</w:t>
      </w:r>
      <w:r w:rsidR="007F59A6">
        <w:rPr>
          <w:rFonts w:ascii="Times New Roman" w:hAnsi="Times New Roman" w:cs="Times New Roman"/>
          <w:bCs/>
          <w:color w:val="auto"/>
        </w:rPr>
        <w:t xml:space="preserve"> kan leiden, zoals het wegvallen</w:t>
      </w:r>
      <w:r w:rsidR="00524E15">
        <w:rPr>
          <w:rFonts w:ascii="Times New Roman" w:hAnsi="Times New Roman" w:cs="Times New Roman"/>
          <w:bCs/>
          <w:color w:val="auto"/>
        </w:rPr>
        <w:t xml:space="preserve"> van</w:t>
      </w:r>
      <w:r w:rsidR="00700150">
        <w:rPr>
          <w:rFonts w:ascii="Times New Roman" w:hAnsi="Times New Roman" w:cs="Times New Roman"/>
          <w:bCs/>
          <w:color w:val="auto"/>
        </w:rPr>
        <w:t xml:space="preserve"> de komende aanvraagrondes</w:t>
      </w:r>
      <w:r w:rsidR="007F59A6">
        <w:rPr>
          <w:rFonts w:ascii="Times New Roman" w:hAnsi="Times New Roman" w:cs="Times New Roman"/>
          <w:bCs/>
          <w:color w:val="auto"/>
        </w:rPr>
        <w:t xml:space="preserve"> van het Nationaal Groeifonds.</w:t>
      </w:r>
    </w:p>
    <w:p w:rsidR="00CD5142" w:rsidP="00AB3031" w:rsidRDefault="00CD5142" w14:paraId="3CFF09E6" w14:textId="77777777">
      <w:pPr>
        <w:pStyle w:val="Default"/>
        <w:spacing w:line="276" w:lineRule="auto"/>
        <w:rPr>
          <w:rFonts w:ascii="Times New Roman" w:hAnsi="Times New Roman" w:cs="Times New Roman"/>
          <w:bCs/>
        </w:rPr>
      </w:pPr>
    </w:p>
    <w:p w:rsidRPr="009C632C" w:rsidR="00F845B9" w:rsidP="00AB3031" w:rsidRDefault="001E25B7" w14:paraId="750D94B1" w14:textId="5CDEEA30">
      <w:pPr>
        <w:pStyle w:val="Default"/>
        <w:spacing w:line="276" w:lineRule="auto"/>
        <w:rPr>
          <w:rFonts w:ascii="Times New Roman" w:hAnsi="Times New Roman" w:cs="Times New Roman"/>
          <w:bCs/>
          <w:color w:val="auto"/>
        </w:rPr>
      </w:pPr>
      <w:r w:rsidRPr="007F59A6">
        <w:rPr>
          <w:rFonts w:ascii="Times New Roman" w:hAnsi="Times New Roman" w:cs="Times New Roman"/>
          <w:bCs/>
          <w:i/>
          <w:iCs/>
        </w:rPr>
        <w:t xml:space="preserve">Het Rathenau </w:t>
      </w:r>
      <w:r w:rsidR="007F59A6">
        <w:rPr>
          <w:rFonts w:ascii="Times New Roman" w:hAnsi="Times New Roman" w:cs="Times New Roman"/>
          <w:bCs/>
          <w:i/>
          <w:iCs/>
        </w:rPr>
        <w:t>I</w:t>
      </w:r>
      <w:r w:rsidRPr="007F59A6">
        <w:rPr>
          <w:rFonts w:ascii="Times New Roman" w:hAnsi="Times New Roman" w:cs="Times New Roman"/>
          <w:bCs/>
          <w:i/>
          <w:iCs/>
        </w:rPr>
        <w:t xml:space="preserve">nstituut benadrukt in het rapport het belang van stabiele budgetverdeling met een lange tijdshorizon. </w:t>
      </w:r>
      <w:r w:rsidRPr="007F59A6" w:rsidR="00F845B9">
        <w:rPr>
          <w:rFonts w:ascii="Times New Roman" w:hAnsi="Times New Roman" w:cs="Times New Roman"/>
          <w:bCs/>
          <w:i/>
          <w:iCs/>
          <w:color w:val="auto"/>
        </w:rPr>
        <w:t xml:space="preserve">De leden van de D66-fractie vragen wat het effect is van het hoofdlijnenakkoord op de stabiliteit van budgetverdelingen en </w:t>
      </w:r>
      <w:proofErr w:type="spellStart"/>
      <w:r w:rsidRPr="007F59A6" w:rsidR="00F845B9">
        <w:rPr>
          <w:rFonts w:ascii="Times New Roman" w:hAnsi="Times New Roman" w:cs="Times New Roman"/>
          <w:bCs/>
          <w:i/>
          <w:iCs/>
          <w:color w:val="auto"/>
        </w:rPr>
        <w:t>onderzoeksbekostiging</w:t>
      </w:r>
      <w:proofErr w:type="spellEnd"/>
      <w:r w:rsidRPr="007F59A6" w:rsidR="00F845B9">
        <w:rPr>
          <w:rFonts w:ascii="Times New Roman" w:hAnsi="Times New Roman" w:cs="Times New Roman"/>
          <w:bCs/>
          <w:i/>
          <w:iCs/>
          <w:color w:val="auto"/>
        </w:rPr>
        <w:t>.</w:t>
      </w:r>
      <w:r w:rsidRPr="009C632C" w:rsidR="00F845B9">
        <w:rPr>
          <w:rFonts w:ascii="Times New Roman" w:hAnsi="Times New Roman" w:cs="Times New Roman"/>
          <w:bCs/>
          <w:color w:val="auto"/>
        </w:rPr>
        <w:t xml:space="preserve"> </w:t>
      </w:r>
      <w:r w:rsidRPr="00215E5F" w:rsidR="00215E5F">
        <w:rPr>
          <w:rFonts w:ascii="Times New Roman" w:hAnsi="Times New Roman" w:cs="Times New Roman"/>
          <w:bCs/>
          <w:color w:val="auto"/>
        </w:rPr>
        <w:t xml:space="preserve">Het Rathenau Instituut geeft in het rapport aan dat een grondslag voor budgetverdeling voor ongebonden, </w:t>
      </w:r>
      <w:proofErr w:type="spellStart"/>
      <w:r w:rsidRPr="00215E5F" w:rsidR="00215E5F">
        <w:rPr>
          <w:rFonts w:ascii="Times New Roman" w:hAnsi="Times New Roman" w:cs="Times New Roman"/>
          <w:bCs/>
          <w:color w:val="auto"/>
        </w:rPr>
        <w:t>nieuwsgierigheidsgedreven</w:t>
      </w:r>
      <w:proofErr w:type="spellEnd"/>
      <w:r w:rsidRPr="00215E5F" w:rsidR="00215E5F">
        <w:rPr>
          <w:rFonts w:ascii="Times New Roman" w:hAnsi="Times New Roman" w:cs="Times New Roman"/>
          <w:bCs/>
          <w:color w:val="auto"/>
        </w:rPr>
        <w:t xml:space="preserve"> onderzoek over de domeinen idealiter rekening houdt met stabiliteit en een lange tijdshorizon. Hoewel het hoofdlijnenakkoord resulteert in een lagere rijksbijdrage aan NWO, verwacht ik geen effect op de grondslag voor budgetverdeling over de wetenschapsdomeinen. </w:t>
      </w:r>
      <w:r w:rsidRPr="009C632C" w:rsidR="00F845B9">
        <w:rPr>
          <w:rFonts w:ascii="Times New Roman" w:hAnsi="Times New Roman" w:cs="Times New Roman"/>
          <w:bCs/>
          <w:color w:val="auto"/>
        </w:rPr>
        <w:t xml:space="preserve">De hoogte van de </w:t>
      </w:r>
      <w:proofErr w:type="spellStart"/>
      <w:r w:rsidRPr="009C632C" w:rsidR="00F845B9">
        <w:rPr>
          <w:rFonts w:ascii="Times New Roman" w:hAnsi="Times New Roman" w:cs="Times New Roman"/>
          <w:bCs/>
          <w:color w:val="auto"/>
        </w:rPr>
        <w:t>onderzoeksbekostiging</w:t>
      </w:r>
      <w:proofErr w:type="spellEnd"/>
      <w:r w:rsidR="007F59A6">
        <w:rPr>
          <w:rFonts w:ascii="Times New Roman" w:hAnsi="Times New Roman" w:cs="Times New Roman"/>
          <w:bCs/>
          <w:color w:val="auto"/>
        </w:rPr>
        <w:t xml:space="preserve"> via NWO</w:t>
      </w:r>
      <w:r w:rsidRPr="009C632C" w:rsidR="00F845B9">
        <w:rPr>
          <w:rFonts w:ascii="Times New Roman" w:hAnsi="Times New Roman" w:cs="Times New Roman"/>
          <w:bCs/>
          <w:color w:val="auto"/>
        </w:rPr>
        <w:t xml:space="preserve"> is,</w:t>
      </w:r>
      <w:r w:rsidR="00E23336">
        <w:rPr>
          <w:rFonts w:ascii="Times New Roman" w:hAnsi="Times New Roman" w:cs="Times New Roman"/>
          <w:bCs/>
          <w:color w:val="auto"/>
        </w:rPr>
        <w:t xml:space="preserve"> </w:t>
      </w:r>
      <w:r w:rsidRPr="009C632C" w:rsidR="00F845B9">
        <w:rPr>
          <w:rFonts w:ascii="Times New Roman" w:hAnsi="Times New Roman" w:cs="Times New Roman"/>
          <w:bCs/>
          <w:color w:val="auto"/>
        </w:rPr>
        <w:t xml:space="preserve">na verwerking van </w:t>
      </w:r>
      <w:r w:rsidR="00215E5F">
        <w:rPr>
          <w:rFonts w:ascii="Times New Roman" w:hAnsi="Times New Roman" w:cs="Times New Roman"/>
          <w:bCs/>
          <w:color w:val="auto"/>
        </w:rPr>
        <w:t>de budgettaire consequenties</w:t>
      </w:r>
      <w:r w:rsidRPr="009C632C" w:rsidR="00215E5F">
        <w:rPr>
          <w:rFonts w:ascii="Times New Roman" w:hAnsi="Times New Roman" w:cs="Times New Roman"/>
          <w:bCs/>
          <w:color w:val="auto"/>
        </w:rPr>
        <w:t xml:space="preserve"> </w:t>
      </w:r>
      <w:r w:rsidR="00215E5F">
        <w:rPr>
          <w:rFonts w:ascii="Times New Roman" w:hAnsi="Times New Roman" w:cs="Times New Roman"/>
          <w:bCs/>
          <w:color w:val="auto"/>
        </w:rPr>
        <w:t xml:space="preserve">van </w:t>
      </w:r>
      <w:r w:rsidRPr="009C632C" w:rsidR="00F845B9">
        <w:rPr>
          <w:rFonts w:ascii="Times New Roman" w:hAnsi="Times New Roman" w:cs="Times New Roman"/>
          <w:bCs/>
          <w:color w:val="auto"/>
        </w:rPr>
        <w:t>het hoofdlijnenakkoord</w:t>
      </w:r>
      <w:r w:rsidR="00215E5F">
        <w:rPr>
          <w:rFonts w:ascii="Times New Roman" w:hAnsi="Times New Roman" w:cs="Times New Roman"/>
          <w:bCs/>
          <w:color w:val="auto"/>
        </w:rPr>
        <w:t>,</w:t>
      </w:r>
      <w:r w:rsidRPr="009C632C" w:rsidR="00F845B9">
        <w:rPr>
          <w:rFonts w:ascii="Times New Roman" w:hAnsi="Times New Roman" w:cs="Times New Roman"/>
          <w:bCs/>
          <w:color w:val="auto"/>
        </w:rPr>
        <w:t xml:space="preserve"> de komende jaren stabiel. </w:t>
      </w:r>
    </w:p>
    <w:p w:rsidR="009C632C" w:rsidP="00AB3031" w:rsidRDefault="009C632C" w14:paraId="363AC8C1" w14:textId="77777777">
      <w:pPr>
        <w:pStyle w:val="Default"/>
        <w:spacing w:line="276" w:lineRule="auto"/>
        <w:rPr>
          <w:rFonts w:ascii="Times New Roman" w:hAnsi="Times New Roman" w:cs="Times New Roman"/>
          <w:bCs/>
          <w:i/>
          <w:iCs/>
        </w:rPr>
      </w:pPr>
    </w:p>
    <w:p w:rsidRPr="009C632C" w:rsidR="00F845B9" w:rsidP="002E6AF3" w:rsidRDefault="00BD5010" w14:paraId="64570227" w14:textId="765FB188">
      <w:pPr>
        <w:spacing w:line="276" w:lineRule="auto"/>
        <w:rPr>
          <w:bCs/>
        </w:rPr>
      </w:pPr>
      <w:r w:rsidRPr="002E6AF3">
        <w:rPr>
          <w:bCs/>
          <w:i/>
          <w:iCs/>
        </w:rPr>
        <w:t>D</w:t>
      </w:r>
      <w:r w:rsidRPr="002E6AF3" w:rsidR="00F845B9">
        <w:rPr>
          <w:bCs/>
          <w:i/>
          <w:iCs/>
        </w:rPr>
        <w:t xml:space="preserve">e leden van de D66-fractie vragen of </w:t>
      </w:r>
      <w:r w:rsidRPr="002E6AF3" w:rsidR="00FC6975">
        <w:rPr>
          <w:bCs/>
          <w:i/>
          <w:iCs/>
        </w:rPr>
        <w:t>ik</w:t>
      </w:r>
      <w:r w:rsidRPr="002E6AF3" w:rsidR="00F845B9">
        <w:rPr>
          <w:bCs/>
          <w:i/>
          <w:iCs/>
        </w:rPr>
        <w:t xml:space="preserve"> de budgetverdeling over domeinen en de effecten van de bezuinigingen wil monitoren en nieuwe informatie hierover elk half jaar aan de Kamer wil verzenden. </w:t>
      </w:r>
      <w:r w:rsidRPr="002E6AF3" w:rsidR="002E6AF3">
        <w:t xml:space="preserve">Voor een totaaloverzicht van de budgetverdeling over de domeinen verwijs ik naar de publiek toegankelijke </w:t>
      </w:r>
      <w:proofErr w:type="spellStart"/>
      <w:r w:rsidRPr="002E6AF3" w:rsidR="002E6AF3">
        <w:t>factsheet</w:t>
      </w:r>
      <w:proofErr w:type="spellEnd"/>
      <w:r w:rsidRPr="002E6AF3" w:rsidR="002E6AF3">
        <w:t xml:space="preserve"> ‘R&amp;D-uitgaven en -capaciteit naar wetenschapsgebied’ van het Rathenau Instituut</w:t>
      </w:r>
      <w:r w:rsidR="000256F4">
        <w:t>.</w:t>
      </w:r>
      <w:r w:rsidR="002E6AF3">
        <w:rPr>
          <w:rStyle w:val="Voetnootmarkering"/>
        </w:rPr>
        <w:footnoteReference w:id="5"/>
      </w:r>
      <w:r w:rsidRPr="002E6AF3" w:rsidR="002E6AF3">
        <w:t xml:space="preserve"> Daarin worden de uitgaven voor wetenschappelijk onderzoek in zes wetenschapsgebieden getoond sinds 2013. Het Rathenau Instituut</w:t>
      </w:r>
      <w:r w:rsidR="000256F4">
        <w:t xml:space="preserve"> actualiseert</w:t>
      </w:r>
      <w:r w:rsidRPr="002E6AF3" w:rsidR="002E6AF3">
        <w:t xml:space="preserve"> deze </w:t>
      </w:r>
      <w:proofErr w:type="spellStart"/>
      <w:r w:rsidRPr="002E6AF3" w:rsidR="002E6AF3">
        <w:t>factsheet</w:t>
      </w:r>
      <w:proofErr w:type="spellEnd"/>
      <w:r w:rsidRPr="002E6AF3" w:rsidR="002E6AF3">
        <w:t xml:space="preserve"> jaarlijks </w:t>
      </w:r>
      <w:r w:rsidR="000256F4">
        <w:t>mits de data beschikbaar zijn</w:t>
      </w:r>
      <w:r w:rsidRPr="002E6AF3" w:rsidR="002E6AF3">
        <w:t xml:space="preserve">. Het effect van de bezuinigingen op het </w:t>
      </w:r>
      <w:r w:rsidR="009A377E">
        <w:t xml:space="preserve">wetenschappelijk </w:t>
      </w:r>
      <w:r w:rsidRPr="002E6AF3" w:rsidR="002E6AF3">
        <w:t xml:space="preserve">onderwijs en onderzoek monitor ik via </w:t>
      </w:r>
      <w:r w:rsidRPr="002E6AF3" w:rsidR="00F845B9">
        <w:rPr>
          <w:bCs/>
        </w:rPr>
        <w:t>het monitorings- en evaluatiebeleid</w:t>
      </w:r>
      <w:r w:rsidRPr="002E6AF3" w:rsidR="002E6AF3">
        <w:rPr>
          <w:bCs/>
        </w:rPr>
        <w:t>. Hiermee houd ik</w:t>
      </w:r>
      <w:r w:rsidRPr="002E6AF3" w:rsidR="00F845B9">
        <w:rPr>
          <w:bCs/>
        </w:rPr>
        <w:t xml:space="preserve"> zicht op de effecten van het beleid van de Rijksoverheid</w:t>
      </w:r>
      <w:r w:rsidRPr="002E6AF3" w:rsidR="009C632C">
        <w:rPr>
          <w:bCs/>
        </w:rPr>
        <w:t xml:space="preserve"> en ook van NWO</w:t>
      </w:r>
      <w:r w:rsidRPr="002E6AF3" w:rsidR="00F845B9">
        <w:rPr>
          <w:bCs/>
        </w:rPr>
        <w:t>. Dit staat toegelicht in paragraaf 2.4 van de OCW-begroting. Zo vindt in 2026 een syntheseonderzoek plaats naar het Fonds voor Onderzoek en Wetenschap, en deel ik in 2025 de onderzoeksopzet voor de periodieke rapportage (voorheen: beleidsdoorlichting) Onderzoek en wetenschapsbeleid met uw Kamer, die in 2026 uitgevoerd zal worden.</w:t>
      </w:r>
    </w:p>
    <w:p w:rsidR="00F845B9" w:rsidP="00AB3031" w:rsidRDefault="00F845B9" w14:paraId="33F5F24B" w14:textId="77777777">
      <w:pPr>
        <w:pStyle w:val="Default"/>
        <w:spacing w:line="276" w:lineRule="auto"/>
        <w:rPr>
          <w:rFonts w:ascii="Times New Roman" w:hAnsi="Times New Roman" w:cs="Times New Roman"/>
          <w:bCs/>
        </w:rPr>
      </w:pPr>
    </w:p>
    <w:p w:rsidRPr="009C632C" w:rsidR="00F845B9" w:rsidP="00AB3031" w:rsidRDefault="001E25B7" w14:paraId="45D05B62" w14:textId="2C3D08A3">
      <w:pPr>
        <w:pStyle w:val="Default"/>
        <w:spacing w:line="276" w:lineRule="auto"/>
        <w:rPr>
          <w:rFonts w:ascii="Times New Roman" w:hAnsi="Times New Roman" w:cs="Times New Roman"/>
          <w:bCs/>
          <w:color w:val="FF0000"/>
        </w:rPr>
      </w:pPr>
      <w:r w:rsidRPr="007F59A6">
        <w:rPr>
          <w:rFonts w:ascii="Times New Roman" w:hAnsi="Times New Roman" w:cs="Times New Roman"/>
          <w:bCs/>
          <w:i/>
          <w:iCs/>
        </w:rPr>
        <w:t>De leden</w:t>
      </w:r>
      <w:r w:rsidRPr="007F59A6" w:rsidR="00155DED">
        <w:rPr>
          <w:rFonts w:ascii="Times New Roman" w:hAnsi="Times New Roman" w:cs="Times New Roman"/>
          <w:bCs/>
          <w:i/>
          <w:iCs/>
        </w:rPr>
        <w:t xml:space="preserve"> van de D66-fractie</w:t>
      </w:r>
      <w:r w:rsidRPr="007F59A6">
        <w:rPr>
          <w:rFonts w:ascii="Times New Roman" w:hAnsi="Times New Roman" w:cs="Times New Roman"/>
          <w:bCs/>
          <w:i/>
          <w:iCs/>
        </w:rPr>
        <w:t xml:space="preserve"> vragen </w:t>
      </w:r>
      <w:r w:rsidR="00FC6975">
        <w:rPr>
          <w:rFonts w:ascii="Times New Roman" w:hAnsi="Times New Roman" w:cs="Times New Roman"/>
          <w:bCs/>
          <w:i/>
          <w:iCs/>
        </w:rPr>
        <w:t>mij</w:t>
      </w:r>
      <w:r w:rsidRPr="007F59A6">
        <w:rPr>
          <w:rFonts w:ascii="Times New Roman" w:hAnsi="Times New Roman" w:cs="Times New Roman"/>
          <w:bCs/>
          <w:i/>
          <w:iCs/>
        </w:rPr>
        <w:t xml:space="preserve"> op welke manier </w:t>
      </w:r>
      <w:r w:rsidR="00FC6975">
        <w:rPr>
          <w:rFonts w:ascii="Times New Roman" w:hAnsi="Times New Roman" w:cs="Times New Roman"/>
          <w:bCs/>
          <w:i/>
          <w:iCs/>
        </w:rPr>
        <w:t>ik</w:t>
      </w:r>
      <w:r w:rsidRPr="007F59A6">
        <w:rPr>
          <w:rFonts w:ascii="Times New Roman" w:hAnsi="Times New Roman" w:cs="Times New Roman"/>
          <w:bCs/>
          <w:i/>
          <w:iCs/>
        </w:rPr>
        <w:t xml:space="preserve"> wil zorgen dat onderzoek en onderwijs over de volle breedte mogelijk blijft en </w:t>
      </w:r>
      <w:r w:rsidR="00FC6975">
        <w:rPr>
          <w:rFonts w:ascii="Times New Roman" w:hAnsi="Times New Roman" w:cs="Times New Roman"/>
          <w:bCs/>
          <w:i/>
          <w:iCs/>
        </w:rPr>
        <w:t>ik</w:t>
      </w:r>
      <w:r w:rsidRPr="007F59A6">
        <w:rPr>
          <w:rFonts w:ascii="Times New Roman" w:hAnsi="Times New Roman" w:cs="Times New Roman"/>
          <w:bCs/>
          <w:i/>
          <w:iCs/>
        </w:rPr>
        <w:t xml:space="preserve"> sommige sectoren niet onevenredig zal raken met </w:t>
      </w:r>
      <w:r w:rsidR="00FC6975">
        <w:rPr>
          <w:rFonts w:ascii="Times New Roman" w:hAnsi="Times New Roman" w:cs="Times New Roman"/>
          <w:bCs/>
          <w:i/>
          <w:iCs/>
        </w:rPr>
        <w:t>de</w:t>
      </w:r>
      <w:r w:rsidRPr="007F59A6">
        <w:rPr>
          <w:rFonts w:ascii="Times New Roman" w:hAnsi="Times New Roman" w:cs="Times New Roman"/>
          <w:bCs/>
          <w:i/>
          <w:iCs/>
        </w:rPr>
        <w:t xml:space="preserve"> bezuinigingen.</w:t>
      </w:r>
      <w:r w:rsidRPr="007F59A6" w:rsidR="002065B1">
        <w:rPr>
          <w:rFonts w:ascii="Times New Roman" w:hAnsi="Times New Roman" w:cs="Times New Roman"/>
          <w:bCs/>
          <w:i/>
          <w:iCs/>
        </w:rPr>
        <w:t xml:space="preserve"> </w:t>
      </w:r>
      <w:r w:rsidRPr="009C632C" w:rsidR="00F845B9">
        <w:rPr>
          <w:rFonts w:ascii="Times New Roman" w:hAnsi="Times New Roman" w:cs="Times New Roman"/>
          <w:bCs/>
          <w:color w:val="auto"/>
        </w:rPr>
        <w:t xml:space="preserve">Een van de drie hoofddoelen van het wetenschapsbeleid is </w:t>
      </w:r>
      <w:r w:rsidR="005304AF">
        <w:rPr>
          <w:rFonts w:ascii="Times New Roman" w:hAnsi="Times New Roman" w:cs="Times New Roman"/>
          <w:bCs/>
          <w:color w:val="auto"/>
        </w:rPr>
        <w:t>een sterk</w:t>
      </w:r>
      <w:r w:rsidRPr="009C632C" w:rsidR="00F845B9">
        <w:rPr>
          <w:rFonts w:ascii="Times New Roman" w:hAnsi="Times New Roman" w:cs="Times New Roman"/>
          <w:bCs/>
          <w:color w:val="auto"/>
        </w:rPr>
        <w:t xml:space="preserve"> fundament, en daarmee de brede kennisbasis van de Nederlandse wetenschap. </w:t>
      </w:r>
      <w:r w:rsidR="00C44251">
        <w:rPr>
          <w:rFonts w:ascii="Times New Roman" w:hAnsi="Times New Roman" w:cs="Times New Roman"/>
          <w:bCs/>
          <w:color w:val="auto"/>
        </w:rPr>
        <w:t xml:space="preserve">Dat doel wordt niet alleen gerealiseerd via de </w:t>
      </w:r>
      <w:r w:rsidR="00591026">
        <w:rPr>
          <w:rFonts w:ascii="Times New Roman" w:hAnsi="Times New Roman" w:cs="Times New Roman"/>
          <w:bCs/>
          <w:color w:val="auto"/>
        </w:rPr>
        <w:t>r</w:t>
      </w:r>
      <w:r w:rsidR="00C44251">
        <w:rPr>
          <w:rFonts w:ascii="Times New Roman" w:hAnsi="Times New Roman" w:cs="Times New Roman"/>
          <w:bCs/>
          <w:color w:val="auto"/>
        </w:rPr>
        <w:t xml:space="preserve">ijksbijdrage, maar ook via </w:t>
      </w:r>
      <w:r w:rsidR="00FE65F9">
        <w:rPr>
          <w:rFonts w:ascii="Times New Roman" w:hAnsi="Times New Roman" w:cs="Times New Roman"/>
          <w:bCs/>
          <w:color w:val="auto"/>
        </w:rPr>
        <w:t xml:space="preserve">NWO-instrumenten zoals de Open Competitie en het Talentprogramma. </w:t>
      </w:r>
      <w:r w:rsidRPr="009C632C" w:rsidR="00F845B9">
        <w:rPr>
          <w:rFonts w:ascii="Times New Roman" w:hAnsi="Times New Roman" w:cs="Times New Roman"/>
          <w:bCs/>
          <w:color w:val="auto"/>
        </w:rPr>
        <w:t xml:space="preserve">Het behoud van de sectorplannen voor </w:t>
      </w:r>
      <w:r w:rsidR="009A377E">
        <w:rPr>
          <w:rFonts w:ascii="Times New Roman" w:hAnsi="Times New Roman" w:cs="Times New Roman"/>
          <w:bCs/>
          <w:color w:val="auto"/>
        </w:rPr>
        <w:t xml:space="preserve">wetenschappelijk </w:t>
      </w:r>
      <w:r w:rsidRPr="009C632C" w:rsidR="00F845B9">
        <w:rPr>
          <w:rFonts w:ascii="Times New Roman" w:hAnsi="Times New Roman" w:cs="Times New Roman"/>
          <w:bCs/>
          <w:color w:val="auto"/>
        </w:rPr>
        <w:t xml:space="preserve">onderwijs en </w:t>
      </w:r>
      <w:r w:rsidR="009A377E">
        <w:rPr>
          <w:rFonts w:ascii="Times New Roman" w:hAnsi="Times New Roman" w:cs="Times New Roman"/>
          <w:bCs/>
          <w:color w:val="auto"/>
        </w:rPr>
        <w:t>onderzoek</w:t>
      </w:r>
      <w:r w:rsidR="00FE65F9">
        <w:rPr>
          <w:rFonts w:ascii="Times New Roman" w:hAnsi="Times New Roman" w:cs="Times New Roman"/>
          <w:bCs/>
          <w:color w:val="auto"/>
        </w:rPr>
        <w:t>, die aan alle domeinen raken,</w:t>
      </w:r>
      <w:r w:rsidRPr="009C632C" w:rsidR="00F845B9">
        <w:rPr>
          <w:rFonts w:ascii="Times New Roman" w:hAnsi="Times New Roman" w:cs="Times New Roman"/>
          <w:bCs/>
          <w:color w:val="auto"/>
        </w:rPr>
        <w:t xml:space="preserve"> </w:t>
      </w:r>
      <w:r w:rsidR="007F59A6">
        <w:rPr>
          <w:rFonts w:ascii="Times New Roman" w:hAnsi="Times New Roman" w:cs="Times New Roman"/>
          <w:bCs/>
          <w:color w:val="auto"/>
        </w:rPr>
        <w:t>draagt hier</w:t>
      </w:r>
      <w:r w:rsidR="00591026">
        <w:rPr>
          <w:rFonts w:ascii="Times New Roman" w:hAnsi="Times New Roman" w:cs="Times New Roman"/>
          <w:bCs/>
          <w:color w:val="auto"/>
        </w:rPr>
        <w:t xml:space="preserve">aan </w:t>
      </w:r>
      <w:r w:rsidR="00C44251">
        <w:rPr>
          <w:rFonts w:ascii="Times New Roman" w:hAnsi="Times New Roman" w:cs="Times New Roman"/>
          <w:bCs/>
          <w:color w:val="auto"/>
        </w:rPr>
        <w:t xml:space="preserve">ook </w:t>
      </w:r>
      <w:r w:rsidR="007F59A6">
        <w:rPr>
          <w:rFonts w:ascii="Times New Roman" w:hAnsi="Times New Roman" w:cs="Times New Roman"/>
          <w:bCs/>
          <w:color w:val="auto"/>
        </w:rPr>
        <w:t>in belangrijke mate bij</w:t>
      </w:r>
      <w:r w:rsidRPr="009C632C" w:rsidR="00F845B9">
        <w:rPr>
          <w:rFonts w:ascii="Times New Roman" w:hAnsi="Times New Roman" w:cs="Times New Roman"/>
          <w:bCs/>
          <w:color w:val="auto"/>
        </w:rPr>
        <w:t>. Ik houd</w:t>
      </w:r>
      <w:r w:rsidR="007F59A6">
        <w:rPr>
          <w:rFonts w:ascii="Times New Roman" w:hAnsi="Times New Roman" w:cs="Times New Roman"/>
          <w:bCs/>
          <w:color w:val="auto"/>
        </w:rPr>
        <w:t xml:space="preserve"> hier</w:t>
      </w:r>
      <w:r w:rsidR="00591026">
        <w:rPr>
          <w:rFonts w:ascii="Times New Roman" w:hAnsi="Times New Roman" w:cs="Times New Roman"/>
          <w:bCs/>
          <w:color w:val="auto"/>
        </w:rPr>
        <w:t xml:space="preserve">op </w:t>
      </w:r>
      <w:r w:rsidRPr="009C632C" w:rsidR="00F845B9">
        <w:rPr>
          <w:rFonts w:ascii="Times New Roman" w:hAnsi="Times New Roman" w:cs="Times New Roman"/>
          <w:bCs/>
          <w:color w:val="auto"/>
        </w:rPr>
        <w:t xml:space="preserve">zicht </w:t>
      </w:r>
      <w:r w:rsidR="007F59A6">
        <w:rPr>
          <w:rFonts w:ascii="Times New Roman" w:hAnsi="Times New Roman" w:cs="Times New Roman"/>
          <w:bCs/>
          <w:color w:val="auto"/>
        </w:rPr>
        <w:t>via</w:t>
      </w:r>
      <w:r w:rsidRPr="009C632C" w:rsidR="00F845B9">
        <w:rPr>
          <w:rFonts w:ascii="Times New Roman" w:hAnsi="Times New Roman" w:cs="Times New Roman"/>
          <w:bCs/>
          <w:color w:val="auto"/>
        </w:rPr>
        <w:t xml:space="preserve"> het monitorings- en evaluatiebeleid. Dit staat toegelicht in paragraaf 2.4 van de OCW-begroting.</w:t>
      </w:r>
    </w:p>
    <w:p w:rsidR="00F845B9" w:rsidP="00AB3031" w:rsidRDefault="00F845B9" w14:paraId="149F68B0" w14:textId="77777777">
      <w:pPr>
        <w:pStyle w:val="Default"/>
        <w:spacing w:line="276" w:lineRule="auto"/>
        <w:rPr>
          <w:rFonts w:ascii="Times New Roman" w:hAnsi="Times New Roman" w:cs="Times New Roman"/>
          <w:bCs/>
        </w:rPr>
      </w:pPr>
    </w:p>
    <w:p w:rsidRPr="00F6219D" w:rsidR="00402FAB" w:rsidP="00AB3031" w:rsidRDefault="00402FAB" w14:paraId="34EDAF6B" w14:textId="2FEEA60F">
      <w:pPr>
        <w:pStyle w:val="Default"/>
        <w:spacing w:line="276" w:lineRule="auto"/>
        <w:rPr>
          <w:rFonts w:ascii="Times New Roman" w:hAnsi="Times New Roman" w:cs="Times New Roman"/>
          <w:bCs/>
          <w:color w:val="auto"/>
        </w:rPr>
      </w:pPr>
      <w:r w:rsidRPr="007F59A6">
        <w:rPr>
          <w:rFonts w:ascii="Times New Roman" w:hAnsi="Times New Roman" w:cs="Times New Roman"/>
          <w:bCs/>
          <w:i/>
          <w:iCs/>
          <w:color w:val="auto"/>
        </w:rPr>
        <w:t xml:space="preserve">De leden van de D66-fractie vragen </w:t>
      </w:r>
      <w:r w:rsidR="00FC6975">
        <w:rPr>
          <w:rFonts w:ascii="Times New Roman" w:hAnsi="Times New Roman" w:cs="Times New Roman"/>
          <w:bCs/>
          <w:i/>
          <w:iCs/>
          <w:color w:val="auto"/>
        </w:rPr>
        <w:t>mij</w:t>
      </w:r>
      <w:r w:rsidRPr="005304AF" w:rsidR="005304AF">
        <w:rPr>
          <w:rFonts w:ascii="Times New Roman" w:hAnsi="Times New Roman" w:cs="Times New Roman"/>
          <w:bCs/>
          <w:i/>
          <w:iCs/>
          <w:color w:val="auto"/>
        </w:rPr>
        <w:t xml:space="preserve"> </w:t>
      </w:r>
      <w:r w:rsidRPr="007F59A6">
        <w:rPr>
          <w:rFonts w:ascii="Times New Roman" w:hAnsi="Times New Roman" w:cs="Times New Roman"/>
          <w:bCs/>
          <w:i/>
          <w:iCs/>
          <w:color w:val="auto"/>
        </w:rPr>
        <w:t>te reflecteren op de waarde van ongebonden onderzoek.</w:t>
      </w:r>
      <w:r w:rsidRPr="00F6219D">
        <w:rPr>
          <w:rFonts w:ascii="Times New Roman" w:hAnsi="Times New Roman" w:cs="Times New Roman"/>
          <w:bCs/>
          <w:color w:val="auto"/>
        </w:rPr>
        <w:t xml:space="preserve"> Ik zie daarin een grote waarde. Mede dankzij ongebonden onderzoek verleggen </w:t>
      </w:r>
      <w:r w:rsidRPr="00F6219D">
        <w:rPr>
          <w:rFonts w:ascii="Times New Roman" w:hAnsi="Times New Roman" w:cs="Times New Roman"/>
          <w:bCs/>
          <w:color w:val="auto"/>
        </w:rPr>
        <w:lastRenderedPageBreak/>
        <w:t xml:space="preserve">we de grenzen van kennis en blijven we als Nederland een </w:t>
      </w:r>
      <w:r w:rsidR="00030AAA">
        <w:rPr>
          <w:rFonts w:ascii="Times New Roman" w:hAnsi="Times New Roman" w:cs="Times New Roman"/>
          <w:bCs/>
          <w:color w:val="auto"/>
        </w:rPr>
        <w:t xml:space="preserve">vooruitstrevend </w:t>
      </w:r>
      <w:r w:rsidRPr="00F6219D">
        <w:rPr>
          <w:rFonts w:ascii="Times New Roman" w:hAnsi="Times New Roman" w:cs="Times New Roman"/>
          <w:bCs/>
          <w:color w:val="auto"/>
        </w:rPr>
        <w:t xml:space="preserve">kennisland. </w:t>
      </w:r>
      <w:r w:rsidRPr="00F6219D" w:rsidR="005A155E">
        <w:rPr>
          <w:rFonts w:ascii="Times New Roman" w:hAnsi="Times New Roman" w:cs="Times New Roman"/>
          <w:bCs/>
          <w:color w:val="auto"/>
        </w:rPr>
        <w:t>V</w:t>
      </w:r>
      <w:r w:rsidRPr="00F6219D">
        <w:rPr>
          <w:rFonts w:ascii="Times New Roman" w:hAnsi="Times New Roman" w:cs="Times New Roman"/>
          <w:bCs/>
          <w:color w:val="auto"/>
        </w:rPr>
        <w:t xml:space="preserve">oor complexe problemen zijn </w:t>
      </w:r>
      <w:r w:rsidRPr="00F6219D" w:rsidR="005A155E">
        <w:rPr>
          <w:rFonts w:ascii="Times New Roman" w:hAnsi="Times New Roman" w:cs="Times New Roman"/>
          <w:bCs/>
          <w:color w:val="auto"/>
        </w:rPr>
        <w:t xml:space="preserve">overigens </w:t>
      </w:r>
      <w:r w:rsidRPr="00F6219D">
        <w:rPr>
          <w:rFonts w:ascii="Times New Roman" w:hAnsi="Times New Roman" w:cs="Times New Roman"/>
          <w:bCs/>
          <w:color w:val="auto"/>
        </w:rPr>
        <w:t xml:space="preserve">álle vormen van </w:t>
      </w:r>
      <w:r w:rsidR="007F59A6">
        <w:rPr>
          <w:rFonts w:ascii="Times New Roman" w:hAnsi="Times New Roman" w:cs="Times New Roman"/>
          <w:bCs/>
          <w:color w:val="auto"/>
        </w:rPr>
        <w:t>onderzoek</w:t>
      </w:r>
      <w:r w:rsidRPr="00F6219D" w:rsidR="007F59A6">
        <w:rPr>
          <w:rFonts w:ascii="Times New Roman" w:hAnsi="Times New Roman" w:cs="Times New Roman"/>
          <w:bCs/>
          <w:color w:val="auto"/>
        </w:rPr>
        <w:t xml:space="preserve"> </w:t>
      </w:r>
      <w:r w:rsidRPr="00F6219D">
        <w:rPr>
          <w:rFonts w:ascii="Times New Roman" w:hAnsi="Times New Roman" w:cs="Times New Roman"/>
          <w:bCs/>
          <w:color w:val="auto"/>
        </w:rPr>
        <w:t>nodig. Zowel</w:t>
      </w:r>
      <w:r w:rsidR="007F59A6">
        <w:rPr>
          <w:rFonts w:ascii="Times New Roman" w:hAnsi="Times New Roman" w:cs="Times New Roman"/>
          <w:bCs/>
          <w:color w:val="auto"/>
        </w:rPr>
        <w:t xml:space="preserve"> praktijkgericht,</w:t>
      </w:r>
      <w:r w:rsidRPr="00F6219D">
        <w:rPr>
          <w:rFonts w:ascii="Times New Roman" w:hAnsi="Times New Roman" w:cs="Times New Roman"/>
          <w:bCs/>
          <w:color w:val="auto"/>
        </w:rPr>
        <w:t xml:space="preserve"> </w:t>
      </w:r>
      <w:proofErr w:type="spellStart"/>
      <w:r w:rsidR="005304AF">
        <w:rPr>
          <w:rFonts w:ascii="Times New Roman" w:hAnsi="Times New Roman" w:cs="Times New Roman"/>
          <w:bCs/>
          <w:color w:val="auto"/>
        </w:rPr>
        <w:t>domeinoverstijgend</w:t>
      </w:r>
      <w:proofErr w:type="spellEnd"/>
      <w:r w:rsidR="005304AF">
        <w:rPr>
          <w:rFonts w:ascii="Times New Roman" w:hAnsi="Times New Roman" w:cs="Times New Roman"/>
          <w:bCs/>
          <w:color w:val="auto"/>
        </w:rPr>
        <w:t xml:space="preserve">, </w:t>
      </w:r>
      <w:r w:rsidRPr="00F6219D">
        <w:rPr>
          <w:rFonts w:ascii="Times New Roman" w:hAnsi="Times New Roman" w:cs="Times New Roman"/>
          <w:bCs/>
          <w:color w:val="auto"/>
        </w:rPr>
        <w:t xml:space="preserve">ongebonden </w:t>
      </w:r>
      <w:r w:rsidR="005D4D50">
        <w:rPr>
          <w:rFonts w:ascii="Times New Roman" w:hAnsi="Times New Roman" w:cs="Times New Roman"/>
          <w:bCs/>
          <w:color w:val="auto"/>
        </w:rPr>
        <w:t>als</w:t>
      </w:r>
      <w:r w:rsidRPr="00F6219D" w:rsidR="007F59A6">
        <w:rPr>
          <w:rFonts w:ascii="Times New Roman" w:hAnsi="Times New Roman" w:cs="Times New Roman"/>
          <w:bCs/>
          <w:color w:val="auto"/>
        </w:rPr>
        <w:t xml:space="preserve"> </w:t>
      </w:r>
      <w:r w:rsidRPr="00F6219D">
        <w:rPr>
          <w:rFonts w:ascii="Times New Roman" w:hAnsi="Times New Roman" w:cs="Times New Roman"/>
          <w:bCs/>
          <w:color w:val="auto"/>
        </w:rPr>
        <w:t xml:space="preserve">thematisch onderzoek zijn belangrijk voor wetenschappelijke, technologische en maatschappelijke doorbraken. </w:t>
      </w:r>
    </w:p>
    <w:p w:rsidRPr="00E268DE" w:rsidR="00E268DE" w:rsidP="00AB3031" w:rsidRDefault="00E268DE" w14:paraId="2C989549" w14:textId="77777777">
      <w:pPr>
        <w:pStyle w:val="Default"/>
        <w:spacing w:line="276" w:lineRule="auto"/>
        <w:rPr>
          <w:rFonts w:ascii="Times New Roman" w:hAnsi="Times New Roman" w:cs="Times New Roman"/>
          <w:bCs/>
          <w:color w:val="C45911" w:themeColor="accent2" w:themeShade="BF"/>
        </w:rPr>
      </w:pPr>
    </w:p>
    <w:p w:rsidRPr="00F6219D" w:rsidR="00F845B9" w:rsidP="00AB3031" w:rsidRDefault="00F845B9" w14:paraId="3F859298" w14:textId="6C4A1035">
      <w:pPr>
        <w:pStyle w:val="Default"/>
        <w:spacing w:line="276" w:lineRule="auto"/>
        <w:rPr>
          <w:rFonts w:ascii="Times New Roman" w:hAnsi="Times New Roman" w:cs="Times New Roman"/>
          <w:bCs/>
          <w:color w:val="auto"/>
        </w:rPr>
      </w:pPr>
      <w:r w:rsidRPr="005304AF">
        <w:rPr>
          <w:rFonts w:ascii="Times New Roman" w:hAnsi="Times New Roman" w:cs="Times New Roman"/>
          <w:bCs/>
          <w:i/>
          <w:iCs/>
          <w:color w:val="auto"/>
        </w:rPr>
        <w:t xml:space="preserve">De leden van de D66-fractie vragen </w:t>
      </w:r>
      <w:r w:rsidR="00FC6975">
        <w:rPr>
          <w:rFonts w:ascii="Times New Roman" w:hAnsi="Times New Roman" w:cs="Times New Roman"/>
          <w:bCs/>
          <w:i/>
          <w:iCs/>
          <w:color w:val="auto"/>
        </w:rPr>
        <w:t>mij of ik</w:t>
      </w:r>
      <w:r w:rsidRPr="005304AF">
        <w:rPr>
          <w:rFonts w:ascii="Times New Roman" w:hAnsi="Times New Roman" w:cs="Times New Roman"/>
          <w:bCs/>
          <w:i/>
          <w:iCs/>
          <w:color w:val="auto"/>
        </w:rPr>
        <w:t xml:space="preserve"> voornemens </w:t>
      </w:r>
      <w:r w:rsidR="00FC6975">
        <w:rPr>
          <w:rFonts w:ascii="Times New Roman" w:hAnsi="Times New Roman" w:cs="Times New Roman"/>
          <w:bCs/>
          <w:i/>
          <w:iCs/>
          <w:color w:val="auto"/>
        </w:rPr>
        <w:t>ben</w:t>
      </w:r>
      <w:r w:rsidRPr="005304AF">
        <w:rPr>
          <w:rFonts w:ascii="Times New Roman" w:hAnsi="Times New Roman" w:cs="Times New Roman"/>
          <w:bCs/>
          <w:i/>
          <w:iCs/>
          <w:color w:val="auto"/>
        </w:rPr>
        <w:t xml:space="preserve"> om de </w:t>
      </w:r>
      <w:proofErr w:type="spellStart"/>
      <w:r w:rsidRPr="005304AF">
        <w:rPr>
          <w:rFonts w:ascii="Times New Roman" w:hAnsi="Times New Roman" w:cs="Times New Roman"/>
          <w:bCs/>
          <w:i/>
          <w:iCs/>
          <w:color w:val="auto"/>
        </w:rPr>
        <w:t>onderzoeksbekostiging</w:t>
      </w:r>
      <w:proofErr w:type="spellEnd"/>
      <w:r w:rsidRPr="005304AF">
        <w:rPr>
          <w:rFonts w:ascii="Times New Roman" w:hAnsi="Times New Roman" w:cs="Times New Roman"/>
          <w:bCs/>
          <w:i/>
          <w:iCs/>
          <w:color w:val="auto"/>
        </w:rPr>
        <w:t xml:space="preserve"> van NWO de komende jaren vaker als dekking te gebruiken voor financiële problematiek.</w:t>
      </w:r>
      <w:r w:rsidRPr="00F6219D">
        <w:rPr>
          <w:rFonts w:ascii="Times New Roman" w:hAnsi="Times New Roman" w:cs="Times New Roman"/>
          <w:bCs/>
          <w:color w:val="auto"/>
        </w:rPr>
        <w:t xml:space="preserve"> Bij de uitwerking van de bezuinigingen uit het hoofdlijnenakkoord heb ik een integrale afweging gemaakt over alle onderdelen van het wetenschapsveld. Daarbij heb ik oog gehouden voor het evenwicht tussen de verschillende geldstromen. Zo heb ik ervoor gekozen om de subsidietaakstelling primair in te vullen op de bekostiging van NWO, aangezien andere bezuinigingen met name effect hadden op de bekostiging van universiteiten</w:t>
      </w:r>
      <w:r w:rsidR="00030AAA">
        <w:rPr>
          <w:rFonts w:ascii="Times New Roman" w:hAnsi="Times New Roman" w:cs="Times New Roman"/>
          <w:bCs/>
          <w:color w:val="auto"/>
        </w:rPr>
        <w:t xml:space="preserve"> en </w:t>
      </w:r>
      <w:proofErr w:type="spellStart"/>
      <w:r w:rsidR="00030AAA">
        <w:rPr>
          <w:rFonts w:ascii="Times New Roman" w:hAnsi="Times New Roman" w:cs="Times New Roman"/>
          <w:bCs/>
          <w:color w:val="auto"/>
        </w:rPr>
        <w:t>umc’s</w:t>
      </w:r>
      <w:proofErr w:type="spellEnd"/>
      <w:r w:rsidRPr="00F6219D">
        <w:rPr>
          <w:rFonts w:ascii="Times New Roman" w:hAnsi="Times New Roman" w:cs="Times New Roman"/>
          <w:bCs/>
          <w:color w:val="auto"/>
        </w:rPr>
        <w:t xml:space="preserve">. Door deze beslissing blijft de verhouding tussen de eerste en tweede geldstroom </w:t>
      </w:r>
      <w:r w:rsidR="005304AF">
        <w:rPr>
          <w:rFonts w:ascii="Times New Roman" w:hAnsi="Times New Roman" w:cs="Times New Roman"/>
          <w:bCs/>
          <w:color w:val="auto"/>
        </w:rPr>
        <w:t xml:space="preserve">min of meer </w:t>
      </w:r>
      <w:r w:rsidRPr="00F6219D">
        <w:rPr>
          <w:rFonts w:ascii="Times New Roman" w:hAnsi="Times New Roman" w:cs="Times New Roman"/>
          <w:bCs/>
          <w:color w:val="auto"/>
        </w:rPr>
        <w:t>hetzelfde als voorafgaand aan het hoofdlijnenakkoord. Bij eventuele financiële ontwikkel</w:t>
      </w:r>
      <w:r w:rsidR="005304AF">
        <w:rPr>
          <w:rFonts w:ascii="Times New Roman" w:hAnsi="Times New Roman" w:cs="Times New Roman"/>
          <w:bCs/>
          <w:color w:val="auto"/>
        </w:rPr>
        <w:t>i</w:t>
      </w:r>
      <w:r w:rsidRPr="00F6219D">
        <w:rPr>
          <w:rFonts w:ascii="Times New Roman" w:hAnsi="Times New Roman" w:cs="Times New Roman"/>
          <w:bCs/>
          <w:color w:val="auto"/>
        </w:rPr>
        <w:t>n</w:t>
      </w:r>
      <w:r w:rsidR="005304AF">
        <w:rPr>
          <w:rFonts w:ascii="Times New Roman" w:hAnsi="Times New Roman" w:cs="Times New Roman"/>
          <w:bCs/>
          <w:color w:val="auto"/>
        </w:rPr>
        <w:t>gen</w:t>
      </w:r>
      <w:r w:rsidRPr="00F6219D">
        <w:rPr>
          <w:rFonts w:ascii="Times New Roman" w:hAnsi="Times New Roman" w:cs="Times New Roman"/>
          <w:bCs/>
          <w:color w:val="auto"/>
        </w:rPr>
        <w:t xml:space="preserve"> in de toekomst zal ik een integrale afweging maken over de onderdelen van mijn begroting. Daarvan is de bekostiging van NWO een onderdeel. </w:t>
      </w:r>
    </w:p>
    <w:p w:rsidR="00AF5599" w:rsidP="00AF5599" w:rsidRDefault="00AF5599" w14:paraId="5D5DE424" w14:textId="70504945">
      <w:pPr>
        <w:pStyle w:val="Default"/>
        <w:spacing w:line="276" w:lineRule="auto"/>
        <w:rPr>
          <w:rFonts w:ascii="Times New Roman" w:hAnsi="Times New Roman" w:cs="Times New Roman"/>
          <w:bCs/>
          <w:i/>
          <w:iCs/>
        </w:rPr>
      </w:pPr>
    </w:p>
    <w:p w:rsidRPr="004831E3" w:rsidR="00D060C7" w:rsidP="00D060C7" w:rsidRDefault="00AF5599" w14:paraId="671EF897" w14:textId="2139CBD0">
      <w:pPr>
        <w:spacing w:line="276" w:lineRule="auto"/>
      </w:pPr>
      <w:r w:rsidRPr="004831E3">
        <w:rPr>
          <w:i/>
          <w:iCs/>
        </w:rPr>
        <w:t xml:space="preserve">De leden van de D66-fractie zijn van mening dat kleine en unieke opleidingen in Nederland gekoesterd moeten worden. Deze leden lezen in het nieuws dat bij de Universiteit Leiden en de Universiteit Utrecht talenstudies gaan verdwijnen, omdat deze </w:t>
      </w:r>
      <w:r w:rsidRPr="004831E3">
        <w:rPr>
          <w:i/>
          <w:iCs/>
          <w:rtl/>
        </w:rPr>
        <w:t>‘</w:t>
      </w:r>
      <w:r w:rsidRPr="004831E3">
        <w:rPr>
          <w:i/>
          <w:iCs/>
        </w:rPr>
        <w:t>onrendabel</w:t>
      </w:r>
      <w:r w:rsidRPr="004831E3" w:rsidR="00207892">
        <w:rPr>
          <w:i/>
          <w:iCs/>
        </w:rPr>
        <w:t>’</w:t>
      </w:r>
      <w:r w:rsidRPr="004831E3">
        <w:rPr>
          <w:i/>
          <w:iCs/>
          <w:rtl/>
        </w:rPr>
        <w:t xml:space="preserve"> </w:t>
      </w:r>
      <w:r w:rsidRPr="004831E3">
        <w:rPr>
          <w:i/>
          <w:iCs/>
        </w:rPr>
        <w:t>zouden zijn en vragen wat</w:t>
      </w:r>
      <w:r w:rsidRPr="004831E3" w:rsidR="003C272C">
        <w:rPr>
          <w:i/>
          <w:iCs/>
        </w:rPr>
        <w:t xml:space="preserve"> </w:t>
      </w:r>
      <w:r w:rsidRPr="004831E3" w:rsidR="00FC6975">
        <w:rPr>
          <w:i/>
          <w:iCs/>
        </w:rPr>
        <w:t>ik</w:t>
      </w:r>
      <w:r w:rsidRPr="004831E3">
        <w:rPr>
          <w:i/>
          <w:iCs/>
        </w:rPr>
        <w:t xml:space="preserve"> vind van deze ontwikkeling</w:t>
      </w:r>
      <w:r w:rsidRPr="004831E3">
        <w:t xml:space="preserve">. </w:t>
      </w:r>
      <w:r w:rsidRPr="008F2127" w:rsidR="006F1105">
        <w:t>Ik begrijp de zorgen die er zijn naar aanleiding van de berichten over de talen- en cultuuropleidingen. Deze opleidingen kennen reeds decennialang lang een daling van de instroom. Ondanks de vele inspanningen van de sector lukt het niet om dit tij te keren. De kans dat studenten in groten getale weer gaan kiezen voor een klassieke bachelor in het talen- en cultuurdomein, is gering. Uit cijfers blijkt dat jongeren steeds vaker kiezen voor brede opleidingen, eventueel met een taalcomponent. De universiteiten hebben daarom in het sectorplan Talen &amp; Culturen gekozen voor een vernieuwde aanpak. Met dit sectorplan wordt ingezet op vernieuwing van het onderwijs, de borging van de expertise en het aantrekken van meer studenten. Het is een bewuste keuze geweest van mij om de sectorplannen te continueren en ik steun dan ook de aanpak van de universiteiten om gezamenlijk te komen tot keuzes, waaronder ook het sectorplan Talen &amp; Culturen. Daarnaast is recent het amendement van de heer Stoffer (SGP)</w:t>
      </w:r>
      <w:r w:rsidRPr="008F2127" w:rsidR="006F1105">
        <w:rPr>
          <w:rStyle w:val="Voetnootmarkering"/>
        </w:rPr>
        <w:footnoteReference w:id="6"/>
      </w:r>
      <w:r w:rsidRPr="008F2127" w:rsidR="006F1105">
        <w:t xml:space="preserve"> aangenomen. In dat kader </w:t>
      </w:r>
      <w:r w:rsidRPr="008F2127" w:rsidR="006F1105">
        <w:rPr>
          <w:szCs w:val="18"/>
        </w:rPr>
        <w:t xml:space="preserve">zal ik het landelijke Disciplineoverleg Letteren en Geesteswetenschappen (DLG) in samenwerking met de Universiteiten van Nederland (UNL) verzoeken te bezien hoe </w:t>
      </w:r>
      <w:r w:rsidRPr="008F2127" w:rsidR="006F1105">
        <w:t>binnen het plan van aanpak Talen &amp; Culturen een actieplan een actieplan opgesteld kan worden dat specifiek de toekomst van deze studies in Nederland verzekert en de positie ervan versterkt.</w:t>
      </w:r>
      <w:r w:rsidRPr="008F2127" w:rsidR="006F1105">
        <w:rPr>
          <w:color w:val="FF0000"/>
        </w:rPr>
        <w:t xml:space="preserve"> </w:t>
      </w:r>
      <w:r w:rsidRPr="008F2127" w:rsidR="006F1105">
        <w:t>Voor een verdere toelichting op de kleine talenopleidingen verwijs ik u door naar mijn recente Kamerbrief.</w:t>
      </w:r>
      <w:r w:rsidRPr="004831E3" w:rsidR="00D060C7">
        <w:rPr>
          <w:rStyle w:val="Voetnootmarkering"/>
        </w:rPr>
        <w:footnoteReference w:id="7"/>
      </w:r>
    </w:p>
    <w:p w:rsidRPr="004831E3" w:rsidR="00AF5599" w:rsidP="00D060C7" w:rsidRDefault="00AF5599" w14:paraId="3C84FE66" w14:textId="2A33A9A0">
      <w:pPr>
        <w:pStyle w:val="Standard"/>
        <w:spacing w:before="0" w:line="276" w:lineRule="auto"/>
        <w:rPr>
          <w:rFonts w:ascii="Times New Roman" w:hAnsi="Times New Roman" w:cs="Times New Roman"/>
          <w:color w:val="auto"/>
        </w:rPr>
      </w:pPr>
    </w:p>
    <w:p w:rsidRPr="004831E3" w:rsidR="00AF5599" w:rsidP="00EC0DA4" w:rsidRDefault="00AF5599" w14:paraId="73428953" w14:textId="39B478AB">
      <w:pPr>
        <w:pStyle w:val="standard0"/>
        <w:spacing w:before="0" w:line="276" w:lineRule="auto"/>
        <w:rPr>
          <w:rFonts w:ascii="Times New Roman" w:hAnsi="Times New Roman" w:cs="Times New Roman"/>
          <w:color w:val="auto"/>
        </w:rPr>
      </w:pPr>
      <w:r w:rsidRPr="004831E3">
        <w:rPr>
          <w:rFonts w:ascii="Times New Roman" w:hAnsi="Times New Roman" w:cs="Times New Roman"/>
          <w:i/>
          <w:iCs/>
          <w:color w:val="auto"/>
        </w:rPr>
        <w:t>De leden van de D66 fractie vragen naar wat de effecten zijn voor ongebonden onderzoek in deze sectoren.</w:t>
      </w:r>
      <w:r w:rsidRPr="004831E3">
        <w:rPr>
          <w:rFonts w:ascii="Times New Roman" w:hAnsi="Times New Roman" w:cs="Times New Roman"/>
          <w:color w:val="auto"/>
        </w:rPr>
        <w:t xml:space="preserve"> Het DLG heeft aan mij aangegeven dat het onderzoek in deze sectoren niet is georganiseerd langs de lijnen van opleidingen, maar is georganiseerd middels facultaire </w:t>
      </w:r>
      <w:r w:rsidRPr="004831E3">
        <w:rPr>
          <w:rFonts w:ascii="Times New Roman" w:hAnsi="Times New Roman" w:cs="Times New Roman"/>
          <w:color w:val="auto"/>
        </w:rPr>
        <w:lastRenderedPageBreak/>
        <w:t xml:space="preserve">instituten op het gebied van bijvoorbeeld taalkunde en culturele wetenschappen. De huidige plannen hebben daarmee volgens het DLG geen directe gevolgen voor deze instituten en </w:t>
      </w:r>
      <w:r w:rsidRPr="004831E3" w:rsidR="00986051">
        <w:rPr>
          <w:rFonts w:ascii="Times New Roman" w:hAnsi="Times New Roman" w:cs="Times New Roman"/>
          <w:color w:val="auto"/>
        </w:rPr>
        <w:t xml:space="preserve">het ongebonden onderzoek daarbinnen. </w:t>
      </w:r>
      <w:r w:rsidRPr="004831E3">
        <w:rPr>
          <w:rFonts w:ascii="Times New Roman" w:hAnsi="Times New Roman" w:cs="Times New Roman"/>
          <w:color w:val="auto"/>
        </w:rPr>
        <w:t xml:space="preserve">Ik vind het goed dat er in het sectorplan Talen &amp; Culturen aandacht is besteed aan de ontwikkeling van de expertise in deze gebieden en verwacht dat dit bijdraagt aan het behoud van deze expertise, ook richting de toekomst. </w:t>
      </w:r>
    </w:p>
    <w:p w:rsidRPr="004831E3" w:rsidR="00AF5599" w:rsidP="00EC0DA4" w:rsidRDefault="00AF5599" w14:paraId="5A9B17FB" w14:textId="77777777">
      <w:pPr>
        <w:pStyle w:val="Standard"/>
        <w:spacing w:before="0" w:line="276" w:lineRule="auto"/>
        <w:rPr>
          <w:rFonts w:ascii="Times New Roman" w:hAnsi="Times New Roman" w:cs="Times New Roman"/>
          <w:color w:val="auto"/>
        </w:rPr>
      </w:pPr>
    </w:p>
    <w:p w:rsidRPr="006F1105" w:rsidR="006F1105" w:rsidP="006F1105" w:rsidRDefault="00AF5599" w14:paraId="2B7C07A5" w14:textId="45025724">
      <w:pPr>
        <w:pStyle w:val="Standard"/>
        <w:spacing w:before="0" w:line="276" w:lineRule="auto"/>
        <w:rPr>
          <w:rFonts w:ascii="Times New Roman" w:hAnsi="Times New Roman" w:cs="Times New Roman"/>
          <w:color w:val="auto"/>
          <w14:textOutline w14:w="0" w14:cap="rnd" w14:cmpd="sng" w14:algn="ctr">
            <w14:noFill/>
            <w14:prstDash w14:val="solid"/>
            <w14:bevel/>
          </w14:textOutline>
        </w:rPr>
      </w:pPr>
      <w:r w:rsidRPr="004831E3">
        <w:rPr>
          <w:rFonts w:ascii="Times New Roman" w:hAnsi="Times New Roman" w:cs="Times New Roman"/>
          <w:i/>
          <w:iCs/>
          <w:color w:val="auto"/>
        </w:rPr>
        <w:t>De leden van D66 vragen of</w:t>
      </w:r>
      <w:r w:rsidRPr="004831E3" w:rsidR="00FC6975">
        <w:rPr>
          <w:rFonts w:ascii="Times New Roman" w:hAnsi="Times New Roman" w:cs="Times New Roman"/>
          <w:i/>
          <w:iCs/>
          <w:color w:val="auto"/>
        </w:rPr>
        <w:t xml:space="preserve"> ik</w:t>
      </w:r>
      <w:r w:rsidRPr="004831E3" w:rsidR="003C272C">
        <w:rPr>
          <w:rFonts w:ascii="Times New Roman" w:hAnsi="Times New Roman" w:cs="Times New Roman"/>
          <w:i/>
          <w:iCs/>
          <w:color w:val="auto"/>
        </w:rPr>
        <w:t xml:space="preserve"> </w:t>
      </w:r>
      <w:r w:rsidRPr="004831E3">
        <w:rPr>
          <w:rFonts w:ascii="Times New Roman" w:hAnsi="Times New Roman" w:cs="Times New Roman"/>
          <w:i/>
          <w:iCs/>
          <w:color w:val="auto"/>
        </w:rPr>
        <w:t>de</w:t>
      </w:r>
      <w:r w:rsidRPr="004831E3">
        <w:rPr>
          <w:rFonts w:ascii="Times New Roman" w:hAnsi="Times New Roman" w:cs="Times New Roman"/>
          <w:i/>
          <w:iCs/>
        </w:rPr>
        <w:t xml:space="preserve"> studies Keltisch, Frans, Duits, Cultuurgeschiedenis, Perzisch of Arabisch beoordeel </w:t>
      </w:r>
      <w:proofErr w:type="gramStart"/>
      <w:r w:rsidRPr="004831E3">
        <w:rPr>
          <w:rFonts w:ascii="Times New Roman" w:hAnsi="Times New Roman" w:cs="Times New Roman"/>
          <w:i/>
          <w:iCs/>
        </w:rPr>
        <w:t>als</w:t>
      </w:r>
      <w:r w:rsidRPr="004831E3">
        <w:rPr>
          <w:rFonts w:ascii="Times New Roman" w:hAnsi="Times New Roman" w:cs="Times New Roman"/>
          <w:i/>
          <w:iCs/>
          <w:rtl/>
        </w:rPr>
        <w:t>‘</w:t>
      </w:r>
      <w:proofErr w:type="gramEnd"/>
      <w:r w:rsidRPr="004831E3">
        <w:rPr>
          <w:rFonts w:ascii="Times New Roman" w:hAnsi="Times New Roman" w:cs="Times New Roman"/>
          <w:i/>
          <w:iCs/>
        </w:rPr>
        <w:t>onrendabel</w:t>
      </w:r>
      <w:r w:rsidRPr="004831E3">
        <w:rPr>
          <w:rFonts w:ascii="Times New Roman" w:hAnsi="Times New Roman" w:cs="Times New Roman"/>
          <w:i/>
          <w:iCs/>
          <w:rtl/>
        </w:rPr>
        <w:t>’</w:t>
      </w:r>
      <w:r w:rsidRPr="004831E3">
        <w:rPr>
          <w:rFonts w:ascii="Times New Roman" w:hAnsi="Times New Roman" w:cs="Times New Roman"/>
          <w:i/>
          <w:iCs/>
        </w:rPr>
        <w:t>. Daarnaast vragen ze wat</w:t>
      </w:r>
      <w:r w:rsidRPr="004831E3" w:rsidR="003C272C">
        <w:rPr>
          <w:rFonts w:ascii="Times New Roman" w:hAnsi="Times New Roman" w:cs="Times New Roman"/>
          <w:i/>
          <w:iCs/>
        </w:rPr>
        <w:t xml:space="preserve"> </w:t>
      </w:r>
      <w:r w:rsidRPr="004831E3" w:rsidR="00FC6975">
        <w:rPr>
          <w:rFonts w:ascii="Times New Roman" w:hAnsi="Times New Roman" w:cs="Times New Roman"/>
          <w:i/>
          <w:iCs/>
        </w:rPr>
        <w:t>ik ga</w:t>
      </w:r>
      <w:r w:rsidRPr="004831E3">
        <w:rPr>
          <w:rFonts w:ascii="Times New Roman" w:hAnsi="Times New Roman" w:cs="Times New Roman"/>
          <w:i/>
          <w:iCs/>
        </w:rPr>
        <w:t xml:space="preserve"> doen om klein en uniek onderzoek en onderwijs in Nederland te koesteren</w:t>
      </w:r>
      <w:r w:rsidRPr="006F1105" w:rsidR="006F1105">
        <w:rPr>
          <w:rFonts w:ascii="Times New Roman" w:hAnsi="Times New Roman" w:cs="Times New Roman"/>
          <w:color w:val="auto"/>
          <w14:textOutline w14:w="0" w14:cap="rnd" w14:cmpd="sng" w14:algn="ctr">
            <w14:noFill/>
            <w14:prstDash w14:val="solid"/>
            <w14:bevel/>
          </w14:textOutline>
        </w:rPr>
        <w:t xml:space="preserve">. </w:t>
      </w:r>
      <w:r w:rsidR="00997306">
        <w:rPr>
          <w:rFonts w:ascii="Times New Roman" w:hAnsi="Times New Roman" w:cs="Times New Roman"/>
          <w:color w:val="auto"/>
          <w14:textOutline w14:w="0" w14:cap="rnd" w14:cmpd="sng" w14:algn="ctr">
            <w14:noFill/>
            <w14:prstDash w14:val="solid"/>
            <w14:bevel/>
          </w14:textOutline>
        </w:rPr>
        <w:t>Ik erken</w:t>
      </w:r>
      <w:r w:rsidRPr="006F1105" w:rsidR="006F1105">
        <w:rPr>
          <w:rFonts w:ascii="Times New Roman" w:hAnsi="Times New Roman" w:cs="Times New Roman"/>
          <w:color w:val="auto"/>
          <w14:textOutline w14:w="0" w14:cap="rnd" w14:cmpd="sng" w14:algn="ctr">
            <w14:noFill/>
            <w14:prstDash w14:val="solid"/>
            <w14:bevel/>
          </w14:textOutline>
        </w:rPr>
        <w:t xml:space="preserve"> het belang van kennis van andere talen en culturen zowel voor de wetenschap als de maatschappij. </w:t>
      </w:r>
      <w:r w:rsidR="00997306">
        <w:rPr>
          <w:rFonts w:ascii="Times New Roman" w:hAnsi="Times New Roman" w:cs="Times New Roman"/>
          <w:color w:val="auto"/>
          <w14:textOutline w14:w="0" w14:cap="rnd" w14:cmpd="sng" w14:algn="ctr">
            <w14:noFill/>
            <w14:prstDash w14:val="solid"/>
            <w14:bevel/>
          </w14:textOutline>
        </w:rPr>
        <w:t>Het past niet bij wetenschap om te denken in termen van rendabel en onrendabel. Wel is</w:t>
      </w:r>
      <w:r w:rsidRPr="006F1105" w:rsidR="006F1105">
        <w:rPr>
          <w:rFonts w:ascii="Times New Roman" w:hAnsi="Times New Roman" w:cs="Times New Roman"/>
          <w:color w:val="auto"/>
          <w14:textOutline w14:w="0" w14:cap="rnd" w14:cmpd="sng" w14:algn="ctr">
            <w14:noFill/>
            <w14:prstDash w14:val="solid"/>
            <w14:bevel/>
          </w14:textOutline>
        </w:rPr>
        <w:t xml:space="preserve"> normaal dat het onderwijsaanbod in beweging is. De wereld is immers in verandering, evenals de vakgebieden en de voorkeuren van studenten. Het is belangrijk dat het onderwijs daarop responsief inspeelt.</w:t>
      </w:r>
      <w:r w:rsidR="00E66C7D">
        <w:rPr>
          <w:rFonts w:ascii="Times New Roman" w:hAnsi="Times New Roman" w:cs="Times New Roman"/>
          <w:color w:val="auto"/>
          <w14:textOutline w14:w="0" w14:cap="rnd" w14:cmpd="sng" w14:algn="ctr">
            <w14:noFill/>
            <w14:prstDash w14:val="solid"/>
            <w14:bevel/>
          </w14:textOutline>
        </w:rPr>
        <w:t xml:space="preserve"> De laatste jaren zien we dat jonge mensen steeds meer voor brede opleidingen kiezen.</w:t>
      </w:r>
      <w:r w:rsidRPr="006F1105" w:rsidR="006F1105">
        <w:rPr>
          <w:rFonts w:ascii="Times New Roman" w:hAnsi="Times New Roman" w:cs="Times New Roman"/>
          <w:color w:val="auto"/>
          <w14:textOutline w14:w="0" w14:cap="rnd" w14:cmpd="sng" w14:algn="ctr">
            <w14:noFill/>
            <w14:prstDash w14:val="solid"/>
            <w14:bevel/>
          </w14:textOutline>
        </w:rPr>
        <w:t xml:space="preserve"> Als de studentenaantallen van een opleiding in de ogen van een instelling te klein worden, dan is het aan de instellingen samen om te bezien hoe het onderwijs behouden kan blijven. Dit kan in allerlei vormen, bijvoorbeeld door middel van het samenvoegen van kleine opleidingen, verbreding van opleidingen, interdisciplinair onderwijs of het gezamenlijk verzorgen van onderwijs. In uiterste gevallen verdwijnt de expertise in Nederland. Overigens betekent het stopzetten van een zelfstandige bacheloropleiding niet dat de bijbehorende expertise niet wordt ge</w:t>
      </w:r>
      <w:r w:rsidR="00E66C7D">
        <w:rPr>
          <w:rFonts w:ascii="Times New Roman" w:hAnsi="Times New Roman" w:cs="Times New Roman"/>
          <w:color w:val="auto"/>
          <w14:textOutline w14:w="0" w14:cap="rnd" w14:cmpd="sng" w14:algn="ctr">
            <w14:noFill/>
            <w14:prstDash w14:val="solid"/>
            <w14:bevel/>
          </w14:textOutline>
        </w:rPr>
        <w:t>waardeerd</w:t>
      </w:r>
      <w:r w:rsidRPr="006F1105" w:rsidR="006F1105">
        <w:rPr>
          <w:rFonts w:ascii="Times New Roman" w:hAnsi="Times New Roman" w:cs="Times New Roman"/>
          <w:color w:val="auto"/>
          <w14:textOutline w14:w="0" w14:cap="rnd" w14:cmpd="sng" w14:algn="ctr">
            <w14:noFill/>
            <w14:prstDash w14:val="solid"/>
            <w14:bevel/>
          </w14:textOutline>
        </w:rPr>
        <w:t xml:space="preserve">. Veel studies zijn in grotere facultaire onderzoeksinstituten georganiseerd en de kennis vindt een plek in deze bredere kennisstructuur (bijvoorbeeld via instituten op het gebied van taalkunde en culturele wetenschappen). </w:t>
      </w:r>
    </w:p>
    <w:p w:rsidRPr="006F1105" w:rsidR="006F1105" w:rsidP="006F1105" w:rsidRDefault="006F1105" w14:paraId="75952559" w14:textId="6099236F">
      <w:pPr>
        <w:pStyle w:val="Standard"/>
        <w:rPr>
          <w:rFonts w:ascii="Times New Roman" w:hAnsi="Times New Roman" w:cs="Times New Roman"/>
          <w:color w:val="auto"/>
          <w14:textOutline w14:w="0" w14:cap="rnd" w14:cmpd="sng" w14:algn="ctr">
            <w14:noFill/>
            <w14:prstDash w14:val="solid"/>
            <w14:bevel/>
          </w14:textOutline>
        </w:rPr>
      </w:pPr>
      <w:r w:rsidRPr="006F1105">
        <w:rPr>
          <w:rFonts w:ascii="Times New Roman" w:hAnsi="Times New Roman" w:cs="Times New Roman"/>
          <w:color w:val="auto"/>
          <w14:textOutline w14:w="0" w14:cap="rnd" w14:cmpd="sng" w14:algn="ctr">
            <w14:noFill/>
            <w14:prstDash w14:val="solid"/>
            <w14:bevel/>
          </w14:textOutline>
        </w:rPr>
        <w:t>Ik ben als minister van OCW stelselverantwoordelijk voor een macrodoelmatig opleidingsaanbod. Dat wil zeggen dat het opleidingsaanbod, met een efficiënte inzet van middelen, zo goed mogelijk inspeelt op de behoeften van de arbeidsmarkt, maatschappij en wetenschap. Binnen dat kader behoort het initiatief tot het opstarten of beëindigen van individuele opleidingen aan de instellingen toe. Voorts is het aan de instellingen om de behoefte van de arbeidsmarkt, maatschappij en wetenschap blijvend te vertalen naar een passend onderwijsaanbod en dat ook te onderhouden. Ik verwacht van hen dat zij hier</w:t>
      </w:r>
      <w:r w:rsidRPr="006F1105" w:rsidR="00591026">
        <w:rPr>
          <w:rFonts w:ascii="Times New Roman" w:hAnsi="Times New Roman" w:cs="Times New Roman"/>
          <w:color w:val="auto"/>
          <w14:textOutline w14:w="0" w14:cap="rnd" w14:cmpd="sng" w14:algn="ctr">
            <w14:noFill/>
            <w14:prstDash w14:val="solid"/>
            <w14:bevel/>
          </w14:textOutline>
        </w:rPr>
        <w:t xml:space="preserve">op </w:t>
      </w:r>
      <w:r w:rsidRPr="006F1105">
        <w:rPr>
          <w:rFonts w:ascii="Times New Roman" w:hAnsi="Times New Roman" w:cs="Times New Roman"/>
          <w:color w:val="auto"/>
          <w14:textOutline w14:w="0" w14:cap="rnd" w14:cmpd="sng" w14:algn="ctr">
            <w14:noFill/>
            <w14:prstDash w14:val="solid"/>
            <w14:bevel/>
          </w14:textOutline>
        </w:rPr>
        <w:t>gezamenlijk en regulier reflecteren, in dialoog met maatschappelijke partners. De stelselverantwoordelijkheid van de minister van OCW heeft zich de afgelopen decennia vooral gericht op het toetsen van de doelmatigheid bij nieuwe opleidingen in het bekostigde stelsel.</w:t>
      </w:r>
    </w:p>
    <w:p w:rsidR="006F1105" w:rsidP="006F1105" w:rsidRDefault="006F1105" w14:paraId="69DA62CC" w14:textId="05D5E443">
      <w:pPr>
        <w:pStyle w:val="Standard"/>
        <w:rPr>
          <w:rFonts w:ascii="Times New Roman" w:hAnsi="Times New Roman" w:cs="Times New Roman"/>
          <w:color w:val="auto"/>
          <w14:textOutline w14:w="0" w14:cap="rnd" w14:cmpd="sng" w14:algn="ctr">
            <w14:noFill/>
            <w14:prstDash w14:val="solid"/>
            <w14:bevel/>
          </w14:textOutline>
        </w:rPr>
      </w:pPr>
      <w:r w:rsidRPr="006F1105">
        <w:rPr>
          <w:rFonts w:ascii="Times New Roman" w:hAnsi="Times New Roman" w:cs="Times New Roman"/>
          <w:color w:val="auto"/>
          <w14:textOutline w14:w="0" w14:cap="rnd" w14:cmpd="sng" w14:algn="ctr">
            <w14:noFill/>
            <w14:prstDash w14:val="solid"/>
            <w14:bevel/>
          </w14:textOutline>
        </w:rPr>
        <w:t>Het behoort niet tot mijn stelselverantwoordelijkheid om zelf te oordelen over de ren</w:t>
      </w:r>
      <w:r w:rsidR="00E66C7D">
        <w:rPr>
          <w:rFonts w:ascii="Times New Roman" w:hAnsi="Times New Roman" w:cs="Times New Roman"/>
          <w:color w:val="auto"/>
          <w14:textOutline w14:w="0" w14:cap="rnd" w14:cmpd="sng" w14:algn="ctr">
            <w14:noFill/>
            <w14:prstDash w14:val="solid"/>
            <w14:bevel/>
          </w14:textOutline>
        </w:rPr>
        <w:t>d</w:t>
      </w:r>
      <w:r w:rsidRPr="006F1105">
        <w:rPr>
          <w:rFonts w:ascii="Times New Roman" w:hAnsi="Times New Roman" w:cs="Times New Roman"/>
          <w:color w:val="auto"/>
          <w14:textOutline w14:w="0" w14:cap="rnd" w14:cmpd="sng" w14:algn="ctr">
            <w14:noFill/>
            <w14:prstDash w14:val="solid"/>
            <w14:bevel/>
          </w14:textOutline>
        </w:rPr>
        <w:t>abiliteit van individuele opleidingen. Dat is aan de instellingen zelf.</w:t>
      </w:r>
      <w:r w:rsidRPr="006F1105" w:rsidDel="004F68F5">
        <w:rPr>
          <w:rFonts w:ascii="Times New Roman" w:hAnsi="Times New Roman" w:cs="Times New Roman"/>
          <w:color w:val="auto"/>
          <w14:textOutline w14:w="0" w14:cap="rnd" w14:cmpd="sng" w14:algn="ctr">
            <w14:noFill/>
            <w14:prstDash w14:val="solid"/>
            <w14:bevel/>
          </w14:textOutline>
        </w:rPr>
        <w:t xml:space="preserve"> Universiteiten en hogescholen ontvangen een lumpsumbedrag vanuit het ministerie van OCW waarmee zij hun onderwijs en onderzoek financieren. Hoe de onderwijsinstellingen het onderwijs en onderzoek op hun instelling precies vormgeven, valt onder de autonomie van de instellingen.</w:t>
      </w:r>
      <w:r w:rsidRPr="006F1105">
        <w:rPr>
          <w:rFonts w:ascii="Times New Roman" w:hAnsi="Times New Roman" w:cs="Times New Roman"/>
          <w:color w:val="auto"/>
          <w14:textOutline w14:w="0" w14:cap="rnd" w14:cmpd="sng" w14:algn="ctr">
            <w14:noFill/>
            <w14:prstDash w14:val="solid"/>
            <w14:bevel/>
          </w14:textOutline>
        </w:rPr>
        <w:t xml:space="preserve"> De lumpsum biedt dan ook ruimte om kleine (voor de instelling mogelijk onrendabele) opleidingen te </w:t>
      </w:r>
      <w:r w:rsidRPr="006F1105">
        <w:rPr>
          <w:rFonts w:ascii="Times New Roman" w:hAnsi="Times New Roman" w:cs="Times New Roman"/>
          <w:color w:val="auto"/>
          <w14:textOutline w14:w="0" w14:cap="rnd" w14:cmpd="sng" w14:algn="ctr">
            <w14:noFill/>
            <w14:prstDash w14:val="solid"/>
            <w14:bevel/>
          </w14:textOutline>
        </w:rPr>
        <w:lastRenderedPageBreak/>
        <w:t>financieren met de middelen die de instelling ontvangt voor opleidingen met een grote instroom.</w:t>
      </w:r>
    </w:p>
    <w:p w:rsidRPr="006F1105" w:rsidR="00804A1A" w:rsidP="006F1105" w:rsidRDefault="006F1105" w14:paraId="2A8AF9B5" w14:textId="14ED5375">
      <w:pPr>
        <w:pStyle w:val="Standard"/>
        <w:rPr>
          <w:rFonts w:ascii="Times New Roman" w:hAnsi="Times New Roman" w:cs="Times New Roman"/>
          <w:color w:val="auto"/>
          <w14:textOutline w14:w="0" w14:cap="rnd" w14:cmpd="sng" w14:algn="ctr">
            <w14:noFill/>
            <w14:prstDash w14:val="solid"/>
            <w14:bevel/>
          </w14:textOutline>
        </w:rPr>
      </w:pPr>
      <w:r w:rsidRPr="006F1105">
        <w:rPr>
          <w:rFonts w:ascii="Times New Roman" w:hAnsi="Times New Roman" w:cs="Times New Roman"/>
          <w:color w:val="auto"/>
          <w14:textOutline w14:w="0" w14:cap="rnd" w14:cmpd="sng" w14:algn="ctr">
            <w14:noFill/>
            <w14:prstDash w14:val="solid"/>
            <w14:bevel/>
          </w14:textOutline>
        </w:rPr>
        <w:t xml:space="preserve">Met de daling van het aantal studenten bij bepaalde opleidingen en het besluit van instellingen opleidingen te stoppen of anders in te richten wordt het vraagstuk hoe ik als minister van </w:t>
      </w:r>
      <w:proofErr w:type="gramStart"/>
      <w:r w:rsidRPr="006F1105">
        <w:rPr>
          <w:rFonts w:ascii="Times New Roman" w:hAnsi="Times New Roman" w:cs="Times New Roman"/>
          <w:color w:val="auto"/>
          <w14:textOutline w14:w="0" w14:cap="rnd" w14:cmpd="sng" w14:algn="ctr">
            <w14:noFill/>
            <w14:prstDash w14:val="solid"/>
            <w14:bevel/>
          </w14:textOutline>
        </w:rPr>
        <w:t>OCW invulling</w:t>
      </w:r>
      <w:proofErr w:type="gramEnd"/>
      <w:r w:rsidRPr="006F1105">
        <w:rPr>
          <w:rFonts w:ascii="Times New Roman" w:hAnsi="Times New Roman" w:cs="Times New Roman"/>
          <w:color w:val="auto"/>
          <w14:textOutline w14:w="0" w14:cap="rnd" w14:cmpd="sng" w14:algn="ctr">
            <w14:noFill/>
            <w14:prstDash w14:val="solid"/>
            <w14:bevel/>
          </w14:textOutline>
        </w:rPr>
        <w:t xml:space="preserve"> wil geven aan een andere, tot nu toe minder belichte zijde van de stelselverantwoordelijkheid urgenter. Namelijk het in stand houden van een minimaal dekkend landelijk aanbod. In navolging van de recent aangenomen motie van mevrouw Martens-America</w:t>
      </w:r>
      <w:r w:rsidRPr="006F1105">
        <w:rPr>
          <w:rFonts w:ascii="Times New Roman" w:hAnsi="Times New Roman" w:cs="Times New Roman"/>
          <w:color w:val="auto"/>
          <w:vertAlign w:val="superscript"/>
          <w14:textOutline w14:w="0" w14:cap="rnd" w14:cmpd="sng" w14:algn="ctr">
            <w14:noFill/>
            <w14:prstDash w14:val="solid"/>
            <w14:bevel/>
          </w14:textOutline>
        </w:rPr>
        <w:footnoteReference w:id="8"/>
      </w:r>
      <w:r w:rsidRPr="006F1105">
        <w:rPr>
          <w:rFonts w:ascii="Times New Roman" w:hAnsi="Times New Roman" w:cs="Times New Roman"/>
          <w:color w:val="auto"/>
          <w14:textOutline w14:w="0" w14:cap="rnd" w14:cmpd="sng" w14:algn="ctr">
            <w14:noFill/>
            <w14:prstDash w14:val="solid"/>
            <w14:bevel/>
          </w14:textOutline>
        </w:rPr>
        <w:t xml:space="preserve"> (VVD) wil ik met de onderwijsinstellingen verkennen hoe het landelijke aanbod van opleidingen kan worden gewaarborgd en te voorkomen dat er opleidingen zonder gezamenlijk overleg uit Nederland verdwijnen.</w:t>
      </w:r>
      <w:bookmarkEnd w:id="0"/>
    </w:p>
    <w:sectPr w:rsidRPr="006F1105" w:rsidR="00804A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5F03" w14:textId="77777777" w:rsidR="00CA2B71" w:rsidRDefault="00CA2B71" w:rsidP="001A0B98">
      <w:r>
        <w:separator/>
      </w:r>
    </w:p>
  </w:endnote>
  <w:endnote w:type="continuationSeparator" w:id="0">
    <w:p w14:paraId="1262BDAD" w14:textId="77777777" w:rsidR="00CA2B71" w:rsidRDefault="00CA2B71"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37 Bolton Bold">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 w:name="MDGMO O+ Univers">
    <w:altName w:val="Arial"/>
    <w:panose1 w:val="00000000000000000000"/>
    <w:charset w:val="00"/>
    <w:family w:val="swiss"/>
    <w:notTrueType/>
    <w:pitch w:val="default"/>
    <w:sig w:usb0="00000003" w:usb1="00000000" w:usb2="00000000" w:usb3="00000000" w:csb0="00000001" w:csb1="00000000"/>
  </w:font>
  <w:font w:name="KIELG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820E" w14:textId="77777777" w:rsidR="00CA2B71" w:rsidRDefault="00CA2B71" w:rsidP="001A0B98">
      <w:r>
        <w:separator/>
      </w:r>
    </w:p>
  </w:footnote>
  <w:footnote w:type="continuationSeparator" w:id="0">
    <w:p w14:paraId="1DA6D67C" w14:textId="77777777" w:rsidR="00CA2B71" w:rsidRDefault="00CA2B71" w:rsidP="001A0B98">
      <w:r>
        <w:continuationSeparator/>
      </w:r>
    </w:p>
  </w:footnote>
  <w:footnote w:id="1">
    <w:p w14:paraId="509BC507" w14:textId="77777777" w:rsidR="00D952DB" w:rsidRPr="006F1105" w:rsidRDefault="00D952DB" w:rsidP="00D952DB">
      <w:pPr>
        <w:pStyle w:val="Voetnoottekst"/>
        <w:rPr>
          <w:sz w:val="16"/>
          <w:szCs w:val="16"/>
        </w:rPr>
      </w:pPr>
      <w:r w:rsidRPr="006F1105">
        <w:rPr>
          <w:rStyle w:val="Voetnootmarkering"/>
          <w:sz w:val="16"/>
          <w:szCs w:val="16"/>
        </w:rPr>
        <w:footnoteRef/>
      </w:r>
      <w:r w:rsidRPr="006F1105">
        <w:rPr>
          <w:sz w:val="16"/>
          <w:szCs w:val="16"/>
        </w:rPr>
        <w:t xml:space="preserve"> NWO: Nederlandse Organisatie voor Wetenschappelijk Onderzoek</w:t>
      </w:r>
    </w:p>
  </w:footnote>
  <w:footnote w:id="2">
    <w:p w14:paraId="02E28EB0" w14:textId="77777777" w:rsidR="00D952DB" w:rsidRPr="006F1105" w:rsidRDefault="00D952DB" w:rsidP="00D952DB">
      <w:pPr>
        <w:pStyle w:val="Voetnoottekst"/>
        <w:rPr>
          <w:sz w:val="16"/>
          <w:szCs w:val="16"/>
        </w:rPr>
      </w:pPr>
      <w:r w:rsidRPr="006F1105">
        <w:rPr>
          <w:rStyle w:val="Voetnootmarkering"/>
          <w:sz w:val="16"/>
          <w:szCs w:val="16"/>
        </w:rPr>
        <w:footnoteRef/>
      </w:r>
      <w:r w:rsidRPr="006F1105">
        <w:rPr>
          <w:sz w:val="16"/>
          <w:szCs w:val="16"/>
        </w:rPr>
        <w:t xml:space="preserve"> NRC, 10 april 2024, ‘Industriepolitiek? Steek die miljarden liever in fundamenteel onderzoek, stelt het IMF’.</w:t>
      </w:r>
    </w:p>
  </w:footnote>
  <w:footnote w:id="3">
    <w:p w14:paraId="67A126BA" w14:textId="3B6ABB9B" w:rsidR="008416B9" w:rsidRPr="006F1105" w:rsidRDefault="008416B9">
      <w:pPr>
        <w:pStyle w:val="Voetnoottekst"/>
        <w:rPr>
          <w:sz w:val="16"/>
          <w:szCs w:val="16"/>
        </w:rPr>
      </w:pPr>
      <w:r w:rsidRPr="006F1105">
        <w:rPr>
          <w:rStyle w:val="Voetnootmarkering"/>
          <w:sz w:val="16"/>
          <w:szCs w:val="16"/>
        </w:rPr>
        <w:footnoteRef/>
      </w:r>
      <w:r w:rsidRPr="006F1105">
        <w:rPr>
          <w:sz w:val="16"/>
          <w:szCs w:val="16"/>
        </w:rPr>
        <w:t xml:space="preserve"> TK 29338, nr.</w:t>
      </w:r>
      <w:r w:rsidR="00483531" w:rsidRPr="006F1105">
        <w:rPr>
          <w:sz w:val="16"/>
          <w:szCs w:val="16"/>
        </w:rPr>
        <w:t xml:space="preserve"> </w:t>
      </w:r>
      <w:r w:rsidRPr="006F1105">
        <w:rPr>
          <w:sz w:val="16"/>
          <w:szCs w:val="16"/>
        </w:rPr>
        <w:t>278</w:t>
      </w:r>
    </w:p>
  </w:footnote>
  <w:footnote w:id="4">
    <w:p w14:paraId="6B9813EC" w14:textId="27609F21" w:rsidR="00CE5D86" w:rsidRDefault="00CE5D86">
      <w:pPr>
        <w:pStyle w:val="Voetnoottekst"/>
      </w:pPr>
      <w:r>
        <w:rPr>
          <w:rStyle w:val="Voetnootmarkering"/>
        </w:rPr>
        <w:footnoteRef/>
      </w:r>
      <w:r>
        <w:t xml:space="preserve"> </w:t>
      </w:r>
      <w:hyperlink r:id="rId1" w:history="1">
        <w:r w:rsidRPr="00A16BE8">
          <w:rPr>
            <w:rStyle w:val="Hyperlink"/>
            <w:sz w:val="16"/>
            <w:szCs w:val="16"/>
          </w:rPr>
          <w:t>www.ocwincijfers.nl</w:t>
        </w:r>
      </w:hyperlink>
      <w:r>
        <w:t xml:space="preserve"> </w:t>
      </w:r>
    </w:p>
  </w:footnote>
  <w:footnote w:id="5">
    <w:p w14:paraId="65997C90" w14:textId="77777777" w:rsidR="002E6AF3" w:rsidRPr="006F1105" w:rsidRDefault="002E6AF3" w:rsidP="002E6AF3">
      <w:pPr>
        <w:rPr>
          <w:rFonts w:ascii="Verdana" w:hAnsi="Verdana"/>
          <w:sz w:val="16"/>
          <w:szCs w:val="16"/>
        </w:rPr>
      </w:pPr>
      <w:r w:rsidRPr="006F1105">
        <w:rPr>
          <w:rStyle w:val="Voetnootmarkering"/>
          <w:sz w:val="16"/>
          <w:szCs w:val="16"/>
        </w:rPr>
        <w:footnoteRef/>
      </w:r>
      <w:r w:rsidRPr="006F1105">
        <w:rPr>
          <w:sz w:val="16"/>
          <w:szCs w:val="16"/>
        </w:rPr>
        <w:t xml:space="preserve"> </w:t>
      </w:r>
    </w:p>
    <w:p w14:paraId="4C4C8E15" w14:textId="77777777" w:rsidR="002E6AF3" w:rsidRPr="006F1105" w:rsidRDefault="002664F9" w:rsidP="002E6AF3">
      <w:pPr>
        <w:rPr>
          <w:sz w:val="16"/>
          <w:szCs w:val="16"/>
        </w:rPr>
      </w:pPr>
      <w:hyperlink r:id="rId2" w:history="1">
        <w:r w:rsidR="002E6AF3" w:rsidRPr="006F1105">
          <w:rPr>
            <w:rStyle w:val="Hyperlink"/>
            <w:sz w:val="16"/>
            <w:szCs w:val="16"/>
          </w:rPr>
          <w:t>https://www.rathenau.nl/nl/wetenschap-cijfers/geld/rd-investeringen-internationaal-vergeleken/rd-uitgaven-en-capaciteit-naar</w:t>
        </w:r>
      </w:hyperlink>
    </w:p>
    <w:p w14:paraId="09FD52CE" w14:textId="01E924B7" w:rsidR="002E6AF3" w:rsidRPr="006F1105" w:rsidRDefault="002E6AF3">
      <w:pPr>
        <w:pStyle w:val="Voetnoottekst"/>
        <w:rPr>
          <w:sz w:val="16"/>
          <w:szCs w:val="16"/>
        </w:rPr>
      </w:pPr>
      <w:r w:rsidRPr="006F1105">
        <w:rPr>
          <w:sz w:val="16"/>
          <w:szCs w:val="16"/>
        </w:rPr>
        <w:t xml:space="preserve"> </w:t>
      </w:r>
    </w:p>
  </w:footnote>
  <w:footnote w:id="6">
    <w:p w14:paraId="414CB9C3" w14:textId="2606400E" w:rsidR="006F1105" w:rsidRPr="006F1105" w:rsidRDefault="006F1105" w:rsidP="006F1105">
      <w:pPr>
        <w:pStyle w:val="Voetnoottekst"/>
        <w:rPr>
          <w:b/>
          <w:bCs/>
          <w:sz w:val="16"/>
          <w:szCs w:val="16"/>
        </w:rPr>
      </w:pPr>
      <w:r w:rsidRPr="006F1105">
        <w:rPr>
          <w:rStyle w:val="Voetnootmarkering"/>
          <w:sz w:val="16"/>
          <w:szCs w:val="16"/>
        </w:rPr>
        <w:footnoteRef/>
      </w:r>
      <w:r w:rsidRPr="006F1105">
        <w:rPr>
          <w:sz w:val="16"/>
          <w:szCs w:val="16"/>
        </w:rPr>
        <w:t xml:space="preserve"> TK 36 600 VIII, nr. 70</w:t>
      </w:r>
    </w:p>
  </w:footnote>
  <w:footnote w:id="7">
    <w:p w14:paraId="4B78459F" w14:textId="7777315A" w:rsidR="00D060C7" w:rsidRPr="006F1105" w:rsidRDefault="00D060C7">
      <w:pPr>
        <w:pStyle w:val="Voetnoottekst"/>
        <w:rPr>
          <w:sz w:val="16"/>
          <w:szCs w:val="16"/>
        </w:rPr>
      </w:pPr>
      <w:r w:rsidRPr="006F1105">
        <w:rPr>
          <w:rStyle w:val="Voetnootmarkering"/>
          <w:sz w:val="16"/>
          <w:szCs w:val="16"/>
        </w:rPr>
        <w:footnoteRef/>
      </w:r>
      <w:r w:rsidRPr="006F1105">
        <w:rPr>
          <w:sz w:val="16"/>
          <w:szCs w:val="16"/>
        </w:rPr>
        <w:t xml:space="preserve"> TK 36 600 VIII, nr. 61</w:t>
      </w:r>
    </w:p>
  </w:footnote>
  <w:footnote w:id="8">
    <w:p w14:paraId="73EB7647" w14:textId="46129C02" w:rsidR="006F1105" w:rsidRPr="006F1105" w:rsidRDefault="006F1105" w:rsidP="006F1105">
      <w:pPr>
        <w:pStyle w:val="Voetnoottekst"/>
        <w:rPr>
          <w:sz w:val="16"/>
          <w:szCs w:val="16"/>
        </w:rPr>
      </w:pPr>
      <w:r w:rsidRPr="006F1105">
        <w:rPr>
          <w:rStyle w:val="Voetnootmarkering"/>
          <w:sz w:val="16"/>
          <w:szCs w:val="16"/>
        </w:rPr>
        <w:footnoteRef/>
      </w:r>
      <w:r w:rsidRPr="006F1105">
        <w:rPr>
          <w:sz w:val="16"/>
          <w:szCs w:val="16"/>
        </w:rPr>
        <w:t xml:space="preserve"> TK 36 600 VIII, nr.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E60"/>
    <w:multiLevelType w:val="multilevel"/>
    <w:tmpl w:val="B446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E1E05"/>
    <w:multiLevelType w:val="multilevel"/>
    <w:tmpl w:val="B5F4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A576C"/>
    <w:multiLevelType w:val="hybridMultilevel"/>
    <w:tmpl w:val="0DA4B2F2"/>
    <w:lvl w:ilvl="0" w:tplc="4E8E012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3801751"/>
    <w:multiLevelType w:val="multilevel"/>
    <w:tmpl w:val="6E24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4223D"/>
    <w:multiLevelType w:val="multilevel"/>
    <w:tmpl w:val="500C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6" w15:restartNumberingAfterBreak="0">
    <w:nsid w:val="41CC76BB"/>
    <w:multiLevelType w:val="hybridMultilevel"/>
    <w:tmpl w:val="74D817F4"/>
    <w:lvl w:ilvl="0" w:tplc="CB56545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BE5DB6"/>
    <w:multiLevelType w:val="hybridMultilevel"/>
    <w:tmpl w:val="8EA25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0F1BEF"/>
    <w:multiLevelType w:val="hybridMultilevel"/>
    <w:tmpl w:val="B6E02302"/>
    <w:lvl w:ilvl="0" w:tplc="6674D008">
      <w:start w:val="1"/>
      <w:numFmt w:val="decimal"/>
      <w:lvlText w:val="%1)"/>
      <w:lvlJc w:val="left"/>
      <w:pPr>
        <w:ind w:left="1440" w:hanging="360"/>
      </w:pPr>
    </w:lvl>
    <w:lvl w:ilvl="1" w:tplc="8222C624">
      <w:start w:val="1"/>
      <w:numFmt w:val="decimal"/>
      <w:lvlText w:val="%2)"/>
      <w:lvlJc w:val="left"/>
      <w:pPr>
        <w:ind w:left="1440" w:hanging="360"/>
      </w:pPr>
    </w:lvl>
    <w:lvl w:ilvl="2" w:tplc="ED50AE12">
      <w:start w:val="1"/>
      <w:numFmt w:val="decimal"/>
      <w:lvlText w:val="%3)"/>
      <w:lvlJc w:val="left"/>
      <w:pPr>
        <w:ind w:left="1440" w:hanging="360"/>
      </w:pPr>
    </w:lvl>
    <w:lvl w:ilvl="3" w:tplc="5E30E4A6">
      <w:start w:val="1"/>
      <w:numFmt w:val="decimal"/>
      <w:lvlText w:val="%4)"/>
      <w:lvlJc w:val="left"/>
      <w:pPr>
        <w:ind w:left="1440" w:hanging="360"/>
      </w:pPr>
    </w:lvl>
    <w:lvl w:ilvl="4" w:tplc="565ED400">
      <w:start w:val="1"/>
      <w:numFmt w:val="decimal"/>
      <w:lvlText w:val="%5)"/>
      <w:lvlJc w:val="left"/>
      <w:pPr>
        <w:ind w:left="1440" w:hanging="360"/>
      </w:pPr>
    </w:lvl>
    <w:lvl w:ilvl="5" w:tplc="9438CCE4">
      <w:start w:val="1"/>
      <w:numFmt w:val="decimal"/>
      <w:lvlText w:val="%6)"/>
      <w:lvlJc w:val="left"/>
      <w:pPr>
        <w:ind w:left="1440" w:hanging="360"/>
      </w:pPr>
    </w:lvl>
    <w:lvl w:ilvl="6" w:tplc="FB4C3224">
      <w:start w:val="1"/>
      <w:numFmt w:val="decimal"/>
      <w:lvlText w:val="%7)"/>
      <w:lvlJc w:val="left"/>
      <w:pPr>
        <w:ind w:left="1440" w:hanging="360"/>
      </w:pPr>
    </w:lvl>
    <w:lvl w:ilvl="7" w:tplc="099AB6B6">
      <w:start w:val="1"/>
      <w:numFmt w:val="decimal"/>
      <w:lvlText w:val="%8)"/>
      <w:lvlJc w:val="left"/>
      <w:pPr>
        <w:ind w:left="1440" w:hanging="360"/>
      </w:pPr>
    </w:lvl>
    <w:lvl w:ilvl="8" w:tplc="1CE859C2">
      <w:start w:val="1"/>
      <w:numFmt w:val="decimal"/>
      <w:lvlText w:val="%9)"/>
      <w:lvlJc w:val="left"/>
      <w:pPr>
        <w:ind w:left="1440" w:hanging="360"/>
      </w:pPr>
    </w:lvl>
  </w:abstractNum>
  <w:abstractNum w:abstractNumId="9" w15:restartNumberingAfterBreak="0">
    <w:nsid w:val="5DD200D1"/>
    <w:multiLevelType w:val="multilevel"/>
    <w:tmpl w:val="E25A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63E14"/>
    <w:multiLevelType w:val="hybridMultilevel"/>
    <w:tmpl w:val="83AAB8B4"/>
    <w:lvl w:ilvl="0" w:tplc="41F487B8">
      <w:start w:val="1"/>
      <w:numFmt w:val="decimal"/>
      <w:lvlText w:val="%1."/>
      <w:lvlJc w:val="left"/>
      <w:pPr>
        <w:tabs>
          <w:tab w:val="num" w:pos="720"/>
        </w:tabs>
        <w:ind w:left="720" w:hanging="360"/>
      </w:pPr>
    </w:lvl>
    <w:lvl w:ilvl="1" w:tplc="082837DC" w:tentative="1">
      <w:start w:val="1"/>
      <w:numFmt w:val="decimal"/>
      <w:lvlText w:val="%2."/>
      <w:lvlJc w:val="left"/>
      <w:pPr>
        <w:tabs>
          <w:tab w:val="num" w:pos="1440"/>
        </w:tabs>
        <w:ind w:left="1440" w:hanging="360"/>
      </w:pPr>
    </w:lvl>
    <w:lvl w:ilvl="2" w:tplc="498602A6" w:tentative="1">
      <w:start w:val="1"/>
      <w:numFmt w:val="decimal"/>
      <w:lvlText w:val="%3."/>
      <w:lvlJc w:val="left"/>
      <w:pPr>
        <w:tabs>
          <w:tab w:val="num" w:pos="2160"/>
        </w:tabs>
        <w:ind w:left="2160" w:hanging="360"/>
      </w:pPr>
    </w:lvl>
    <w:lvl w:ilvl="3" w:tplc="E990F314" w:tentative="1">
      <w:start w:val="1"/>
      <w:numFmt w:val="decimal"/>
      <w:lvlText w:val="%4."/>
      <w:lvlJc w:val="left"/>
      <w:pPr>
        <w:tabs>
          <w:tab w:val="num" w:pos="2880"/>
        </w:tabs>
        <w:ind w:left="2880" w:hanging="360"/>
      </w:pPr>
    </w:lvl>
    <w:lvl w:ilvl="4" w:tplc="FE780A00" w:tentative="1">
      <w:start w:val="1"/>
      <w:numFmt w:val="decimal"/>
      <w:lvlText w:val="%5."/>
      <w:lvlJc w:val="left"/>
      <w:pPr>
        <w:tabs>
          <w:tab w:val="num" w:pos="3600"/>
        </w:tabs>
        <w:ind w:left="3600" w:hanging="360"/>
      </w:pPr>
    </w:lvl>
    <w:lvl w:ilvl="5" w:tplc="03FAF6B0" w:tentative="1">
      <w:start w:val="1"/>
      <w:numFmt w:val="decimal"/>
      <w:lvlText w:val="%6."/>
      <w:lvlJc w:val="left"/>
      <w:pPr>
        <w:tabs>
          <w:tab w:val="num" w:pos="4320"/>
        </w:tabs>
        <w:ind w:left="4320" w:hanging="360"/>
      </w:pPr>
    </w:lvl>
    <w:lvl w:ilvl="6" w:tplc="697EA2C2" w:tentative="1">
      <w:start w:val="1"/>
      <w:numFmt w:val="decimal"/>
      <w:lvlText w:val="%7."/>
      <w:lvlJc w:val="left"/>
      <w:pPr>
        <w:tabs>
          <w:tab w:val="num" w:pos="5040"/>
        </w:tabs>
        <w:ind w:left="5040" w:hanging="360"/>
      </w:pPr>
    </w:lvl>
    <w:lvl w:ilvl="7" w:tplc="5FBC2166" w:tentative="1">
      <w:start w:val="1"/>
      <w:numFmt w:val="decimal"/>
      <w:lvlText w:val="%8."/>
      <w:lvlJc w:val="left"/>
      <w:pPr>
        <w:tabs>
          <w:tab w:val="num" w:pos="5760"/>
        </w:tabs>
        <w:ind w:left="5760" w:hanging="360"/>
      </w:pPr>
    </w:lvl>
    <w:lvl w:ilvl="8" w:tplc="CC740D6C" w:tentative="1">
      <w:start w:val="1"/>
      <w:numFmt w:val="decimal"/>
      <w:lvlText w:val="%9."/>
      <w:lvlJc w:val="left"/>
      <w:pPr>
        <w:tabs>
          <w:tab w:val="num" w:pos="6480"/>
        </w:tabs>
        <w:ind w:left="6480" w:hanging="360"/>
      </w:pPr>
    </w:lvl>
  </w:abstractNum>
  <w:abstractNum w:abstractNumId="11" w15:restartNumberingAfterBreak="0">
    <w:nsid w:val="796446C7"/>
    <w:multiLevelType w:val="multilevel"/>
    <w:tmpl w:val="20FC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BE448F"/>
    <w:multiLevelType w:val="hybridMultilevel"/>
    <w:tmpl w:val="A45A8AA0"/>
    <w:lvl w:ilvl="0" w:tplc="5E624F82">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961832">
    <w:abstractNumId w:val="5"/>
  </w:num>
  <w:num w:numId="2" w16cid:durableId="805198983">
    <w:abstractNumId w:val="6"/>
  </w:num>
  <w:num w:numId="3" w16cid:durableId="583488475">
    <w:abstractNumId w:val="12"/>
  </w:num>
  <w:num w:numId="4" w16cid:durableId="1402560515">
    <w:abstractNumId w:val="9"/>
  </w:num>
  <w:num w:numId="5" w16cid:durableId="1485782122">
    <w:abstractNumId w:val="0"/>
  </w:num>
  <w:num w:numId="6" w16cid:durableId="1465930852">
    <w:abstractNumId w:val="4"/>
  </w:num>
  <w:num w:numId="7" w16cid:durableId="472990431">
    <w:abstractNumId w:val="11"/>
  </w:num>
  <w:num w:numId="8" w16cid:durableId="215512466">
    <w:abstractNumId w:val="10"/>
  </w:num>
  <w:num w:numId="9" w16cid:durableId="407502902">
    <w:abstractNumId w:val="3"/>
  </w:num>
  <w:num w:numId="10" w16cid:durableId="1834956634">
    <w:abstractNumId w:val="7"/>
  </w:num>
  <w:num w:numId="11" w16cid:durableId="49962752">
    <w:abstractNumId w:val="1"/>
  </w:num>
  <w:num w:numId="12" w16cid:durableId="1801339936">
    <w:abstractNumId w:val="2"/>
  </w:num>
  <w:num w:numId="13" w16cid:durableId="1970162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406"/>
    <w:rsid w:val="00013A91"/>
    <w:rsid w:val="000221E2"/>
    <w:rsid w:val="000234AA"/>
    <w:rsid w:val="00024A77"/>
    <w:rsid w:val="000256F4"/>
    <w:rsid w:val="00026B76"/>
    <w:rsid w:val="00026B81"/>
    <w:rsid w:val="000278B7"/>
    <w:rsid w:val="00030AAA"/>
    <w:rsid w:val="00036AAD"/>
    <w:rsid w:val="00042660"/>
    <w:rsid w:val="00042A37"/>
    <w:rsid w:val="00044811"/>
    <w:rsid w:val="00046163"/>
    <w:rsid w:val="00047268"/>
    <w:rsid w:val="000510E9"/>
    <w:rsid w:val="0005198B"/>
    <w:rsid w:val="0005352E"/>
    <w:rsid w:val="0005591C"/>
    <w:rsid w:val="0005726D"/>
    <w:rsid w:val="00062C9A"/>
    <w:rsid w:val="00063AF0"/>
    <w:rsid w:val="000702F3"/>
    <w:rsid w:val="00090F9F"/>
    <w:rsid w:val="000A163A"/>
    <w:rsid w:val="000A2ABA"/>
    <w:rsid w:val="000A5B86"/>
    <w:rsid w:val="000A6823"/>
    <w:rsid w:val="000B0595"/>
    <w:rsid w:val="000B2A70"/>
    <w:rsid w:val="000B4439"/>
    <w:rsid w:val="000C2FC2"/>
    <w:rsid w:val="000C7A76"/>
    <w:rsid w:val="000C7B6F"/>
    <w:rsid w:val="000D05A0"/>
    <w:rsid w:val="000D3F28"/>
    <w:rsid w:val="000E5F18"/>
    <w:rsid w:val="000F3BAB"/>
    <w:rsid w:val="000F7AAE"/>
    <w:rsid w:val="00102912"/>
    <w:rsid w:val="00102D5D"/>
    <w:rsid w:val="001118CE"/>
    <w:rsid w:val="00115101"/>
    <w:rsid w:val="001253EC"/>
    <w:rsid w:val="0012560F"/>
    <w:rsid w:val="00135D1C"/>
    <w:rsid w:val="00152140"/>
    <w:rsid w:val="001527E3"/>
    <w:rsid w:val="00155DED"/>
    <w:rsid w:val="00161F41"/>
    <w:rsid w:val="0016256B"/>
    <w:rsid w:val="00162C74"/>
    <w:rsid w:val="00162F24"/>
    <w:rsid w:val="0016584D"/>
    <w:rsid w:val="00167957"/>
    <w:rsid w:val="00167DE2"/>
    <w:rsid w:val="00167F8D"/>
    <w:rsid w:val="00172846"/>
    <w:rsid w:val="00176313"/>
    <w:rsid w:val="001764D8"/>
    <w:rsid w:val="00186462"/>
    <w:rsid w:val="00193CAC"/>
    <w:rsid w:val="0019719C"/>
    <w:rsid w:val="001A0B98"/>
    <w:rsid w:val="001A6B80"/>
    <w:rsid w:val="001B1B37"/>
    <w:rsid w:val="001B46BF"/>
    <w:rsid w:val="001B476C"/>
    <w:rsid w:val="001B5943"/>
    <w:rsid w:val="001B7E40"/>
    <w:rsid w:val="001D010A"/>
    <w:rsid w:val="001D1765"/>
    <w:rsid w:val="001D466C"/>
    <w:rsid w:val="001D699E"/>
    <w:rsid w:val="001E25B7"/>
    <w:rsid w:val="001F6FD5"/>
    <w:rsid w:val="002008E8"/>
    <w:rsid w:val="00203C14"/>
    <w:rsid w:val="002047E4"/>
    <w:rsid w:val="002065B1"/>
    <w:rsid w:val="00207892"/>
    <w:rsid w:val="002079C6"/>
    <w:rsid w:val="00213F7B"/>
    <w:rsid w:val="00215E5F"/>
    <w:rsid w:val="00216624"/>
    <w:rsid w:val="00216B0B"/>
    <w:rsid w:val="00216B64"/>
    <w:rsid w:val="00220065"/>
    <w:rsid w:val="002216C6"/>
    <w:rsid w:val="00222E0A"/>
    <w:rsid w:val="00224CCF"/>
    <w:rsid w:val="00241E08"/>
    <w:rsid w:val="002457BE"/>
    <w:rsid w:val="0024622B"/>
    <w:rsid w:val="00247282"/>
    <w:rsid w:val="002504B4"/>
    <w:rsid w:val="00253595"/>
    <w:rsid w:val="002552FB"/>
    <w:rsid w:val="00255303"/>
    <w:rsid w:val="00262025"/>
    <w:rsid w:val="002624D4"/>
    <w:rsid w:val="00262723"/>
    <w:rsid w:val="002644AC"/>
    <w:rsid w:val="002664F9"/>
    <w:rsid w:val="00266A0D"/>
    <w:rsid w:val="00266EA4"/>
    <w:rsid w:val="002707B9"/>
    <w:rsid w:val="0029080F"/>
    <w:rsid w:val="00292E3F"/>
    <w:rsid w:val="002947C1"/>
    <w:rsid w:val="002A6529"/>
    <w:rsid w:val="002C0075"/>
    <w:rsid w:val="002C070E"/>
    <w:rsid w:val="002C64CA"/>
    <w:rsid w:val="002D2B18"/>
    <w:rsid w:val="002D3391"/>
    <w:rsid w:val="002D40A3"/>
    <w:rsid w:val="002E2504"/>
    <w:rsid w:val="002E6820"/>
    <w:rsid w:val="002E6AF3"/>
    <w:rsid w:val="002F11C3"/>
    <w:rsid w:val="002F5C44"/>
    <w:rsid w:val="003073BD"/>
    <w:rsid w:val="00310380"/>
    <w:rsid w:val="003118DA"/>
    <w:rsid w:val="00313798"/>
    <w:rsid w:val="003207D0"/>
    <w:rsid w:val="00326199"/>
    <w:rsid w:val="00327AE5"/>
    <w:rsid w:val="00334AA2"/>
    <w:rsid w:val="00345FA2"/>
    <w:rsid w:val="00365D0E"/>
    <w:rsid w:val="00366DAB"/>
    <w:rsid w:val="00370524"/>
    <w:rsid w:val="00373F0A"/>
    <w:rsid w:val="003811DE"/>
    <w:rsid w:val="00391253"/>
    <w:rsid w:val="00392325"/>
    <w:rsid w:val="00392A36"/>
    <w:rsid w:val="00392CF9"/>
    <w:rsid w:val="003933CD"/>
    <w:rsid w:val="00394D7C"/>
    <w:rsid w:val="00395623"/>
    <w:rsid w:val="003A254B"/>
    <w:rsid w:val="003A2799"/>
    <w:rsid w:val="003A2E53"/>
    <w:rsid w:val="003A683F"/>
    <w:rsid w:val="003B3B86"/>
    <w:rsid w:val="003B7724"/>
    <w:rsid w:val="003C19CE"/>
    <w:rsid w:val="003C272C"/>
    <w:rsid w:val="003C3E7C"/>
    <w:rsid w:val="003D2C04"/>
    <w:rsid w:val="003D68A8"/>
    <w:rsid w:val="003D7E65"/>
    <w:rsid w:val="003E3FD0"/>
    <w:rsid w:val="003E56FA"/>
    <w:rsid w:val="003E6FB2"/>
    <w:rsid w:val="003F112A"/>
    <w:rsid w:val="003F2E22"/>
    <w:rsid w:val="003F551D"/>
    <w:rsid w:val="003F6A5C"/>
    <w:rsid w:val="00400617"/>
    <w:rsid w:val="00402FAB"/>
    <w:rsid w:val="00403B71"/>
    <w:rsid w:val="0042193D"/>
    <w:rsid w:val="00421CA4"/>
    <w:rsid w:val="00423DAA"/>
    <w:rsid w:val="00427302"/>
    <w:rsid w:val="004354A0"/>
    <w:rsid w:val="00437763"/>
    <w:rsid w:val="004442DC"/>
    <w:rsid w:val="00445A8A"/>
    <w:rsid w:val="00446660"/>
    <w:rsid w:val="00456699"/>
    <w:rsid w:val="00461788"/>
    <w:rsid w:val="00463972"/>
    <w:rsid w:val="00480FED"/>
    <w:rsid w:val="004831E3"/>
    <w:rsid w:val="00483531"/>
    <w:rsid w:val="00493FF1"/>
    <w:rsid w:val="00494884"/>
    <w:rsid w:val="00497583"/>
    <w:rsid w:val="004A54EE"/>
    <w:rsid w:val="004B0AF0"/>
    <w:rsid w:val="004B411A"/>
    <w:rsid w:val="004B4B63"/>
    <w:rsid w:val="004B517A"/>
    <w:rsid w:val="004B6189"/>
    <w:rsid w:val="004B6A4B"/>
    <w:rsid w:val="004C2C38"/>
    <w:rsid w:val="004D37E6"/>
    <w:rsid w:val="004D6D50"/>
    <w:rsid w:val="004E0DAA"/>
    <w:rsid w:val="004F191B"/>
    <w:rsid w:val="004F4BE1"/>
    <w:rsid w:val="004F5406"/>
    <w:rsid w:val="004F7AEF"/>
    <w:rsid w:val="005017F7"/>
    <w:rsid w:val="00504924"/>
    <w:rsid w:val="00511407"/>
    <w:rsid w:val="00512A37"/>
    <w:rsid w:val="00522CBF"/>
    <w:rsid w:val="00522D2A"/>
    <w:rsid w:val="00524E15"/>
    <w:rsid w:val="00527562"/>
    <w:rsid w:val="005304AF"/>
    <w:rsid w:val="005308FB"/>
    <w:rsid w:val="0054085A"/>
    <w:rsid w:val="00543193"/>
    <w:rsid w:val="00552C15"/>
    <w:rsid w:val="00552F28"/>
    <w:rsid w:val="00555682"/>
    <w:rsid w:val="00561E60"/>
    <w:rsid w:val="00563304"/>
    <w:rsid w:val="0056514C"/>
    <w:rsid w:val="005724F6"/>
    <w:rsid w:val="005850B6"/>
    <w:rsid w:val="0059044A"/>
    <w:rsid w:val="00591026"/>
    <w:rsid w:val="00593090"/>
    <w:rsid w:val="005A155E"/>
    <w:rsid w:val="005A45C2"/>
    <w:rsid w:val="005A485A"/>
    <w:rsid w:val="005C0654"/>
    <w:rsid w:val="005D44B9"/>
    <w:rsid w:val="005D4D50"/>
    <w:rsid w:val="005E0712"/>
    <w:rsid w:val="005E12CC"/>
    <w:rsid w:val="005E1D8D"/>
    <w:rsid w:val="005F1F45"/>
    <w:rsid w:val="005F3560"/>
    <w:rsid w:val="005F738E"/>
    <w:rsid w:val="00600B30"/>
    <w:rsid w:val="0061253E"/>
    <w:rsid w:val="00613164"/>
    <w:rsid w:val="00616A04"/>
    <w:rsid w:val="00624B0E"/>
    <w:rsid w:val="006356AB"/>
    <w:rsid w:val="006362D4"/>
    <w:rsid w:val="00636F3F"/>
    <w:rsid w:val="0064659F"/>
    <w:rsid w:val="006538DF"/>
    <w:rsid w:val="00654625"/>
    <w:rsid w:val="00655E4F"/>
    <w:rsid w:val="00661630"/>
    <w:rsid w:val="00662569"/>
    <w:rsid w:val="0066392C"/>
    <w:rsid w:val="00664DFA"/>
    <w:rsid w:val="00666BCA"/>
    <w:rsid w:val="00680972"/>
    <w:rsid w:val="00680EC5"/>
    <w:rsid w:val="00690B73"/>
    <w:rsid w:val="006947FB"/>
    <w:rsid w:val="0069555C"/>
    <w:rsid w:val="006957A8"/>
    <w:rsid w:val="00697614"/>
    <w:rsid w:val="006A1928"/>
    <w:rsid w:val="006A2D03"/>
    <w:rsid w:val="006B08F7"/>
    <w:rsid w:val="006B09BC"/>
    <w:rsid w:val="006B1047"/>
    <w:rsid w:val="006D5F22"/>
    <w:rsid w:val="006D64DB"/>
    <w:rsid w:val="006E186B"/>
    <w:rsid w:val="006E69C2"/>
    <w:rsid w:val="006F1105"/>
    <w:rsid w:val="006F7479"/>
    <w:rsid w:val="00700150"/>
    <w:rsid w:val="00703400"/>
    <w:rsid w:val="00705E96"/>
    <w:rsid w:val="0071067A"/>
    <w:rsid w:val="007149D7"/>
    <w:rsid w:val="00716165"/>
    <w:rsid w:val="00723FFB"/>
    <w:rsid w:val="0072510A"/>
    <w:rsid w:val="007253B6"/>
    <w:rsid w:val="007255FD"/>
    <w:rsid w:val="0073275F"/>
    <w:rsid w:val="0073410B"/>
    <w:rsid w:val="00736FCA"/>
    <w:rsid w:val="00745516"/>
    <w:rsid w:val="00745CF6"/>
    <w:rsid w:val="00747323"/>
    <w:rsid w:val="007510E0"/>
    <w:rsid w:val="00751E02"/>
    <w:rsid w:val="0075298D"/>
    <w:rsid w:val="007534D6"/>
    <w:rsid w:val="00754D26"/>
    <w:rsid w:val="00755161"/>
    <w:rsid w:val="00767626"/>
    <w:rsid w:val="00771B62"/>
    <w:rsid w:val="007728FE"/>
    <w:rsid w:val="00774134"/>
    <w:rsid w:val="00775DAB"/>
    <w:rsid w:val="0078325B"/>
    <w:rsid w:val="007A0367"/>
    <w:rsid w:val="007A5DCC"/>
    <w:rsid w:val="007A6D6E"/>
    <w:rsid w:val="007B1AD4"/>
    <w:rsid w:val="007B3F9B"/>
    <w:rsid w:val="007B58E7"/>
    <w:rsid w:val="007C0957"/>
    <w:rsid w:val="007C152C"/>
    <w:rsid w:val="007C468E"/>
    <w:rsid w:val="007C75CB"/>
    <w:rsid w:val="007D6716"/>
    <w:rsid w:val="007E5E29"/>
    <w:rsid w:val="007E5F99"/>
    <w:rsid w:val="007E7336"/>
    <w:rsid w:val="007F06AF"/>
    <w:rsid w:val="007F59A6"/>
    <w:rsid w:val="008025B9"/>
    <w:rsid w:val="00802946"/>
    <w:rsid w:val="00804A1A"/>
    <w:rsid w:val="008066F5"/>
    <w:rsid w:val="0081013C"/>
    <w:rsid w:val="008203EB"/>
    <w:rsid w:val="008310C4"/>
    <w:rsid w:val="008318A9"/>
    <w:rsid w:val="00834236"/>
    <w:rsid w:val="008347E4"/>
    <w:rsid w:val="008366F1"/>
    <w:rsid w:val="008377C2"/>
    <w:rsid w:val="008416B9"/>
    <w:rsid w:val="00852F94"/>
    <w:rsid w:val="0086001C"/>
    <w:rsid w:val="00865AAE"/>
    <w:rsid w:val="00873959"/>
    <w:rsid w:val="00873F37"/>
    <w:rsid w:val="00876181"/>
    <w:rsid w:val="00876D32"/>
    <w:rsid w:val="00885CCA"/>
    <w:rsid w:val="00887228"/>
    <w:rsid w:val="008A1EE4"/>
    <w:rsid w:val="008A31CF"/>
    <w:rsid w:val="008A4C01"/>
    <w:rsid w:val="008A76A0"/>
    <w:rsid w:val="008B0FA8"/>
    <w:rsid w:val="008B27EE"/>
    <w:rsid w:val="008B3201"/>
    <w:rsid w:val="008B5650"/>
    <w:rsid w:val="008D0BB3"/>
    <w:rsid w:val="008E3E61"/>
    <w:rsid w:val="008F1322"/>
    <w:rsid w:val="008F24A9"/>
    <w:rsid w:val="008F4697"/>
    <w:rsid w:val="00903D1E"/>
    <w:rsid w:val="00933FA4"/>
    <w:rsid w:val="00935916"/>
    <w:rsid w:val="009409DA"/>
    <w:rsid w:val="00941C96"/>
    <w:rsid w:val="009460F0"/>
    <w:rsid w:val="00952A67"/>
    <w:rsid w:val="00954627"/>
    <w:rsid w:val="00956F0F"/>
    <w:rsid w:val="00967882"/>
    <w:rsid w:val="0097323E"/>
    <w:rsid w:val="00977C47"/>
    <w:rsid w:val="00984CDA"/>
    <w:rsid w:val="00984E1A"/>
    <w:rsid w:val="0098532D"/>
    <w:rsid w:val="00986051"/>
    <w:rsid w:val="009865E7"/>
    <w:rsid w:val="00991908"/>
    <w:rsid w:val="009939A1"/>
    <w:rsid w:val="00993C96"/>
    <w:rsid w:val="00997306"/>
    <w:rsid w:val="009A0A90"/>
    <w:rsid w:val="009A2810"/>
    <w:rsid w:val="009A377E"/>
    <w:rsid w:val="009C3679"/>
    <w:rsid w:val="009C45AC"/>
    <w:rsid w:val="009C632C"/>
    <w:rsid w:val="009D01DC"/>
    <w:rsid w:val="009D14CA"/>
    <w:rsid w:val="009D7D86"/>
    <w:rsid w:val="009F2C65"/>
    <w:rsid w:val="00A00DF8"/>
    <w:rsid w:val="00A0196D"/>
    <w:rsid w:val="00A01A7C"/>
    <w:rsid w:val="00A0268B"/>
    <w:rsid w:val="00A02BDB"/>
    <w:rsid w:val="00A0592A"/>
    <w:rsid w:val="00A07B59"/>
    <w:rsid w:val="00A16BE8"/>
    <w:rsid w:val="00A226F9"/>
    <w:rsid w:val="00A25B28"/>
    <w:rsid w:val="00A30B03"/>
    <w:rsid w:val="00A4336E"/>
    <w:rsid w:val="00A5196A"/>
    <w:rsid w:val="00A550C7"/>
    <w:rsid w:val="00A5792E"/>
    <w:rsid w:val="00A6689E"/>
    <w:rsid w:val="00A66F0C"/>
    <w:rsid w:val="00A75925"/>
    <w:rsid w:val="00A818E3"/>
    <w:rsid w:val="00A874C5"/>
    <w:rsid w:val="00A877C0"/>
    <w:rsid w:val="00A95499"/>
    <w:rsid w:val="00AA0BD6"/>
    <w:rsid w:val="00AA322E"/>
    <w:rsid w:val="00AA370F"/>
    <w:rsid w:val="00AA5E7E"/>
    <w:rsid w:val="00AB3031"/>
    <w:rsid w:val="00AC06D6"/>
    <w:rsid w:val="00AC1F26"/>
    <w:rsid w:val="00AC5902"/>
    <w:rsid w:val="00AD0737"/>
    <w:rsid w:val="00AD2827"/>
    <w:rsid w:val="00AD6011"/>
    <w:rsid w:val="00AE49D0"/>
    <w:rsid w:val="00AF07FD"/>
    <w:rsid w:val="00AF088C"/>
    <w:rsid w:val="00AF208F"/>
    <w:rsid w:val="00AF5599"/>
    <w:rsid w:val="00AF6F22"/>
    <w:rsid w:val="00AF7CEA"/>
    <w:rsid w:val="00B04A98"/>
    <w:rsid w:val="00B136D6"/>
    <w:rsid w:val="00B205BE"/>
    <w:rsid w:val="00B24E89"/>
    <w:rsid w:val="00B340AC"/>
    <w:rsid w:val="00B340F3"/>
    <w:rsid w:val="00B37DE1"/>
    <w:rsid w:val="00B42EF5"/>
    <w:rsid w:val="00B47FE3"/>
    <w:rsid w:val="00B64F73"/>
    <w:rsid w:val="00B75CC9"/>
    <w:rsid w:val="00BA053A"/>
    <w:rsid w:val="00BA24E5"/>
    <w:rsid w:val="00BA6507"/>
    <w:rsid w:val="00BB474E"/>
    <w:rsid w:val="00BB76E7"/>
    <w:rsid w:val="00BC01DC"/>
    <w:rsid w:val="00BC3FC4"/>
    <w:rsid w:val="00BC7D1F"/>
    <w:rsid w:val="00BD19B4"/>
    <w:rsid w:val="00BD1E78"/>
    <w:rsid w:val="00BD3CF4"/>
    <w:rsid w:val="00BD5010"/>
    <w:rsid w:val="00BD5C5F"/>
    <w:rsid w:val="00BD7DB9"/>
    <w:rsid w:val="00BE10D8"/>
    <w:rsid w:val="00BE5B6D"/>
    <w:rsid w:val="00BE7AD4"/>
    <w:rsid w:val="00BF67A8"/>
    <w:rsid w:val="00C0439D"/>
    <w:rsid w:val="00C0765F"/>
    <w:rsid w:val="00C13EEF"/>
    <w:rsid w:val="00C163E1"/>
    <w:rsid w:val="00C25751"/>
    <w:rsid w:val="00C30D56"/>
    <w:rsid w:val="00C33B40"/>
    <w:rsid w:val="00C352CA"/>
    <w:rsid w:val="00C44251"/>
    <w:rsid w:val="00C46566"/>
    <w:rsid w:val="00C47086"/>
    <w:rsid w:val="00C564B6"/>
    <w:rsid w:val="00C56F54"/>
    <w:rsid w:val="00C622C6"/>
    <w:rsid w:val="00C64069"/>
    <w:rsid w:val="00C8138A"/>
    <w:rsid w:val="00C82942"/>
    <w:rsid w:val="00C831EA"/>
    <w:rsid w:val="00C86830"/>
    <w:rsid w:val="00C87505"/>
    <w:rsid w:val="00C94FD8"/>
    <w:rsid w:val="00CA036D"/>
    <w:rsid w:val="00CA2B71"/>
    <w:rsid w:val="00CA4F8B"/>
    <w:rsid w:val="00CA68AA"/>
    <w:rsid w:val="00CB1BD7"/>
    <w:rsid w:val="00CC0BDE"/>
    <w:rsid w:val="00CC73A2"/>
    <w:rsid w:val="00CD01A9"/>
    <w:rsid w:val="00CD0A8E"/>
    <w:rsid w:val="00CD38FF"/>
    <w:rsid w:val="00CD5142"/>
    <w:rsid w:val="00CE07A0"/>
    <w:rsid w:val="00CE171F"/>
    <w:rsid w:val="00CE49A5"/>
    <w:rsid w:val="00CE5D86"/>
    <w:rsid w:val="00CE70AB"/>
    <w:rsid w:val="00CF0209"/>
    <w:rsid w:val="00CF0BF5"/>
    <w:rsid w:val="00CF3854"/>
    <w:rsid w:val="00CF3E95"/>
    <w:rsid w:val="00D01581"/>
    <w:rsid w:val="00D01E65"/>
    <w:rsid w:val="00D03836"/>
    <w:rsid w:val="00D060C7"/>
    <w:rsid w:val="00D129A8"/>
    <w:rsid w:val="00D13949"/>
    <w:rsid w:val="00D173F0"/>
    <w:rsid w:val="00D356B3"/>
    <w:rsid w:val="00D41E5C"/>
    <w:rsid w:val="00D42441"/>
    <w:rsid w:val="00D46C26"/>
    <w:rsid w:val="00D54549"/>
    <w:rsid w:val="00D650FB"/>
    <w:rsid w:val="00D67B78"/>
    <w:rsid w:val="00D7032E"/>
    <w:rsid w:val="00D73A60"/>
    <w:rsid w:val="00D7505F"/>
    <w:rsid w:val="00D75A48"/>
    <w:rsid w:val="00D770CA"/>
    <w:rsid w:val="00D809C0"/>
    <w:rsid w:val="00D952DB"/>
    <w:rsid w:val="00DA066A"/>
    <w:rsid w:val="00DA33EC"/>
    <w:rsid w:val="00DA4B7E"/>
    <w:rsid w:val="00DB79A7"/>
    <w:rsid w:val="00DC09CF"/>
    <w:rsid w:val="00DC1655"/>
    <w:rsid w:val="00DD64AB"/>
    <w:rsid w:val="00DE2DBD"/>
    <w:rsid w:val="00DE73AD"/>
    <w:rsid w:val="00DF0EEF"/>
    <w:rsid w:val="00DF4BCE"/>
    <w:rsid w:val="00E02E7F"/>
    <w:rsid w:val="00E07B22"/>
    <w:rsid w:val="00E11FA8"/>
    <w:rsid w:val="00E13758"/>
    <w:rsid w:val="00E23336"/>
    <w:rsid w:val="00E268DE"/>
    <w:rsid w:val="00E329A8"/>
    <w:rsid w:val="00E42D4A"/>
    <w:rsid w:val="00E44F14"/>
    <w:rsid w:val="00E47163"/>
    <w:rsid w:val="00E5134B"/>
    <w:rsid w:val="00E54356"/>
    <w:rsid w:val="00E55A66"/>
    <w:rsid w:val="00E60997"/>
    <w:rsid w:val="00E61E63"/>
    <w:rsid w:val="00E65989"/>
    <w:rsid w:val="00E65CB2"/>
    <w:rsid w:val="00E66944"/>
    <w:rsid w:val="00E66C7D"/>
    <w:rsid w:val="00E76E7F"/>
    <w:rsid w:val="00E779C1"/>
    <w:rsid w:val="00E8129F"/>
    <w:rsid w:val="00E83F6C"/>
    <w:rsid w:val="00E842EA"/>
    <w:rsid w:val="00E87FE5"/>
    <w:rsid w:val="00E90BB5"/>
    <w:rsid w:val="00E91A17"/>
    <w:rsid w:val="00E91BEA"/>
    <w:rsid w:val="00E93D1C"/>
    <w:rsid w:val="00EA0E6B"/>
    <w:rsid w:val="00EB0FFF"/>
    <w:rsid w:val="00EC0DA4"/>
    <w:rsid w:val="00EC271C"/>
    <w:rsid w:val="00EC63A9"/>
    <w:rsid w:val="00EC749F"/>
    <w:rsid w:val="00ED3DD5"/>
    <w:rsid w:val="00ED539D"/>
    <w:rsid w:val="00EE0572"/>
    <w:rsid w:val="00EE4742"/>
    <w:rsid w:val="00EE64FF"/>
    <w:rsid w:val="00EE7836"/>
    <w:rsid w:val="00EF0ACC"/>
    <w:rsid w:val="00F12840"/>
    <w:rsid w:val="00F1352A"/>
    <w:rsid w:val="00F164BF"/>
    <w:rsid w:val="00F40F81"/>
    <w:rsid w:val="00F53695"/>
    <w:rsid w:val="00F60C73"/>
    <w:rsid w:val="00F6219D"/>
    <w:rsid w:val="00F63394"/>
    <w:rsid w:val="00F65CCA"/>
    <w:rsid w:val="00F82488"/>
    <w:rsid w:val="00F83B8C"/>
    <w:rsid w:val="00F845B9"/>
    <w:rsid w:val="00F86ECA"/>
    <w:rsid w:val="00F90A9B"/>
    <w:rsid w:val="00F91F1B"/>
    <w:rsid w:val="00F92587"/>
    <w:rsid w:val="00FA5777"/>
    <w:rsid w:val="00FB016F"/>
    <w:rsid w:val="00FB0A1B"/>
    <w:rsid w:val="00FB688C"/>
    <w:rsid w:val="00FC0873"/>
    <w:rsid w:val="00FC099B"/>
    <w:rsid w:val="00FC6975"/>
    <w:rsid w:val="00FD19E3"/>
    <w:rsid w:val="00FD6682"/>
    <w:rsid w:val="00FE213C"/>
    <w:rsid w:val="00FE2DD9"/>
    <w:rsid w:val="00FE3335"/>
    <w:rsid w:val="00FE54F0"/>
    <w:rsid w:val="00FE6209"/>
    <w:rsid w:val="00FE65F9"/>
    <w:rsid w:val="00FE7E8E"/>
    <w:rsid w:val="00FF08FC"/>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unhideWhenUsed/>
    <w:rsid w:val="00DC09CF"/>
    <w:rPr>
      <w:sz w:val="20"/>
      <w:szCs w:val="20"/>
    </w:rPr>
  </w:style>
  <w:style w:type="character" w:customStyle="1" w:styleId="VoetnoottekstChar">
    <w:name w:val="Voetnoottekst Char"/>
    <w:basedOn w:val="Standaardalinea-lettertype"/>
    <w:link w:val="Voetnoottekst"/>
    <w:uiPriority w:val="99"/>
    <w:rsid w:val="00DC09CF"/>
    <w:rPr>
      <w:rFonts w:ascii="Times New Roman" w:eastAsia="Times New Roman" w:hAnsi="Times New Roman" w:cs="Times New Roman"/>
      <w:sz w:val="20"/>
      <w:szCs w:val="20"/>
      <w:lang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qFormat/>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5850B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paragraph" w:customStyle="1" w:styleId="pf0">
    <w:name w:val="pf0"/>
    <w:basedOn w:val="Standaard"/>
    <w:rsid w:val="00CF0BF5"/>
    <w:pPr>
      <w:spacing w:before="100" w:beforeAutospacing="1" w:after="100" w:afterAutospacing="1"/>
      <w:ind w:left="300"/>
    </w:pPr>
  </w:style>
  <w:style w:type="character" w:customStyle="1" w:styleId="cf01">
    <w:name w:val="cf01"/>
    <w:basedOn w:val="Standaardalinea-lettertype"/>
    <w:rsid w:val="00CF0BF5"/>
    <w:rPr>
      <w:rFonts w:ascii="Segoe UI" w:hAnsi="Segoe UI" w:cs="Segoe UI" w:hint="default"/>
      <w:sz w:val="18"/>
      <w:szCs w:val="18"/>
    </w:rPr>
  </w:style>
  <w:style w:type="paragraph" w:customStyle="1" w:styleId="pf1">
    <w:name w:val="pf1"/>
    <w:basedOn w:val="Standaard"/>
    <w:rsid w:val="00CF0BF5"/>
    <w:pPr>
      <w:spacing w:before="100" w:beforeAutospacing="1" w:after="100" w:afterAutospacing="1"/>
      <w:ind w:left="300"/>
    </w:pPr>
  </w:style>
  <w:style w:type="table" w:styleId="Tabelraster">
    <w:name w:val="Table Grid"/>
    <w:basedOn w:val="Standaardtabel"/>
    <w:uiPriority w:val="39"/>
    <w:rsid w:val="00CF0BF5"/>
    <w:pPr>
      <w:spacing w:after="0" w:line="240" w:lineRule="auto"/>
    </w:pPr>
    <w:rPr>
      <w:rFonts w:ascii="Calibri" w:hAnsi="Calibri"/>
      <w:kern w:val="2"/>
      <w:sz w:val="20"/>
      <w:szCs w:val="20"/>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3F6A5C"/>
    <w:pPr>
      <w:spacing w:after="0" w:line="240" w:lineRule="auto"/>
    </w:pPr>
    <w:rPr>
      <w:rFonts w:ascii="Times New Roman" w:eastAsia="Times New Roman" w:hAnsi="Times New Roman" w:cs="Times New Roman"/>
      <w:sz w:val="24"/>
      <w:szCs w:val="24"/>
      <w:lang w:eastAsia="nl-NL"/>
    </w:rPr>
  </w:style>
  <w:style w:type="character" w:customStyle="1" w:styleId="A11">
    <w:name w:val="A11"/>
    <w:uiPriority w:val="99"/>
    <w:rsid w:val="00193CAC"/>
    <w:rPr>
      <w:rFonts w:cs="F37 Bolton Bold"/>
      <w:b/>
      <w:bCs/>
      <w:color w:val="000000"/>
      <w:sz w:val="16"/>
      <w:szCs w:val="16"/>
    </w:rPr>
  </w:style>
  <w:style w:type="paragraph" w:customStyle="1" w:styleId="Standard">
    <w:name w:val="Standard"/>
    <w:basedOn w:val="Standaard"/>
    <w:rsid w:val="00AF5599"/>
    <w:pPr>
      <w:spacing w:before="160" w:line="288" w:lineRule="auto"/>
    </w:pPr>
    <w:rPr>
      <w:rFonts w:ascii="Helvetica Neue" w:eastAsiaTheme="minorHAnsi" w:hAnsi="Helvetica Neue" w:cs="Calibri"/>
      <w:color w:val="000000"/>
      <w14:textOutline w14:w="0" w14:cap="flat" w14:cmpd="sng" w14:algn="ctr">
        <w14:noFill/>
        <w14:prstDash w14:val="solid"/>
        <w14:bevel/>
      </w14:textOutline>
    </w:rPr>
  </w:style>
  <w:style w:type="paragraph" w:customStyle="1" w:styleId="standard0">
    <w:name w:val="standard"/>
    <w:basedOn w:val="Standaard"/>
    <w:rsid w:val="00AF5599"/>
    <w:pPr>
      <w:spacing w:before="160" w:line="288" w:lineRule="auto"/>
    </w:pPr>
    <w:rPr>
      <w:rFonts w:ascii="Helvetica Neue" w:eastAsiaTheme="minorHAnsi" w:hAnsi="Helvetica Neue" w:cs="Calibri"/>
      <w:color w:val="000000"/>
    </w:rPr>
  </w:style>
  <w:style w:type="paragraph" w:customStyle="1" w:styleId="CharCharChar">
    <w:name w:val="Char Char Char"/>
    <w:basedOn w:val="Standaard"/>
    <w:link w:val="Voetnootmarkering"/>
    <w:uiPriority w:val="99"/>
    <w:rsid w:val="006F1105"/>
    <w:pPr>
      <w:spacing w:after="160" w:line="240" w:lineRule="exact"/>
    </w:pPr>
    <w:rPr>
      <w:rFonts w:asciiTheme="minorHAnsi" w:eastAsiaTheme="minorHAnsi" w:hAnsiTheme="minorHAnsi" w:cstheme="minorBidi"/>
      <w:sz w:val="22"/>
      <w:szCs w:val="22"/>
      <w:vertAlign w:val="superscript"/>
      <w:lang w:eastAsia="en-US"/>
    </w:rPr>
  </w:style>
  <w:style w:type="character" w:styleId="Onopgelostemelding">
    <w:name w:val="Unresolved Mention"/>
    <w:basedOn w:val="Standaardalinea-lettertype"/>
    <w:uiPriority w:val="99"/>
    <w:semiHidden/>
    <w:unhideWhenUsed/>
    <w:rsid w:val="00CE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4872">
      <w:bodyDiv w:val="1"/>
      <w:marLeft w:val="0"/>
      <w:marRight w:val="0"/>
      <w:marTop w:val="0"/>
      <w:marBottom w:val="0"/>
      <w:divBdr>
        <w:top w:val="none" w:sz="0" w:space="0" w:color="auto"/>
        <w:left w:val="none" w:sz="0" w:space="0" w:color="auto"/>
        <w:bottom w:val="none" w:sz="0" w:space="0" w:color="auto"/>
        <w:right w:val="none" w:sz="0" w:space="0" w:color="auto"/>
      </w:divBdr>
    </w:div>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356738086">
      <w:bodyDiv w:val="1"/>
      <w:marLeft w:val="0"/>
      <w:marRight w:val="0"/>
      <w:marTop w:val="0"/>
      <w:marBottom w:val="0"/>
      <w:divBdr>
        <w:top w:val="none" w:sz="0" w:space="0" w:color="auto"/>
        <w:left w:val="none" w:sz="0" w:space="0" w:color="auto"/>
        <w:bottom w:val="none" w:sz="0" w:space="0" w:color="auto"/>
        <w:right w:val="none" w:sz="0" w:space="0" w:color="auto"/>
      </w:divBdr>
    </w:div>
    <w:div w:id="460466985">
      <w:bodyDiv w:val="1"/>
      <w:marLeft w:val="0"/>
      <w:marRight w:val="0"/>
      <w:marTop w:val="0"/>
      <w:marBottom w:val="0"/>
      <w:divBdr>
        <w:top w:val="none" w:sz="0" w:space="0" w:color="auto"/>
        <w:left w:val="none" w:sz="0" w:space="0" w:color="auto"/>
        <w:bottom w:val="none" w:sz="0" w:space="0" w:color="auto"/>
        <w:right w:val="none" w:sz="0" w:space="0" w:color="auto"/>
      </w:divBdr>
    </w:div>
    <w:div w:id="685911587">
      <w:bodyDiv w:val="1"/>
      <w:marLeft w:val="0"/>
      <w:marRight w:val="0"/>
      <w:marTop w:val="0"/>
      <w:marBottom w:val="0"/>
      <w:divBdr>
        <w:top w:val="none" w:sz="0" w:space="0" w:color="auto"/>
        <w:left w:val="none" w:sz="0" w:space="0" w:color="auto"/>
        <w:bottom w:val="none" w:sz="0" w:space="0" w:color="auto"/>
        <w:right w:val="none" w:sz="0" w:space="0" w:color="auto"/>
      </w:divBdr>
    </w:div>
    <w:div w:id="812717510">
      <w:bodyDiv w:val="1"/>
      <w:marLeft w:val="0"/>
      <w:marRight w:val="0"/>
      <w:marTop w:val="0"/>
      <w:marBottom w:val="0"/>
      <w:divBdr>
        <w:top w:val="none" w:sz="0" w:space="0" w:color="auto"/>
        <w:left w:val="none" w:sz="0" w:space="0" w:color="auto"/>
        <w:bottom w:val="none" w:sz="0" w:space="0" w:color="auto"/>
        <w:right w:val="none" w:sz="0" w:space="0" w:color="auto"/>
      </w:divBdr>
    </w:div>
    <w:div w:id="822819928">
      <w:bodyDiv w:val="1"/>
      <w:marLeft w:val="0"/>
      <w:marRight w:val="0"/>
      <w:marTop w:val="0"/>
      <w:marBottom w:val="0"/>
      <w:divBdr>
        <w:top w:val="none" w:sz="0" w:space="0" w:color="auto"/>
        <w:left w:val="none" w:sz="0" w:space="0" w:color="auto"/>
        <w:bottom w:val="none" w:sz="0" w:space="0" w:color="auto"/>
        <w:right w:val="none" w:sz="0" w:space="0" w:color="auto"/>
      </w:divBdr>
    </w:div>
    <w:div w:id="851146288">
      <w:bodyDiv w:val="1"/>
      <w:marLeft w:val="0"/>
      <w:marRight w:val="0"/>
      <w:marTop w:val="0"/>
      <w:marBottom w:val="0"/>
      <w:divBdr>
        <w:top w:val="none" w:sz="0" w:space="0" w:color="auto"/>
        <w:left w:val="none" w:sz="0" w:space="0" w:color="auto"/>
        <w:bottom w:val="none" w:sz="0" w:space="0" w:color="auto"/>
        <w:right w:val="none" w:sz="0" w:space="0" w:color="auto"/>
      </w:divBdr>
    </w:div>
    <w:div w:id="901797953">
      <w:bodyDiv w:val="1"/>
      <w:marLeft w:val="0"/>
      <w:marRight w:val="0"/>
      <w:marTop w:val="0"/>
      <w:marBottom w:val="0"/>
      <w:divBdr>
        <w:top w:val="none" w:sz="0" w:space="0" w:color="auto"/>
        <w:left w:val="none" w:sz="0" w:space="0" w:color="auto"/>
        <w:bottom w:val="none" w:sz="0" w:space="0" w:color="auto"/>
        <w:right w:val="none" w:sz="0" w:space="0" w:color="auto"/>
      </w:divBdr>
    </w:div>
    <w:div w:id="963314210">
      <w:bodyDiv w:val="1"/>
      <w:marLeft w:val="0"/>
      <w:marRight w:val="0"/>
      <w:marTop w:val="0"/>
      <w:marBottom w:val="0"/>
      <w:divBdr>
        <w:top w:val="none" w:sz="0" w:space="0" w:color="auto"/>
        <w:left w:val="none" w:sz="0" w:space="0" w:color="auto"/>
        <w:bottom w:val="none" w:sz="0" w:space="0" w:color="auto"/>
        <w:right w:val="none" w:sz="0" w:space="0" w:color="auto"/>
      </w:divBdr>
    </w:div>
    <w:div w:id="1021903518">
      <w:bodyDiv w:val="1"/>
      <w:marLeft w:val="0"/>
      <w:marRight w:val="0"/>
      <w:marTop w:val="0"/>
      <w:marBottom w:val="0"/>
      <w:divBdr>
        <w:top w:val="none" w:sz="0" w:space="0" w:color="auto"/>
        <w:left w:val="none" w:sz="0" w:space="0" w:color="auto"/>
        <w:bottom w:val="none" w:sz="0" w:space="0" w:color="auto"/>
        <w:right w:val="none" w:sz="0" w:space="0" w:color="auto"/>
      </w:divBdr>
    </w:div>
    <w:div w:id="1090469999">
      <w:bodyDiv w:val="1"/>
      <w:marLeft w:val="0"/>
      <w:marRight w:val="0"/>
      <w:marTop w:val="0"/>
      <w:marBottom w:val="0"/>
      <w:divBdr>
        <w:top w:val="none" w:sz="0" w:space="0" w:color="auto"/>
        <w:left w:val="none" w:sz="0" w:space="0" w:color="auto"/>
        <w:bottom w:val="none" w:sz="0" w:space="0" w:color="auto"/>
        <w:right w:val="none" w:sz="0" w:space="0" w:color="auto"/>
      </w:divBdr>
    </w:div>
    <w:div w:id="1239366085">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 w:id="1750154788">
      <w:bodyDiv w:val="1"/>
      <w:marLeft w:val="0"/>
      <w:marRight w:val="0"/>
      <w:marTop w:val="0"/>
      <w:marBottom w:val="0"/>
      <w:divBdr>
        <w:top w:val="none" w:sz="0" w:space="0" w:color="auto"/>
        <w:left w:val="none" w:sz="0" w:space="0" w:color="auto"/>
        <w:bottom w:val="none" w:sz="0" w:space="0" w:color="auto"/>
        <w:right w:val="none" w:sz="0" w:space="0" w:color="auto"/>
      </w:divBdr>
    </w:div>
    <w:div w:id="1753693772">
      <w:bodyDiv w:val="1"/>
      <w:marLeft w:val="0"/>
      <w:marRight w:val="0"/>
      <w:marTop w:val="0"/>
      <w:marBottom w:val="0"/>
      <w:divBdr>
        <w:top w:val="none" w:sz="0" w:space="0" w:color="auto"/>
        <w:left w:val="none" w:sz="0" w:space="0" w:color="auto"/>
        <w:bottom w:val="none" w:sz="0" w:space="0" w:color="auto"/>
        <w:right w:val="none" w:sz="0" w:space="0" w:color="auto"/>
      </w:divBdr>
    </w:div>
    <w:div w:id="1755934031">
      <w:bodyDiv w:val="1"/>
      <w:marLeft w:val="0"/>
      <w:marRight w:val="0"/>
      <w:marTop w:val="0"/>
      <w:marBottom w:val="0"/>
      <w:divBdr>
        <w:top w:val="none" w:sz="0" w:space="0" w:color="auto"/>
        <w:left w:val="none" w:sz="0" w:space="0" w:color="auto"/>
        <w:bottom w:val="none" w:sz="0" w:space="0" w:color="auto"/>
        <w:right w:val="none" w:sz="0" w:space="0" w:color="auto"/>
      </w:divBdr>
    </w:div>
    <w:div w:id="1826317397">
      <w:bodyDiv w:val="1"/>
      <w:marLeft w:val="0"/>
      <w:marRight w:val="0"/>
      <w:marTop w:val="0"/>
      <w:marBottom w:val="0"/>
      <w:divBdr>
        <w:top w:val="none" w:sz="0" w:space="0" w:color="auto"/>
        <w:left w:val="none" w:sz="0" w:space="0" w:color="auto"/>
        <w:bottom w:val="none" w:sz="0" w:space="0" w:color="auto"/>
        <w:right w:val="none" w:sz="0" w:space="0" w:color="auto"/>
      </w:divBdr>
    </w:div>
    <w:div w:id="1924484929">
      <w:bodyDiv w:val="1"/>
      <w:marLeft w:val="0"/>
      <w:marRight w:val="0"/>
      <w:marTop w:val="0"/>
      <w:marBottom w:val="0"/>
      <w:divBdr>
        <w:top w:val="none" w:sz="0" w:space="0" w:color="auto"/>
        <w:left w:val="none" w:sz="0" w:space="0" w:color="auto"/>
        <w:bottom w:val="none" w:sz="0" w:space="0" w:color="auto"/>
        <w:right w:val="none" w:sz="0" w:space="0" w:color="auto"/>
      </w:divBdr>
    </w:div>
    <w:div w:id="1947543995">
      <w:bodyDiv w:val="1"/>
      <w:marLeft w:val="0"/>
      <w:marRight w:val="0"/>
      <w:marTop w:val="0"/>
      <w:marBottom w:val="0"/>
      <w:divBdr>
        <w:top w:val="none" w:sz="0" w:space="0" w:color="auto"/>
        <w:left w:val="none" w:sz="0" w:space="0" w:color="auto"/>
        <w:bottom w:val="none" w:sz="0" w:space="0" w:color="auto"/>
        <w:right w:val="none" w:sz="0" w:space="0" w:color="auto"/>
      </w:divBdr>
    </w:div>
    <w:div w:id="1965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athenau.nl/nl/wetenschap-cijfers/geld/rd-investeringen-internationaal-vergeleken/rd-uitgaven-en-capaciteit-naar" TargetMode="External"/><Relationship Id="rId1" Type="http://schemas.openxmlformats.org/officeDocument/2006/relationships/hyperlink" Target="http://www.ocwincijf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6242</ap:Words>
  <ap:Characters>34333</ap:Characters>
  <ap:DocSecurity>0</ap:DocSecurity>
  <ap:Lines>286</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2025-01-16T12:41:00.0000000Z</dcterms:created>
  <dcterms:modified xsi:type="dcterms:W3CDTF">2025-01-16T12:41:00.0000000Z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8a525e25-8e10-49d0-a434-1d67ed1b7ddc</vt:lpwstr>
  </property>
  <property fmtid="{D5CDD505-2E9C-101B-9397-08002B2CF9AE}" pid="4" name="cs_objectid">
    <vt:lpwstr>50072598</vt:lpwstr>
  </property>
</Properties>
</file>