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023E7" w:rsidR="00021F9C" w:rsidP="008023E7" w:rsidRDefault="00F73BF8" w14:paraId="1CCC69A2" w14:textId="77777777">
      <w:pPr>
        <w:autoSpaceDE w:val="0"/>
        <w:autoSpaceDN w:val="0"/>
        <w:adjustRightInd w:val="0"/>
        <w:rPr>
          <w:b/>
          <w:bCs/>
        </w:rPr>
      </w:pPr>
      <w:r w:rsidRPr="00F73BF8">
        <w:t>30821</w:t>
      </w:r>
      <w:r w:rsidR="00021F9C">
        <w:tab/>
      </w:r>
      <w:r w:rsidR="00021F9C">
        <w:tab/>
      </w:r>
      <w:r w:rsidRPr="00021F9C" w:rsidR="00021F9C">
        <w:tab/>
        <w:t>Nationale Veiligheid</w:t>
      </w:r>
    </w:p>
    <w:p w:rsidRPr="00D80872" w:rsidR="00021F9C" w:rsidP="00021F9C" w:rsidRDefault="00021F9C" w14:paraId="06346061" w14:textId="6582D308">
      <w:pPr>
        <w:ind w:left="2124" w:hanging="2124"/>
        <w:rPr>
          <w:rFonts w:ascii="Times New Roman" w:hAnsi="Times New Roman"/>
          <w:sz w:val="24"/>
          <w:szCs w:val="24"/>
        </w:rPr>
      </w:pPr>
      <w:r>
        <w:t xml:space="preserve">Nr. </w:t>
      </w:r>
      <w:r w:rsidRPr="00F73BF8">
        <w:t>257</w:t>
      </w:r>
      <w:r>
        <w:tab/>
      </w:r>
      <w:r>
        <w:rPr>
          <w:sz w:val="24"/>
        </w:rPr>
        <w:t>Brief van de</w:t>
      </w:r>
      <w:r>
        <w:t xml:space="preserve"> </w:t>
      </w:r>
      <w:r w:rsidRPr="00D80872">
        <w:rPr>
          <w:rFonts w:ascii="Times New Roman" w:hAnsi="Times New Roman"/>
          <w:sz w:val="24"/>
          <w:szCs w:val="24"/>
        </w:rPr>
        <w:t>minister van Binnenlandse Zaken en Koninkrijksrelaties</w:t>
      </w:r>
    </w:p>
    <w:p w:rsidR="00021F9C" w:rsidP="00E061FB" w:rsidRDefault="00021F9C" w14:paraId="1315076F" w14:textId="77ECA220">
      <w:pPr>
        <w:spacing w:line="240" w:lineRule="auto"/>
      </w:pPr>
      <w:r w:rsidRPr="00CA1499">
        <w:rPr>
          <w:sz w:val="24"/>
          <w:szCs w:val="24"/>
        </w:rPr>
        <w:t>Aan de Voorzitter van de Tweede Kamer der Staten-Generaal</w:t>
      </w:r>
    </w:p>
    <w:p w:rsidR="00021F9C" w:rsidP="00E061FB" w:rsidRDefault="00021F9C" w14:paraId="4E0B14B2" w14:textId="65AFCDD0">
      <w:pPr>
        <w:spacing w:line="240" w:lineRule="auto"/>
      </w:pPr>
      <w:r>
        <w:t>Den Haag, 14 januari 2025</w:t>
      </w:r>
    </w:p>
    <w:p w:rsidR="00E061FB" w:rsidP="00E061FB" w:rsidRDefault="00E061FB" w14:paraId="0F3929FD" w14:textId="77777777">
      <w:pPr>
        <w:spacing w:line="240" w:lineRule="auto"/>
      </w:pPr>
    </w:p>
    <w:p w:rsidRPr="00EA361D" w:rsidR="00E061FB" w:rsidP="00E061FB" w:rsidRDefault="00E061FB" w14:paraId="3ADEDED3" w14:textId="72D27757">
      <w:pPr>
        <w:spacing w:line="240" w:lineRule="auto"/>
      </w:pPr>
      <w:r w:rsidRPr="00C90986">
        <w:t>Uw Kamer</w:t>
      </w:r>
      <w:r>
        <w:t xml:space="preserve"> heeft het kabinet om twee brieven gevraagd waarin:</w:t>
      </w:r>
      <w:r w:rsidRPr="00C90986">
        <w:t xml:space="preserve"> (1)</w:t>
      </w:r>
      <w:r>
        <w:t xml:space="preserve"> wordt ingegaan op de vraag</w:t>
      </w:r>
      <w:r w:rsidRPr="00C90986">
        <w:t xml:space="preserve"> of de regelgeving in Nederland voldoende beschermt tegen buitenlandse inmenging via online politieke campagnes</w:t>
      </w:r>
      <w:r>
        <w:t>,</w:t>
      </w:r>
      <w:r w:rsidRPr="00C90986">
        <w:t xml:space="preserve"> n</w:t>
      </w:r>
      <w:r>
        <w:t>aar aanleiding van</w:t>
      </w:r>
      <w:r w:rsidRPr="00C90986">
        <w:t xml:space="preserve"> berichtgeving over de Roemeense presidentsverkiezingen</w:t>
      </w:r>
      <w:r>
        <w:rPr>
          <w:rStyle w:val="Voetnootmarkering"/>
        </w:rPr>
        <w:footnoteReference w:id="1"/>
      </w:r>
      <w:r w:rsidRPr="00C90986">
        <w:t xml:space="preserve"> en (2) </w:t>
      </w:r>
      <w:r>
        <w:t xml:space="preserve">wordt toegelicht </w:t>
      </w:r>
      <w:r w:rsidRPr="00C90986">
        <w:t xml:space="preserve">hoe we onze democratie </w:t>
      </w:r>
      <w:r>
        <w:t>in het algemeen</w:t>
      </w:r>
      <w:r w:rsidRPr="00C90986">
        <w:t xml:space="preserve"> beschermen tegen buitenlandse inmenging</w:t>
      </w:r>
      <w:r>
        <w:rPr>
          <w:rStyle w:val="Voetnootmarkering"/>
        </w:rPr>
        <w:footnoteReference w:id="2"/>
      </w:r>
      <w:r w:rsidRPr="00C90986">
        <w:t xml:space="preserve">. Met deze brief reageer ik op </w:t>
      </w:r>
      <w:r>
        <w:t>de verzoeken</w:t>
      </w:r>
      <w:r w:rsidRPr="00C90986">
        <w:t>, mede namens de minister van Justitie en Veiligheid.</w:t>
      </w:r>
    </w:p>
    <w:p w:rsidRPr="00EA361D" w:rsidR="00E061FB" w:rsidP="00E061FB" w:rsidRDefault="00E061FB" w14:paraId="76D49225" w14:textId="77777777">
      <w:pPr>
        <w:spacing w:line="240" w:lineRule="auto"/>
      </w:pPr>
      <w:r w:rsidRPr="00EA361D">
        <w:rPr>
          <w:b/>
          <w:bCs/>
        </w:rPr>
        <w:t>Ondermijning democratie</w:t>
      </w:r>
    </w:p>
    <w:p w:rsidRPr="00C90986" w:rsidR="00E061FB" w:rsidP="00E061FB" w:rsidRDefault="00E061FB" w14:paraId="53F782B0" w14:textId="77777777">
      <w:pPr>
        <w:spacing w:line="240" w:lineRule="auto"/>
      </w:pPr>
      <w:r>
        <w:t xml:space="preserve">De Nederlandse democratische rechtsstaat is robuust. Tegelijk is waakzaamheid geboden. </w:t>
      </w:r>
      <w:r w:rsidRPr="00C90986">
        <w:t>Recente ontwikkelingen in landen om ons heen laten zien dat statelijke actoren het vertrouwen in de democratische rechtsstaat in toenemende mate proberen te ondermijnen</w:t>
      </w:r>
      <w:r>
        <w:t>,</w:t>
      </w:r>
      <w:r w:rsidRPr="00C90986">
        <w:t xml:space="preserve"> </w:t>
      </w:r>
      <w:r>
        <w:t>o</w:t>
      </w:r>
      <w:r w:rsidRPr="00C90986">
        <w:t xml:space="preserve">nder meer door aanhoudende cyberaanvallen, spionageactiviteiten, de verspreiding van desinformatie en het ongewenst inmengen in politieke besluitvorming en de publieke opinie. De hele samenleving – </w:t>
      </w:r>
      <w:r>
        <w:t xml:space="preserve">het </w:t>
      </w:r>
      <w:r w:rsidRPr="00C90986">
        <w:t>bedrijfsleven, kennisinstellingen en (mede)overheden - zijn doelwit van deze openlijke en heimelijke activiteiten.</w:t>
      </w:r>
    </w:p>
    <w:p w:rsidRPr="00C90986" w:rsidR="00E061FB" w:rsidP="00E061FB" w:rsidRDefault="00E061FB" w14:paraId="703DF5D3" w14:textId="77777777">
      <w:pPr>
        <w:spacing w:line="240" w:lineRule="auto"/>
      </w:pPr>
      <w:r>
        <w:t>Ook in 2025 blijven Nederland en zijn bondgenoten het doelwit van (heimelijke) beïnvloedingsactiviteiten van statelijke actoren, waaronder Rusland en China.</w:t>
      </w:r>
      <w:r w:rsidRPr="00C90986">
        <w:rPr>
          <w:rStyle w:val="Voetnootmarkering"/>
        </w:rPr>
        <w:footnoteReference w:id="3"/>
      </w:r>
      <w:r w:rsidRPr="00C90986">
        <w:t xml:space="preserve"> Mijn ambtsvoorganger heeft in een brief van 1 april jl. aan uw Kamer gemeld dat dergelijke inmengingsactiviteiten een onafhankelijk en transparant politiek bestuurlijk bestel ondermijn</w:t>
      </w:r>
      <w:r>
        <w:t>en</w:t>
      </w:r>
      <w:r w:rsidRPr="00C90986">
        <w:t xml:space="preserve"> en daarmee een dreiging vormen voor de nationale veiligheid.</w:t>
      </w:r>
      <w:r w:rsidRPr="00C90986">
        <w:rPr>
          <w:rStyle w:val="Voetnootmarkering"/>
        </w:rPr>
        <w:footnoteReference w:id="4"/>
      </w:r>
    </w:p>
    <w:p w:rsidRPr="00EA361D" w:rsidR="00E061FB" w:rsidP="00E061FB" w:rsidRDefault="00E061FB" w14:paraId="436EA588" w14:textId="77777777">
      <w:pPr>
        <w:spacing w:line="240" w:lineRule="auto"/>
      </w:pPr>
      <w:r w:rsidRPr="00C90986">
        <w:t xml:space="preserve">De Roemeense autoriteiten hebben recent een aantal documenten vrijgegeven waaruit blijkt dat de presidentsverkiezingen via sociale media (met name </w:t>
      </w:r>
      <w:proofErr w:type="spellStart"/>
      <w:r w:rsidRPr="00C90986">
        <w:t>TikTok</w:t>
      </w:r>
      <w:proofErr w:type="spellEnd"/>
      <w:r w:rsidRPr="00C90986">
        <w:t xml:space="preserve">) en </w:t>
      </w:r>
      <w:r>
        <w:t xml:space="preserve">via </w:t>
      </w:r>
      <w:r w:rsidRPr="00C90986">
        <w:t>een reeks cyberaanvallen zijn beïnvloed.</w:t>
      </w:r>
      <w:r w:rsidRPr="00C90986">
        <w:rPr>
          <w:rStyle w:val="Voetnootmarkering"/>
        </w:rPr>
        <w:footnoteReference w:id="5"/>
      </w:r>
      <w:r w:rsidRPr="00C90986">
        <w:t xml:space="preserve"> Deze b</w:t>
      </w:r>
      <w:r>
        <w:t>evindingen</w:t>
      </w:r>
      <w:r w:rsidRPr="00C90986">
        <w:t xml:space="preserve"> sluiten aan bij </w:t>
      </w:r>
      <w:r>
        <w:t>de dreiging</w:t>
      </w:r>
      <w:r w:rsidRPr="00C90986">
        <w:t xml:space="preserve"> waar de Nederlandse inlichtingen</w:t>
      </w:r>
      <w:r>
        <w:t>- en veiligheids</w:t>
      </w:r>
      <w:r w:rsidRPr="00C90986">
        <w:t>diensten al langere tijd voor waarschuwen.</w:t>
      </w:r>
    </w:p>
    <w:p w:rsidRPr="00EA361D" w:rsidR="00E061FB" w:rsidP="00E061FB" w:rsidRDefault="00E061FB" w14:paraId="1EE0BDFD" w14:textId="77777777">
      <w:pPr>
        <w:spacing w:line="240" w:lineRule="auto"/>
      </w:pPr>
      <w:r w:rsidRPr="00C90986">
        <w:lastRenderedPageBreak/>
        <w:t xml:space="preserve">Deze voorbeelden uit het buitenland tonen dat wij waakzaam moeten blijven. Het kabinet zet daarom, onder </w:t>
      </w:r>
      <w:r>
        <w:t xml:space="preserve">mijn </w:t>
      </w:r>
      <w:r w:rsidRPr="00C90986">
        <w:t xml:space="preserve">coördinatie, in op het versterken van onze democratische rechtsstaat, waarbij we aandacht hebben </w:t>
      </w:r>
      <w:r>
        <w:t>v</w:t>
      </w:r>
      <w:r w:rsidRPr="00C90986">
        <w:t xml:space="preserve">oor </w:t>
      </w:r>
      <w:r>
        <w:t>ongewenste buitenlandse beïnvloeding</w:t>
      </w:r>
      <w:r w:rsidRPr="00C90986">
        <w:t>.</w:t>
      </w:r>
      <w:r>
        <w:t xml:space="preserve"> </w:t>
      </w:r>
      <w:r w:rsidRPr="00776750">
        <w:t>Hier dragen veel mensen en organisaties een verantwoordelijkheid</w:t>
      </w:r>
      <w:r>
        <w:t>. W</w:t>
      </w:r>
      <w:r w:rsidRPr="00776750">
        <w:t>e moeten ons voortdurend inzetten om gezamenlijk inhoud en waarborging te geven aan de democratie.</w:t>
      </w:r>
      <w:r>
        <w:t xml:space="preserve"> </w:t>
      </w:r>
      <w:r w:rsidRPr="00C90986">
        <w:t>Daarnaast heeft het kabinet ook aandacht voor de</w:t>
      </w:r>
      <w:r>
        <w:t>ze</w:t>
      </w:r>
      <w:r w:rsidRPr="00C90986">
        <w:t xml:space="preserve"> risico’s voor de democratische rechtsstaat binnen de aanpak statelijke dreigingen. In deze aanpak</w:t>
      </w:r>
      <w:r w:rsidRPr="00C90986">
        <w:rPr>
          <w:bCs/>
        </w:rPr>
        <w:t xml:space="preserve"> richt het kabinet zich, onder coördinatie van de </w:t>
      </w:r>
      <w:r>
        <w:rPr>
          <w:bCs/>
        </w:rPr>
        <w:t>minister van Justitie en Veiligheid</w:t>
      </w:r>
      <w:r w:rsidRPr="00C90986">
        <w:rPr>
          <w:bCs/>
        </w:rPr>
        <w:t xml:space="preserve">, naast het detecteren van de dreiging ook op het voorkomen van kwetsbaarheden en het waar nodig </w:t>
      </w:r>
      <w:r>
        <w:rPr>
          <w:bCs/>
        </w:rPr>
        <w:t xml:space="preserve">het </w:t>
      </w:r>
      <w:r w:rsidRPr="00C90986">
        <w:rPr>
          <w:bCs/>
        </w:rPr>
        <w:t>voorzien in een gecoördineerde reactie.</w:t>
      </w:r>
    </w:p>
    <w:p w:rsidRPr="00EA361D" w:rsidR="00E061FB" w:rsidP="00E061FB" w:rsidRDefault="00E061FB" w14:paraId="2D512F8F" w14:textId="77777777">
      <w:pPr>
        <w:spacing w:line="240" w:lineRule="auto"/>
      </w:pPr>
      <w:r w:rsidRPr="00EA361D">
        <w:rPr>
          <w:b/>
          <w:bCs/>
        </w:rPr>
        <w:t xml:space="preserve">Inzet weerbare democratie </w:t>
      </w:r>
    </w:p>
    <w:p w:rsidRPr="00EA361D" w:rsidR="00E061FB" w:rsidP="00E061FB" w:rsidRDefault="00E061FB" w14:paraId="1E9A5878" w14:textId="77777777">
      <w:pPr>
        <w:spacing w:line="240" w:lineRule="auto"/>
      </w:pPr>
      <w:r w:rsidRPr="00EA361D">
        <w:rPr>
          <w:rFonts w:eastAsia="Times New Roman"/>
        </w:rPr>
        <w:t xml:space="preserve">Het is belangrijk dat iedereen kan deelnemen aan onze democratie. Dit kan door </w:t>
      </w:r>
      <w:r>
        <w:rPr>
          <w:rFonts w:eastAsia="Times New Roman"/>
        </w:rPr>
        <w:t xml:space="preserve">actief deel te nemen aan het publieke debat, of het </w:t>
      </w:r>
      <w:r w:rsidRPr="00EA361D">
        <w:rPr>
          <w:rFonts w:eastAsia="Times New Roman"/>
        </w:rPr>
        <w:t xml:space="preserve">voeren van een politieke campagne over onderwerpen die belangrijk zijn voor inwoners en hun vertegenwoordigers in het parlement. </w:t>
      </w:r>
      <w:r>
        <w:rPr>
          <w:rFonts w:eastAsia="Times New Roman"/>
        </w:rPr>
        <w:t>Dergelijke campagnes kunnen echter ook doelwit zijn van buitenlandse actoren, met als doel om de uitslag van verkiezingen of het publieke debat te beïnvloeden. Het kabinet heeft speciale aandacht voor de ondermijnende impact van dergelijke vormen van ongewenste inmenging van de democratische rechtsorde.</w:t>
      </w:r>
      <w:r w:rsidRPr="00EA361D">
        <w:rPr>
          <w:rStyle w:val="Voetnootmarkering"/>
          <w:rFonts w:eastAsia="Times New Roman"/>
        </w:rPr>
        <w:footnoteReference w:id="6"/>
      </w:r>
      <w:r>
        <w:rPr>
          <w:rFonts w:eastAsia="Times New Roman"/>
        </w:rPr>
        <w:t xml:space="preserve"> Daarom neemt het kabinet maatregelen om de verkiezingen weerbaar te houden en politieke campagnes transparant plaats te laten vinden. Hierbij vind ik het </w:t>
      </w:r>
      <w:r w:rsidRPr="00EA361D">
        <w:rPr>
          <w:rFonts w:eastAsia="Times New Roman"/>
        </w:rPr>
        <w:t xml:space="preserve">van belang dat </w:t>
      </w:r>
      <w:r>
        <w:rPr>
          <w:rFonts w:eastAsia="Times New Roman"/>
        </w:rPr>
        <w:t>burgers</w:t>
      </w:r>
      <w:r w:rsidRPr="00EA361D">
        <w:rPr>
          <w:rFonts w:eastAsia="Times New Roman"/>
        </w:rPr>
        <w:t>, maar ook parlementsleden, weten wie</w:t>
      </w:r>
      <w:r>
        <w:rPr>
          <w:rFonts w:eastAsia="Times New Roman"/>
        </w:rPr>
        <w:t xml:space="preserve"> </w:t>
      </w:r>
      <w:r w:rsidRPr="00EA361D">
        <w:rPr>
          <w:rFonts w:eastAsia="Times New Roman"/>
        </w:rPr>
        <w:t>achter een</w:t>
      </w:r>
      <w:r>
        <w:rPr>
          <w:rFonts w:eastAsia="Times New Roman"/>
        </w:rPr>
        <w:t xml:space="preserve"> politieke</w:t>
      </w:r>
      <w:r w:rsidRPr="00EA361D">
        <w:rPr>
          <w:rFonts w:eastAsia="Times New Roman"/>
        </w:rPr>
        <w:t xml:space="preserve"> boodschap zit.</w:t>
      </w:r>
    </w:p>
    <w:p w:rsidRPr="00EA361D" w:rsidR="00E061FB" w:rsidP="00E061FB" w:rsidRDefault="00E061FB" w14:paraId="263C24DE" w14:textId="77777777">
      <w:pPr>
        <w:spacing w:line="240" w:lineRule="auto"/>
        <w:rPr>
          <w:bCs/>
          <w:i/>
          <w:iCs/>
        </w:rPr>
      </w:pPr>
      <w:r>
        <w:rPr>
          <w:bCs/>
          <w:i/>
          <w:iCs/>
        </w:rPr>
        <w:t>Nationale m</w:t>
      </w:r>
      <w:r w:rsidRPr="00EA361D">
        <w:rPr>
          <w:bCs/>
          <w:i/>
          <w:iCs/>
        </w:rPr>
        <w:t>aatregelen weerbare verkiezingen</w:t>
      </w:r>
    </w:p>
    <w:p w:rsidRPr="00EA361D" w:rsidR="00E061FB" w:rsidP="00E061FB" w:rsidRDefault="00E061FB" w14:paraId="6C5F1B42" w14:textId="77777777">
      <w:pPr>
        <w:spacing w:line="240" w:lineRule="auto"/>
        <w:rPr>
          <w:rFonts w:eastAsia="Times New Roman"/>
          <w:bCs/>
        </w:rPr>
      </w:pPr>
      <w:r w:rsidRPr="00EA361D">
        <w:rPr>
          <w:rFonts w:eastAsia="Times New Roman"/>
        </w:rPr>
        <w:t>Het verkiezingsproces in Nederland is transparant en controleerbaar, waardoor het weerbaar is tegen (digitale) dreigingen. Bijvoorbeeld door het handmatig invullen van de papieren stembiljetten, het handmatig en in de openbaarheid tellen van de stemmen en het vastleggen van de uitslag in een papieren proces-verbaal. Ook bij de vaststelling van de verkiezingsuitslag met behulp van de optelsoftware Ondersteunende Software Verkiezingen (OSV2020) zijn verschillende waarborgen en controlemomenten ingebouwd.</w:t>
      </w:r>
      <w:r w:rsidRPr="00EA361D">
        <w:rPr>
          <w:rFonts w:eastAsia="Times New Roman"/>
          <w:vertAlign w:val="superscript"/>
        </w:rPr>
        <w:footnoteReference w:id="7"/>
      </w:r>
      <w:r w:rsidRPr="00EA361D">
        <w:rPr>
          <w:rFonts w:eastAsia="Times New Roman"/>
        </w:rPr>
        <w:t xml:space="preserve"> </w:t>
      </w:r>
      <w:r w:rsidRPr="00EA361D">
        <w:rPr>
          <w:bCs/>
        </w:rPr>
        <w:t>Ook werkt het kabinet middels de Verkiezingsagenda 2030 voortdurend aan de robuustheid van het Nederlandse verkiezingsproces.</w:t>
      </w:r>
      <w:r w:rsidRPr="00EA361D">
        <w:rPr>
          <w:rStyle w:val="Voetnootmarkering"/>
          <w:bCs/>
        </w:rPr>
        <w:footnoteReference w:id="8"/>
      </w:r>
      <w:r w:rsidRPr="00EA361D">
        <w:rPr>
          <w:rFonts w:ascii="Times New Roman" w:hAnsi="Times New Roman" w:cs="Times New Roman"/>
        </w:rPr>
        <w:t xml:space="preserve"> </w:t>
      </w:r>
    </w:p>
    <w:p w:rsidRPr="00EA361D" w:rsidR="00E061FB" w:rsidP="00E061FB" w:rsidRDefault="00E061FB" w14:paraId="47D83FEA" w14:textId="77777777">
      <w:pPr>
        <w:spacing w:line="240" w:lineRule="auto"/>
        <w:rPr>
          <w:rFonts w:eastAsia="Times New Roman"/>
        </w:rPr>
      </w:pPr>
      <w:r w:rsidRPr="00EA361D">
        <w:rPr>
          <w:rFonts w:eastAsia="Times New Roman"/>
        </w:rPr>
        <w:t>Het ministerie van BZK neemt tijdens de organisatie van iedere verkiezing maatregelen om de samenleving, burgers en organisaties voor te bereiden op mogelijke risico’s, waaronder ongewenste inmenging.</w:t>
      </w:r>
      <w:r>
        <w:rPr>
          <w:rFonts w:eastAsia="Times New Roman"/>
        </w:rPr>
        <w:t xml:space="preserve"> </w:t>
      </w:r>
      <w:r w:rsidRPr="00132772">
        <w:rPr>
          <w:rFonts w:eastAsia="Times New Roman"/>
        </w:rPr>
        <w:t xml:space="preserve">Dit betreft onder andere de organisatie van </w:t>
      </w:r>
      <w:r w:rsidRPr="00132772">
        <w:rPr>
          <w:bCs/>
        </w:rPr>
        <w:t xml:space="preserve">verkiezingstafels voor vertegenwoordigers van de gemeenten, </w:t>
      </w:r>
      <w:r w:rsidRPr="00132772">
        <w:rPr>
          <w:bCs/>
        </w:rPr>
        <w:lastRenderedPageBreak/>
        <w:t xml:space="preserve">de Kiesraad en alle veiligheidspartners. Aan deze tafels worden mogelijke risico’s besproken die ondermijnend zijn voor het verkiezingsproces. Ook organiseert het ministerie </w:t>
      </w:r>
      <w:proofErr w:type="spellStart"/>
      <w:r w:rsidRPr="00132772">
        <w:rPr>
          <w:bCs/>
        </w:rPr>
        <w:t>webinar</w:t>
      </w:r>
      <w:r>
        <w:rPr>
          <w:bCs/>
        </w:rPr>
        <w:t>s</w:t>
      </w:r>
      <w:proofErr w:type="spellEnd"/>
      <w:r w:rsidRPr="00132772">
        <w:rPr>
          <w:bCs/>
        </w:rPr>
        <w:t xml:space="preserve"> voor gemeenteambtenaren om hen te informeren over, en voor te bereiden op, veiligheidsrisico’s rondom de verkiezingen</w:t>
      </w:r>
      <w:r w:rsidRPr="00EA361D">
        <w:rPr>
          <w:rFonts w:eastAsia="Times New Roman"/>
        </w:rPr>
        <w:t>.</w:t>
      </w:r>
      <w:r w:rsidRPr="00EA361D">
        <w:rPr>
          <w:rStyle w:val="Voetnootmarkering"/>
          <w:rFonts w:eastAsia="Times New Roman"/>
        </w:rPr>
        <w:footnoteReference w:id="9"/>
      </w:r>
    </w:p>
    <w:p w:rsidRPr="00EA361D" w:rsidR="00E061FB" w:rsidP="00E061FB" w:rsidRDefault="00E061FB" w14:paraId="26B8055D" w14:textId="77777777">
      <w:pPr>
        <w:spacing w:line="240" w:lineRule="auto"/>
        <w:rPr>
          <w:bCs/>
        </w:rPr>
      </w:pPr>
      <w:r w:rsidRPr="00EA361D">
        <w:rPr>
          <w:rFonts w:eastAsia="Times New Roman"/>
        </w:rPr>
        <w:t>In de evaluatie van de Europees Parlementsverkiezing van 6 juni 2024 is uw Kamer op 6 december 2024 geïnformeerd dat er geen aanwijzingen zijn dat grootschalige beïnvloeding van de verkiezingen binnen Nederland heeft plaatsgevonden.</w:t>
      </w:r>
      <w:r w:rsidRPr="00EA361D">
        <w:rPr>
          <w:rStyle w:val="Voetnootmarkering"/>
          <w:rFonts w:eastAsia="Times New Roman"/>
        </w:rPr>
        <w:footnoteReference w:id="10"/>
      </w:r>
      <w:r w:rsidRPr="00EA361D">
        <w:rPr>
          <w:rFonts w:eastAsia="Times New Roman"/>
        </w:rPr>
        <w:t xml:space="preserve"> Echter, we moeten waakzaam blijven.</w:t>
      </w:r>
    </w:p>
    <w:p w:rsidRPr="00C90986" w:rsidR="00E061FB" w:rsidP="00E061FB" w:rsidRDefault="00E061FB" w14:paraId="65F4D692" w14:textId="77777777">
      <w:pPr>
        <w:rPr>
          <w:bCs/>
          <w:i/>
          <w:iCs/>
        </w:rPr>
      </w:pPr>
      <w:r w:rsidRPr="00C90986">
        <w:rPr>
          <w:bCs/>
          <w:i/>
          <w:iCs/>
        </w:rPr>
        <w:t>Europese maatregelen weerbare verkiezingen</w:t>
      </w:r>
    </w:p>
    <w:p w:rsidR="00E061FB" w:rsidP="00E061FB" w:rsidRDefault="00E061FB" w14:paraId="7CD87E92" w14:textId="77777777">
      <w:pPr>
        <w:rPr>
          <w:bCs/>
        </w:rPr>
      </w:pPr>
      <w:r w:rsidRPr="00EA361D">
        <w:rPr>
          <w:bCs/>
        </w:rPr>
        <w:t>De</w:t>
      </w:r>
      <w:r>
        <w:rPr>
          <w:bCs/>
        </w:rPr>
        <w:t xml:space="preserve"> Europese</w:t>
      </w:r>
      <w:r w:rsidRPr="001A1369">
        <w:rPr>
          <w:bCs/>
        </w:rPr>
        <w:t xml:space="preserve"> </w:t>
      </w:r>
      <w:proofErr w:type="spellStart"/>
      <w:r>
        <w:rPr>
          <w:bCs/>
        </w:rPr>
        <w:t>D</w:t>
      </w:r>
      <w:r w:rsidRPr="001A1369">
        <w:rPr>
          <w:bCs/>
        </w:rPr>
        <w:t>igitaledienstenverordening</w:t>
      </w:r>
      <w:proofErr w:type="spellEnd"/>
      <w:r w:rsidRPr="001A1369">
        <w:rPr>
          <w:bCs/>
        </w:rPr>
        <w:t xml:space="preserve"> (DSA)</w:t>
      </w:r>
      <w:r w:rsidRPr="00EA361D">
        <w:rPr>
          <w:bCs/>
        </w:rPr>
        <w:t xml:space="preserve"> verplicht zeer grote online platformen</w:t>
      </w:r>
      <w:r>
        <w:rPr>
          <w:bCs/>
        </w:rPr>
        <w:t xml:space="preserve"> en zoekmachines (</w:t>
      </w:r>
      <w:proofErr w:type="spellStart"/>
      <w:r>
        <w:rPr>
          <w:bCs/>
        </w:rPr>
        <w:t>VLOPSEs</w:t>
      </w:r>
      <w:proofErr w:type="spellEnd"/>
      <w:r>
        <w:rPr>
          <w:bCs/>
        </w:rPr>
        <w:t>)</w:t>
      </w:r>
      <w:r w:rsidRPr="00EA361D">
        <w:rPr>
          <w:bCs/>
        </w:rPr>
        <w:t xml:space="preserve">, </w:t>
      </w:r>
      <w:r>
        <w:rPr>
          <w:bCs/>
        </w:rPr>
        <w:t xml:space="preserve">waaronder </w:t>
      </w:r>
      <w:proofErr w:type="spellStart"/>
      <w:r w:rsidRPr="00EA361D">
        <w:rPr>
          <w:bCs/>
        </w:rPr>
        <w:t>TikTok</w:t>
      </w:r>
      <w:proofErr w:type="spellEnd"/>
      <w:r w:rsidRPr="00EA361D">
        <w:rPr>
          <w:bCs/>
        </w:rPr>
        <w:t xml:space="preserve">, om maatregelen te nemen tegen systeemrisico’s die volgen uit de inrichting van hun diensten. Dit betreft ook risico’s rond verkiezingsprocessen. Om platformen te ondersteunen bij het ontwikkelen van deze maatregelen heeft de Europese Commissie in maart </w:t>
      </w:r>
      <w:r>
        <w:rPr>
          <w:bCs/>
        </w:rPr>
        <w:t xml:space="preserve">jl. </w:t>
      </w:r>
      <w:r w:rsidRPr="00EA361D">
        <w:rPr>
          <w:bCs/>
        </w:rPr>
        <w:t>richtsnoeren gepubliceerd.</w:t>
      </w:r>
      <w:r w:rsidRPr="00EA361D">
        <w:rPr>
          <w:rStyle w:val="Voetnootmarkering"/>
          <w:bCs/>
        </w:rPr>
        <w:footnoteReference w:id="11"/>
      </w:r>
      <w:r w:rsidRPr="00EA361D">
        <w:rPr>
          <w:bCs/>
        </w:rPr>
        <w:t xml:space="preserve"> </w:t>
      </w:r>
    </w:p>
    <w:p w:rsidR="00E061FB" w:rsidP="00E061FB" w:rsidRDefault="00E061FB" w14:paraId="7ED0025F" w14:textId="77777777">
      <w:r>
        <w:rPr>
          <w:bCs/>
        </w:rPr>
        <w:t xml:space="preserve">Voor het toezicht op en handhaving van de verplichtingen die enkel gelden voor </w:t>
      </w:r>
      <w:proofErr w:type="spellStart"/>
      <w:r>
        <w:rPr>
          <w:bCs/>
        </w:rPr>
        <w:t>VLOPSEs</w:t>
      </w:r>
      <w:proofErr w:type="spellEnd"/>
      <w:r>
        <w:rPr>
          <w:bCs/>
        </w:rPr>
        <w:t xml:space="preserve"> is de Europese Commissie exclusief bevoegd. De Commissie pakt deze rol voortvarend op. Zo is de Commissie n</w:t>
      </w:r>
      <w:r w:rsidRPr="00EA361D">
        <w:rPr>
          <w:bCs/>
        </w:rPr>
        <w:t xml:space="preserve">aar aanleiding van de verkiezingsinmenging in Roemenië op 17 december 2024 een formele procedure gestart tegen </w:t>
      </w:r>
      <w:proofErr w:type="spellStart"/>
      <w:r w:rsidRPr="00EA361D">
        <w:rPr>
          <w:bCs/>
        </w:rPr>
        <w:t>TikTok</w:t>
      </w:r>
      <w:proofErr w:type="spellEnd"/>
      <w:r w:rsidRPr="00EA361D">
        <w:rPr>
          <w:bCs/>
        </w:rPr>
        <w:t xml:space="preserve"> in verband met diens verplichtingen om systeemrisico's in verband met verkiezingsintegriteit naar behoren te beoordelen en te beperken.</w:t>
      </w:r>
      <w:r w:rsidRPr="00EA361D">
        <w:rPr>
          <w:rStyle w:val="Voetnootmarkering"/>
          <w:bCs/>
        </w:rPr>
        <w:footnoteReference w:id="12"/>
      </w:r>
      <w:r w:rsidRPr="00EA361D">
        <w:rPr>
          <w:bCs/>
        </w:rPr>
        <w:t xml:space="preserve"> </w:t>
      </w:r>
      <w:r w:rsidRPr="000217B5">
        <w:t>De Commissie kan als resultaat van een formele procedure een besluit nemen over niet-naleving</w:t>
      </w:r>
      <w:r>
        <w:t xml:space="preserve"> en overgaan tot</w:t>
      </w:r>
      <w:r w:rsidRPr="000217B5">
        <w:t xml:space="preserve"> het opleggen van boetes, of het opleggen van dwangsommen. Voordat een besluit wordt vastgesteld, krijgen de betrokken </w:t>
      </w:r>
      <w:proofErr w:type="spellStart"/>
      <w:r w:rsidRPr="000217B5">
        <w:t>VLOPSEs</w:t>
      </w:r>
      <w:proofErr w:type="spellEnd"/>
      <w:r w:rsidRPr="000217B5">
        <w:t xml:space="preserve"> de kans om </w:t>
      </w:r>
      <w:r>
        <w:t>weerwoord te bieden</w:t>
      </w:r>
      <w:r w:rsidRPr="000217B5">
        <w:t xml:space="preserve"> </w:t>
      </w:r>
      <w:r>
        <w:t>op</w:t>
      </w:r>
      <w:r w:rsidRPr="000217B5">
        <w:t xml:space="preserve"> de voorlopige bevindingen en de maatregelen</w:t>
      </w:r>
      <w:r>
        <w:t xml:space="preserve"> die de Commissie voornemens is om te nemen</w:t>
      </w:r>
      <w:r w:rsidRPr="000217B5">
        <w:t xml:space="preserve">. </w:t>
      </w:r>
      <w:r>
        <w:t>Het kabinet zal de uitkomsten van het onderzoek van de Commissie en eventuele vervolgstappen nauwgezet volgen.</w:t>
      </w:r>
    </w:p>
    <w:p w:rsidRPr="00EA361D" w:rsidR="00E061FB" w:rsidP="00E061FB" w:rsidRDefault="00E061FB" w14:paraId="1E9E495E" w14:textId="77777777">
      <w:pPr>
        <w:spacing w:line="240" w:lineRule="auto"/>
        <w:rPr>
          <w:i/>
          <w:iCs/>
        </w:rPr>
      </w:pPr>
      <w:r w:rsidRPr="00EA361D">
        <w:rPr>
          <w:i/>
          <w:iCs/>
        </w:rPr>
        <w:t>Maatregelen financiering politieke partijen</w:t>
      </w:r>
    </w:p>
    <w:p w:rsidRPr="00EA361D" w:rsidR="00E061FB" w:rsidP="00E061FB" w:rsidRDefault="00E061FB" w14:paraId="39715658" w14:textId="77777777">
      <w:pPr>
        <w:spacing w:line="240" w:lineRule="auto"/>
      </w:pPr>
      <w:r w:rsidRPr="00EA361D">
        <w:t>Het lid Dassen (Volt) heeft gevraagd in te gaan op een artikel in het NRC</w:t>
      </w:r>
      <w:r w:rsidRPr="00EA361D">
        <w:rPr>
          <w:rStyle w:val="Voetnootmarkering"/>
        </w:rPr>
        <w:footnoteReference w:id="13"/>
      </w:r>
      <w:r w:rsidRPr="00EA361D">
        <w:t xml:space="preserve"> waarin staat dat de directeur van Forum </w:t>
      </w:r>
      <w:proofErr w:type="spellStart"/>
      <w:r w:rsidRPr="00EA361D">
        <w:t>for</w:t>
      </w:r>
      <w:proofErr w:type="spellEnd"/>
      <w:r w:rsidRPr="00EA361D">
        <w:t xml:space="preserve"> </w:t>
      </w:r>
      <w:proofErr w:type="spellStart"/>
      <w:r w:rsidRPr="00EA361D">
        <w:t>Democracy</w:t>
      </w:r>
      <w:proofErr w:type="spellEnd"/>
      <w:r w:rsidRPr="00EA361D">
        <w:t xml:space="preserve"> International een congres heeft bezocht dat werd georganiseerd door Verenigd Rusland.</w:t>
      </w:r>
    </w:p>
    <w:p w:rsidRPr="00EA361D" w:rsidR="00E061FB" w:rsidP="00E061FB" w:rsidRDefault="00E061FB" w14:paraId="3E8C033D" w14:textId="77777777">
      <w:pPr>
        <w:spacing w:line="240" w:lineRule="auto"/>
      </w:pPr>
      <w:r w:rsidRPr="00EA361D">
        <w:lastRenderedPageBreak/>
        <w:t xml:space="preserve">Het kabinet hanteert als uitgangspunt dat het andere landen vrij staat om banden te onderhouden met personen die in Nederland wonen of gelieerd zijn aan Nederlandse politieke partijen, mits dat gebeurt op basis van vrijwilligheid en zolang dit past binnen de grenzen van onze rechtsstaat en dit transparant en in de openheid gebeurt. Het </w:t>
      </w:r>
      <w:r>
        <w:t>is</w:t>
      </w:r>
      <w:r w:rsidRPr="00EA361D">
        <w:t xml:space="preserve"> primair de verantwoordelijkheid van politieke partijen </w:t>
      </w:r>
      <w:r>
        <w:t xml:space="preserve">om </w:t>
      </w:r>
      <w:r w:rsidRPr="00EA361D">
        <w:t xml:space="preserve">zelf verantwoording </w:t>
      </w:r>
      <w:r>
        <w:t xml:space="preserve">af te leggen </w:t>
      </w:r>
      <w:r w:rsidRPr="00EA361D">
        <w:t xml:space="preserve">aan het publiek over hun handelen. Wel dienen zij </w:t>
      </w:r>
      <w:r>
        <w:t xml:space="preserve">als </w:t>
      </w:r>
      <w:r w:rsidRPr="00EA361D">
        <w:t>vanzelfsprekend te opereren binnen kaders van de wet, en in het bijzonder de Wet financiering politieke partijen (</w:t>
      </w:r>
      <w:proofErr w:type="spellStart"/>
      <w:r w:rsidRPr="00EA361D">
        <w:t>Wfpp</w:t>
      </w:r>
      <w:proofErr w:type="spellEnd"/>
      <w:r w:rsidRPr="00EA361D">
        <w:t xml:space="preserve">). Hieronder vallen transparantieverplichtingen en een verbod op giften van niet-Nederlanders. Indien een politieke partij in strijd handelt met de </w:t>
      </w:r>
      <w:proofErr w:type="spellStart"/>
      <w:r w:rsidRPr="00EA361D">
        <w:t>Wfpp</w:t>
      </w:r>
      <w:proofErr w:type="spellEnd"/>
      <w:r w:rsidRPr="00EA361D">
        <w:t xml:space="preserve"> </w:t>
      </w:r>
      <w:r>
        <w:t>ben ik</w:t>
      </w:r>
      <w:r w:rsidRPr="00EA361D">
        <w:t xml:space="preserve"> bevoegd tot het opleggen van een bestuurlijke boete. Daarnaast ontvangen politieke partijen en neveninstellingen ook subsidie</w:t>
      </w:r>
      <w:r>
        <w:t xml:space="preserve"> op basis van de </w:t>
      </w:r>
      <w:proofErr w:type="spellStart"/>
      <w:r>
        <w:t>Wfpp</w:t>
      </w:r>
      <w:proofErr w:type="spellEnd"/>
      <w:r w:rsidRPr="00EA361D">
        <w:t xml:space="preserve">. Hierbij geldt dat politieke partijen </w:t>
      </w:r>
      <w:r>
        <w:t xml:space="preserve">en neveninstellingen </w:t>
      </w:r>
      <w:r w:rsidRPr="00EA361D">
        <w:t xml:space="preserve">vrij zijn om deze subsidie te besteden zolang de uitgaven passen binnen de wettelijke doelen die zijn vastgelegd in de </w:t>
      </w:r>
      <w:proofErr w:type="spellStart"/>
      <w:r w:rsidRPr="00EA361D">
        <w:t>Wfpp</w:t>
      </w:r>
      <w:proofErr w:type="spellEnd"/>
      <w:r>
        <w:t xml:space="preserve"> </w:t>
      </w:r>
      <w:r w:rsidRPr="000E3D48">
        <w:t>of binnen de kaders zoals die zijn gesteld in het beleidskader van het NFRP Politieke Partijen Programma</w:t>
      </w:r>
      <w:r w:rsidRPr="00EA361D">
        <w:t>.</w:t>
      </w:r>
    </w:p>
    <w:p w:rsidRPr="00EA361D" w:rsidR="00E061FB" w:rsidP="00E061FB" w:rsidRDefault="00E061FB" w14:paraId="6B2E8654" w14:textId="77777777">
      <w:pPr>
        <w:spacing w:line="240" w:lineRule="auto"/>
        <w:rPr>
          <w:bCs/>
        </w:rPr>
      </w:pPr>
      <w:r w:rsidRPr="00EA361D">
        <w:rPr>
          <w:bCs/>
        </w:rPr>
        <w:t>Per oktober 2025 treedt ook de Europese verordening inzake transparantie en gerichte politieke reclames in werking.</w:t>
      </w:r>
      <w:r w:rsidRPr="00EA361D">
        <w:rPr>
          <w:rStyle w:val="Voetnootmarkering"/>
          <w:bCs/>
        </w:rPr>
        <w:footnoteReference w:id="14"/>
      </w:r>
      <w:r w:rsidRPr="00EA361D">
        <w:rPr>
          <w:bCs/>
        </w:rPr>
        <w:t xml:space="preserve"> Met deze verordening worden transparantie-eisen gesteld aan politieke reclames en ontstaat de verplichting om inzicht te geven in de manier waarop er gebruik is gemaakt van targeting. Het kabinet werkt op dit moment aan een bijbehorende uitvoeringswet.</w:t>
      </w:r>
    </w:p>
    <w:p w:rsidR="00021F9C" w:rsidRDefault="00021F9C" w14:paraId="10D231CA" w14:textId="77777777">
      <w:pPr>
        <w:rPr>
          <w:i/>
          <w:iCs/>
        </w:rPr>
      </w:pPr>
      <w:r>
        <w:rPr>
          <w:i/>
          <w:iCs/>
        </w:rPr>
        <w:br w:type="page"/>
      </w:r>
    </w:p>
    <w:p w:rsidRPr="00EA361D" w:rsidR="00E061FB" w:rsidP="00E061FB" w:rsidRDefault="00E061FB" w14:paraId="19EDF5FD" w14:textId="0DF87CA3">
      <w:pPr>
        <w:spacing w:line="240" w:lineRule="auto"/>
        <w:rPr>
          <w:i/>
          <w:iCs/>
        </w:rPr>
      </w:pPr>
      <w:r w:rsidRPr="00EA361D">
        <w:rPr>
          <w:i/>
          <w:iCs/>
        </w:rPr>
        <w:lastRenderedPageBreak/>
        <w:t xml:space="preserve">Nieuwe reeds aangekondigde maatregelen </w:t>
      </w:r>
    </w:p>
    <w:p w:rsidRPr="00EA361D" w:rsidR="00E061FB" w:rsidP="00E061FB" w:rsidRDefault="00E061FB" w14:paraId="5902B7DC" w14:textId="4B01561A">
      <w:pPr>
        <w:spacing w:line="240" w:lineRule="auto"/>
      </w:pPr>
      <w:r w:rsidRPr="00EA361D">
        <w:t xml:space="preserve">Het kabinet </w:t>
      </w:r>
      <w:r>
        <w:t>volgt de (geopolitieke) ontwikkelingen nauwgezet</w:t>
      </w:r>
      <w:r w:rsidRPr="00EA361D">
        <w:t xml:space="preserve"> </w:t>
      </w:r>
      <w:r>
        <w:t>en neemt waar nodig aanvullende</w:t>
      </w:r>
      <w:r w:rsidRPr="00EA361D">
        <w:t xml:space="preserve"> maatregelen om de democratie te beschermen</w:t>
      </w:r>
      <w:r>
        <w:t xml:space="preserve">. </w:t>
      </w:r>
      <w:r w:rsidRPr="00EA361D">
        <w:t xml:space="preserve">Zo is in de Voortgangsbrief </w:t>
      </w:r>
      <w:proofErr w:type="spellStart"/>
      <w:r w:rsidRPr="00EA361D">
        <w:t>Rijksbrede</w:t>
      </w:r>
      <w:proofErr w:type="spellEnd"/>
      <w:r w:rsidRPr="00EA361D">
        <w:t xml:space="preserve"> strategie voor de effectieve aanpak van desinformatie</w:t>
      </w:r>
      <w:r>
        <w:t xml:space="preserve"> (Kamerstuk 30281, nr. 230)</w:t>
      </w:r>
      <w:r w:rsidRPr="00EA361D">
        <w:t xml:space="preserve"> aangekondigd dat het kabinet onderzoek doet naar de impact van desinformatie op de Nederlandse samenleving en de gevolgen van nieuwe technologieën. Dit onderzoek is inmiddels gestart en loopt tot 1 september 2</w:t>
      </w:r>
      <w:r w:rsidRPr="006617A4">
        <w:t>026. Uw Kamer is hier op 10 januari jl. over geïnformeerd.</w:t>
      </w:r>
      <w:r w:rsidRPr="006617A4">
        <w:rPr>
          <w:rStyle w:val="Voetnootmarkering"/>
        </w:rPr>
        <w:footnoteReference w:id="15"/>
      </w:r>
      <w:r w:rsidRPr="00EA361D">
        <w:t xml:space="preserve"> </w:t>
      </w:r>
    </w:p>
    <w:p w:rsidRPr="00EA361D" w:rsidR="00E061FB" w:rsidP="00E061FB" w:rsidRDefault="00E061FB" w14:paraId="3833A26E" w14:textId="77777777">
      <w:pPr>
        <w:spacing w:line="240" w:lineRule="auto"/>
        <w:jc w:val="both"/>
        <w:rPr>
          <w:rFonts w:cs="RijksoverheidSerif-Regular"/>
        </w:rPr>
      </w:pPr>
      <w:r w:rsidRPr="00EA361D">
        <w:rPr>
          <w:bCs/>
        </w:rPr>
        <w:t>Daarnaast is het</w:t>
      </w:r>
      <w:r w:rsidRPr="00EA361D">
        <w:t xml:space="preserve"> belang van het proactief tegengaan van </w:t>
      </w:r>
      <w:r>
        <w:t>ongewenste buitenlandse</w:t>
      </w:r>
      <w:r w:rsidRPr="00EA361D">
        <w:t xml:space="preserve"> </w:t>
      </w:r>
      <w:r>
        <w:t>beïnvloeding</w:t>
      </w:r>
      <w:r w:rsidRPr="00EA361D">
        <w:t xml:space="preserve"> in het licht van de veranderende geopolitieke situatie recent nogmaals onderschreven in de Kamerbrief Weerbaarheid tegen militaire en hybride dreigingen van 6 december jl.</w:t>
      </w:r>
      <w:r w:rsidRPr="00EA361D">
        <w:rPr>
          <w:rStyle w:val="Voetnootmarkering"/>
        </w:rPr>
        <w:footnoteReference w:id="16"/>
      </w:r>
      <w:r w:rsidRPr="00EA361D">
        <w:t xml:space="preserve"> </w:t>
      </w:r>
      <w:r w:rsidRPr="00EA361D">
        <w:rPr>
          <w:rFonts w:cs="RijksoverheidSerif-Regular"/>
        </w:rPr>
        <w:t>In 2025 volgt een aanvullende Kamerbrief met de concrete beleidsinzet om de weerbaarheid tegen dit type dreigingen te vergroten.</w:t>
      </w:r>
    </w:p>
    <w:p w:rsidRPr="00EA361D" w:rsidR="00E061FB" w:rsidP="00E061FB" w:rsidRDefault="00E061FB" w14:paraId="6CAF7BFA" w14:textId="77777777">
      <w:pPr>
        <w:spacing w:line="240" w:lineRule="auto"/>
      </w:pPr>
      <w:r>
        <w:t>H</w:t>
      </w:r>
      <w:r w:rsidRPr="00EA361D">
        <w:t xml:space="preserve">et kabinet </w:t>
      </w:r>
      <w:r>
        <w:t xml:space="preserve">ziet </w:t>
      </w:r>
      <w:r w:rsidRPr="00EA361D">
        <w:t xml:space="preserve">het beschermen van de democratische rechtsstaat tegen ongewenste </w:t>
      </w:r>
      <w:r>
        <w:t>buitenlandse beïnvloeding</w:t>
      </w:r>
      <w:r w:rsidRPr="00EA361D">
        <w:t xml:space="preserve"> als een gezamenlijke verantwoordelijkheid. Daarin werken we ook samen met andere landen en in het bijzonder de Europese Unie. De Europese Commissie heeft het initiatief gelanceerd voor het bouwen van een ‘</w:t>
      </w:r>
      <w:r w:rsidRPr="00EA361D">
        <w:rPr>
          <w:i/>
          <w:iCs/>
        </w:rPr>
        <w:t xml:space="preserve">European </w:t>
      </w:r>
      <w:proofErr w:type="spellStart"/>
      <w:r w:rsidRPr="00EA361D">
        <w:rPr>
          <w:i/>
          <w:iCs/>
        </w:rPr>
        <w:t>Democracy</w:t>
      </w:r>
      <w:proofErr w:type="spellEnd"/>
      <w:r w:rsidRPr="00EA361D">
        <w:rPr>
          <w:i/>
          <w:iCs/>
        </w:rPr>
        <w:t xml:space="preserve"> </w:t>
      </w:r>
      <w:proofErr w:type="spellStart"/>
      <w:r w:rsidRPr="00EA361D">
        <w:rPr>
          <w:i/>
          <w:iCs/>
        </w:rPr>
        <w:t>Shield</w:t>
      </w:r>
      <w:proofErr w:type="spellEnd"/>
      <w:r w:rsidRPr="00EA361D">
        <w:rPr>
          <w:i/>
          <w:iCs/>
        </w:rPr>
        <w:t>’</w:t>
      </w:r>
      <w:r w:rsidRPr="00EA361D">
        <w:t>. Nederland verwelkomt dit initiatief en zal zich inzetten voor het versterken van democratische weerbaarheid in de EU in deze uitdagende tijden.</w:t>
      </w:r>
    </w:p>
    <w:p w:rsidR="00E061FB" w:rsidP="00E061FB" w:rsidRDefault="00E061FB" w14:paraId="233426D9" w14:textId="77777777">
      <w:pPr>
        <w:spacing w:line="240" w:lineRule="auto"/>
      </w:pPr>
    </w:p>
    <w:p w:rsidRPr="00EA361D" w:rsidR="00E061FB" w:rsidP="00021F9C" w:rsidRDefault="00E061FB" w14:paraId="22C32495" w14:textId="77777777">
      <w:pPr>
        <w:pStyle w:val="Geenafstand"/>
      </w:pPr>
    </w:p>
    <w:p w:rsidR="00E061FB" w:rsidP="00021F9C" w:rsidRDefault="00E061FB" w14:paraId="335F2220" w14:textId="77777777">
      <w:pPr>
        <w:pStyle w:val="Geenafstand"/>
      </w:pPr>
      <w:r>
        <w:t xml:space="preserve">De minister van Binnenlandse Zaken en Koninkrijksrelaties, </w:t>
      </w:r>
    </w:p>
    <w:p w:rsidRPr="00EA361D" w:rsidR="00E061FB" w:rsidP="00021F9C" w:rsidRDefault="00E061FB" w14:paraId="7DCBF43A" w14:textId="77777777">
      <w:pPr>
        <w:pStyle w:val="Geenafstand"/>
      </w:pPr>
      <w:r>
        <w:t xml:space="preserve">J.J.M. </w:t>
      </w:r>
      <w:proofErr w:type="spellStart"/>
      <w:r>
        <w:t>Uitermark</w:t>
      </w:r>
      <w:proofErr w:type="spellEnd"/>
    </w:p>
    <w:p w:rsidR="0083434C" w:rsidP="00021F9C" w:rsidRDefault="0083434C" w14:paraId="146561B7" w14:textId="77777777">
      <w:pPr>
        <w:pStyle w:val="Geenafstand"/>
      </w:pPr>
    </w:p>
    <w:sectPr w:rsidR="0083434C" w:rsidSect="00E061F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500D0" w14:textId="77777777" w:rsidR="00E061FB" w:rsidRDefault="00E061FB" w:rsidP="00E061FB">
      <w:pPr>
        <w:spacing w:after="0" w:line="240" w:lineRule="auto"/>
      </w:pPr>
      <w:r>
        <w:separator/>
      </w:r>
    </w:p>
  </w:endnote>
  <w:endnote w:type="continuationSeparator" w:id="0">
    <w:p w14:paraId="4A31A570" w14:textId="77777777" w:rsidR="00E061FB" w:rsidRDefault="00E061FB" w:rsidP="00E0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rinda">
    <w:panose1 w:val="00000400000000000000"/>
    <w:charset w:val="00"/>
    <w:family w:val="swiss"/>
    <w:pitch w:val="variable"/>
    <w:sig w:usb0="00010003" w:usb1="00000000" w:usb2="00000000" w:usb3="00000000" w:csb0="00000001" w:csb1="00000000"/>
  </w:font>
  <w:font w:name="RijksoverheidSerif-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AADE" w14:textId="77777777" w:rsidR="00F73BF8" w:rsidRPr="00E061FB" w:rsidRDefault="00F73BF8" w:rsidP="00E061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2315D" w14:textId="77777777" w:rsidR="00F73BF8" w:rsidRPr="00E061FB" w:rsidRDefault="00F73BF8" w:rsidP="00E061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29621" w14:textId="77777777" w:rsidR="00F73BF8" w:rsidRPr="00E061FB" w:rsidRDefault="00F73BF8" w:rsidP="00E06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48B33" w14:textId="77777777" w:rsidR="00E061FB" w:rsidRDefault="00E061FB" w:rsidP="00E061FB">
      <w:pPr>
        <w:spacing w:after="0" w:line="240" w:lineRule="auto"/>
      </w:pPr>
      <w:r>
        <w:separator/>
      </w:r>
    </w:p>
  </w:footnote>
  <w:footnote w:type="continuationSeparator" w:id="0">
    <w:p w14:paraId="76C8883A" w14:textId="77777777" w:rsidR="00E061FB" w:rsidRDefault="00E061FB" w:rsidP="00E061FB">
      <w:pPr>
        <w:spacing w:after="0" w:line="240" w:lineRule="auto"/>
      </w:pPr>
      <w:r>
        <w:continuationSeparator/>
      </w:r>
    </w:p>
  </w:footnote>
  <w:footnote w:id="1">
    <w:p w14:paraId="333775C9" w14:textId="77777777" w:rsidR="00E061FB" w:rsidRPr="00760203" w:rsidRDefault="00E061FB" w:rsidP="00E061FB">
      <w:pPr>
        <w:pStyle w:val="Voetnoottekst"/>
        <w:rPr>
          <w:sz w:val="14"/>
          <w:szCs w:val="14"/>
        </w:rPr>
      </w:pPr>
      <w:r w:rsidRPr="00760203">
        <w:rPr>
          <w:rStyle w:val="Voetnootmarkering"/>
          <w:sz w:val="14"/>
          <w:szCs w:val="14"/>
        </w:rPr>
        <w:footnoteRef/>
      </w:r>
      <w:r w:rsidRPr="00760203">
        <w:rPr>
          <w:sz w:val="14"/>
          <w:szCs w:val="14"/>
        </w:rPr>
        <w:t xml:space="preserve"> </w:t>
      </w:r>
      <w:r>
        <w:rPr>
          <w:sz w:val="14"/>
          <w:szCs w:val="14"/>
        </w:rPr>
        <w:t xml:space="preserve">Verzoek TK. </w:t>
      </w:r>
      <w:r w:rsidRPr="00760203">
        <w:rPr>
          <w:sz w:val="14"/>
          <w:szCs w:val="14"/>
        </w:rPr>
        <w:t>Kenmerk: 2024Z21110/2024D49735</w:t>
      </w:r>
    </w:p>
  </w:footnote>
  <w:footnote w:id="2">
    <w:p w14:paraId="71AE6EC4" w14:textId="77777777" w:rsidR="00E061FB" w:rsidRPr="00760203" w:rsidRDefault="00E061FB" w:rsidP="00E061FB">
      <w:pPr>
        <w:pStyle w:val="Voetnoottekst"/>
        <w:rPr>
          <w:sz w:val="14"/>
          <w:szCs w:val="14"/>
        </w:rPr>
      </w:pPr>
      <w:r w:rsidRPr="00760203">
        <w:rPr>
          <w:rStyle w:val="Voetnootmarkering"/>
          <w:sz w:val="14"/>
          <w:szCs w:val="14"/>
        </w:rPr>
        <w:footnoteRef/>
      </w:r>
      <w:r w:rsidRPr="00760203">
        <w:rPr>
          <w:sz w:val="14"/>
          <w:szCs w:val="14"/>
        </w:rPr>
        <w:t xml:space="preserve"> </w:t>
      </w:r>
      <w:r>
        <w:rPr>
          <w:sz w:val="14"/>
          <w:szCs w:val="14"/>
        </w:rPr>
        <w:t xml:space="preserve">Verzoek TK. </w:t>
      </w:r>
      <w:r w:rsidRPr="00760203">
        <w:rPr>
          <w:sz w:val="14"/>
          <w:szCs w:val="14"/>
        </w:rPr>
        <w:t>Kenmerk: 2024Z21378</w:t>
      </w:r>
    </w:p>
  </w:footnote>
  <w:footnote w:id="3">
    <w:p w14:paraId="4BDC51BC" w14:textId="77777777" w:rsidR="00E061FB" w:rsidRPr="00760203" w:rsidRDefault="00E061FB" w:rsidP="00E061FB">
      <w:pPr>
        <w:pStyle w:val="Voetnoottekst"/>
        <w:rPr>
          <w:sz w:val="14"/>
          <w:szCs w:val="14"/>
        </w:rPr>
      </w:pPr>
      <w:r w:rsidRPr="00760203">
        <w:rPr>
          <w:rStyle w:val="Voetnootmarkering"/>
          <w:sz w:val="14"/>
          <w:szCs w:val="14"/>
        </w:rPr>
        <w:footnoteRef/>
      </w:r>
      <w:r w:rsidRPr="00760203">
        <w:rPr>
          <w:sz w:val="14"/>
          <w:szCs w:val="14"/>
        </w:rPr>
        <w:t xml:space="preserve"> </w:t>
      </w:r>
      <w:r w:rsidRPr="00234A9E">
        <w:rPr>
          <w:sz w:val="14"/>
          <w:szCs w:val="14"/>
        </w:rPr>
        <w:t>Kamerstukken II, 2024-2025, 29924, nr. 275, p. 5.</w:t>
      </w:r>
    </w:p>
  </w:footnote>
  <w:footnote w:id="4">
    <w:p w14:paraId="5E386EF0" w14:textId="77777777" w:rsidR="00E061FB" w:rsidRPr="00463680" w:rsidRDefault="00E061FB" w:rsidP="00E061FB">
      <w:pPr>
        <w:rPr>
          <w:sz w:val="14"/>
          <w:szCs w:val="14"/>
          <w:lang w:val="en-US"/>
        </w:rPr>
      </w:pPr>
      <w:r w:rsidRPr="00760203">
        <w:rPr>
          <w:rStyle w:val="Voetnootmarkering"/>
          <w:sz w:val="14"/>
          <w:szCs w:val="14"/>
        </w:rPr>
        <w:footnoteRef/>
      </w:r>
      <w:r w:rsidRPr="00463680">
        <w:rPr>
          <w:sz w:val="14"/>
          <w:szCs w:val="14"/>
          <w:lang w:val="en-US"/>
        </w:rPr>
        <w:t xml:space="preserve"> </w:t>
      </w:r>
      <w:proofErr w:type="spellStart"/>
      <w:r w:rsidRPr="00463680">
        <w:rPr>
          <w:sz w:val="14"/>
          <w:szCs w:val="14"/>
          <w:lang w:val="en-US"/>
        </w:rPr>
        <w:t>Kamerstukken</w:t>
      </w:r>
      <w:proofErr w:type="spellEnd"/>
      <w:r w:rsidRPr="00463680">
        <w:rPr>
          <w:sz w:val="14"/>
          <w:szCs w:val="14"/>
          <w:lang w:val="en-US"/>
        </w:rPr>
        <w:t xml:space="preserve"> II, 2023-2024, 30 821, nr. 208.</w:t>
      </w:r>
    </w:p>
  </w:footnote>
  <w:footnote w:id="5">
    <w:p w14:paraId="3604DEA1" w14:textId="77777777" w:rsidR="00E061FB" w:rsidRPr="00760203" w:rsidRDefault="00E061FB" w:rsidP="00E061FB">
      <w:pPr>
        <w:pStyle w:val="Voetnoottekst"/>
        <w:rPr>
          <w:sz w:val="14"/>
          <w:szCs w:val="14"/>
          <w:lang w:val="en-GB"/>
        </w:rPr>
      </w:pPr>
      <w:bookmarkStart w:id="0" w:name="_Hlk186713259"/>
      <w:r w:rsidRPr="00760203">
        <w:rPr>
          <w:rStyle w:val="Voetnootmarkering"/>
          <w:sz w:val="14"/>
          <w:szCs w:val="14"/>
        </w:rPr>
        <w:footnoteRef/>
      </w:r>
      <w:r w:rsidRPr="00760203">
        <w:rPr>
          <w:sz w:val="14"/>
          <w:szCs w:val="14"/>
          <w:lang w:val="en-GB"/>
        </w:rPr>
        <w:t xml:space="preserve"> </w:t>
      </w:r>
      <w:bookmarkEnd w:id="0"/>
      <w:r w:rsidRPr="00760203">
        <w:rPr>
          <w:rFonts w:cs="Vrinda"/>
          <w:color w:val="auto"/>
          <w:sz w:val="14"/>
          <w:szCs w:val="14"/>
          <w:lang w:val="en-GB"/>
        </w:rPr>
        <w:t xml:space="preserve">BBC, 4 </w:t>
      </w:r>
      <w:proofErr w:type="spellStart"/>
      <w:r w:rsidRPr="00760203">
        <w:rPr>
          <w:rFonts w:cs="Vrinda"/>
          <w:color w:val="auto"/>
          <w:sz w:val="14"/>
          <w:szCs w:val="14"/>
          <w:lang w:val="en-GB"/>
        </w:rPr>
        <w:t>december</w:t>
      </w:r>
      <w:proofErr w:type="spellEnd"/>
      <w:r w:rsidRPr="00760203">
        <w:rPr>
          <w:rFonts w:cs="Vrinda"/>
          <w:color w:val="auto"/>
          <w:sz w:val="14"/>
          <w:szCs w:val="14"/>
          <w:lang w:val="en-GB"/>
        </w:rPr>
        <w:t xml:space="preserve"> 2024: </w:t>
      </w:r>
      <w:r>
        <w:fldChar w:fldCharType="begin"/>
      </w:r>
      <w:r w:rsidRPr="00021F9C">
        <w:rPr>
          <w:lang w:val="en-US"/>
        </w:rPr>
        <w:instrText>HYPERLINK "https://www.bbc.com/news/articles/cgq18w507dko"</w:instrText>
      </w:r>
      <w:r>
        <w:fldChar w:fldCharType="separate"/>
      </w:r>
      <w:r w:rsidRPr="00760203">
        <w:rPr>
          <w:rStyle w:val="Hyperlink"/>
          <w:sz w:val="14"/>
          <w:szCs w:val="14"/>
          <w:lang w:val="en-GB"/>
        </w:rPr>
        <w:t>Romania hit by major election influence campaign and Russian cyber-attacks</w:t>
      </w:r>
      <w:r>
        <w:rPr>
          <w:rStyle w:val="Hyperlink"/>
          <w:sz w:val="14"/>
          <w:szCs w:val="14"/>
          <w:lang w:val="en-GB"/>
        </w:rPr>
        <w:fldChar w:fldCharType="end"/>
      </w:r>
    </w:p>
  </w:footnote>
  <w:footnote w:id="6">
    <w:p w14:paraId="73DDA079" w14:textId="77777777" w:rsidR="00E061FB" w:rsidRPr="00760203" w:rsidRDefault="00E061FB" w:rsidP="00E061FB">
      <w:pPr>
        <w:pStyle w:val="Voetnoottekst"/>
        <w:rPr>
          <w:sz w:val="14"/>
          <w:szCs w:val="14"/>
        </w:rPr>
      </w:pPr>
      <w:r w:rsidRPr="00760203">
        <w:rPr>
          <w:rStyle w:val="Voetnootmarkering"/>
          <w:sz w:val="14"/>
          <w:szCs w:val="14"/>
        </w:rPr>
        <w:footnoteRef/>
      </w:r>
      <w:r w:rsidRPr="00760203">
        <w:rPr>
          <w:sz w:val="14"/>
          <w:szCs w:val="14"/>
        </w:rPr>
        <w:t xml:space="preserve"> </w:t>
      </w:r>
      <w:r w:rsidRPr="00760203">
        <w:rPr>
          <w:rFonts w:cs="Vrinda"/>
          <w:color w:val="auto"/>
          <w:sz w:val="14"/>
          <w:szCs w:val="14"/>
        </w:rPr>
        <w:t>Kamerstukken II 2023-2024, 29279, nr. 854</w:t>
      </w:r>
    </w:p>
  </w:footnote>
  <w:footnote w:id="7">
    <w:p w14:paraId="186247EE" w14:textId="77777777" w:rsidR="00E061FB" w:rsidRPr="00760203" w:rsidRDefault="00E061FB" w:rsidP="00E061FB">
      <w:pPr>
        <w:pStyle w:val="Voetnoottekst"/>
        <w:rPr>
          <w:sz w:val="14"/>
          <w:szCs w:val="14"/>
        </w:rPr>
      </w:pPr>
      <w:r w:rsidRPr="00760203">
        <w:rPr>
          <w:rStyle w:val="Voetnootmarkering"/>
          <w:sz w:val="14"/>
          <w:szCs w:val="14"/>
        </w:rPr>
        <w:footnoteRef/>
      </w:r>
      <w:r w:rsidRPr="00760203">
        <w:rPr>
          <w:sz w:val="14"/>
          <w:szCs w:val="14"/>
        </w:rPr>
        <w:t xml:space="preserve"> Zie hierover ook: ‘Waarborgen gebruik optelsoftware OSV2020 bij vaststelling uitslag’ </w:t>
      </w:r>
      <w:hyperlink r:id="rId1" w:history="1">
        <w:r w:rsidRPr="00760203">
          <w:rPr>
            <w:rStyle w:val="Hyperlink"/>
            <w:sz w:val="14"/>
            <w:szCs w:val="14"/>
          </w:rPr>
          <w:t>https://www.kiesraad.nl/verkiezingen/tweede-kamer/uitslagen/tellen-van-de-stemmen-tweede-kamerverkiezing</w:t>
        </w:r>
      </w:hyperlink>
      <w:r w:rsidRPr="00760203">
        <w:rPr>
          <w:sz w:val="14"/>
          <w:szCs w:val="14"/>
        </w:rPr>
        <w:t xml:space="preserve"> </w:t>
      </w:r>
    </w:p>
  </w:footnote>
  <w:footnote w:id="8">
    <w:p w14:paraId="0D6E469D" w14:textId="77777777" w:rsidR="00E061FB" w:rsidRPr="00760203" w:rsidRDefault="00E061FB" w:rsidP="00E061FB">
      <w:pPr>
        <w:pStyle w:val="Voetnoottekst"/>
        <w:rPr>
          <w:sz w:val="14"/>
          <w:szCs w:val="14"/>
        </w:rPr>
      </w:pPr>
      <w:r w:rsidRPr="00760203">
        <w:rPr>
          <w:rStyle w:val="Voetnootmarkering"/>
          <w:sz w:val="14"/>
          <w:szCs w:val="14"/>
        </w:rPr>
        <w:footnoteRef/>
      </w:r>
      <w:r w:rsidRPr="00760203">
        <w:rPr>
          <w:sz w:val="14"/>
          <w:szCs w:val="14"/>
        </w:rPr>
        <w:t xml:space="preserve"> Kamerstukken II, 2024-2025, 35165, nr. 86. Bijlage ‘Stand van zaken Verkiezingsagenda 2030’ </w:t>
      </w:r>
    </w:p>
  </w:footnote>
  <w:footnote w:id="9">
    <w:p w14:paraId="5A979DA5" w14:textId="77777777" w:rsidR="00E061FB" w:rsidRPr="00760203" w:rsidRDefault="00E061FB" w:rsidP="00E061FB">
      <w:pPr>
        <w:pStyle w:val="Voetnoottekst"/>
        <w:rPr>
          <w:rFonts w:cs="Vrinda"/>
          <w:color w:val="auto"/>
          <w:sz w:val="14"/>
          <w:szCs w:val="14"/>
        </w:rPr>
      </w:pPr>
      <w:r w:rsidRPr="00760203">
        <w:rPr>
          <w:rStyle w:val="Voetnootmarkering"/>
          <w:rFonts w:cs="Vrinda"/>
          <w:color w:val="auto"/>
          <w:sz w:val="14"/>
          <w:szCs w:val="14"/>
        </w:rPr>
        <w:footnoteRef/>
      </w:r>
      <w:r w:rsidRPr="00760203">
        <w:rPr>
          <w:rFonts w:cs="Vrinda"/>
          <w:color w:val="auto"/>
          <w:sz w:val="14"/>
          <w:szCs w:val="14"/>
        </w:rPr>
        <w:t xml:space="preserve"> Kamerstukken II 2023-2024, 35 165 nr. 64</w:t>
      </w:r>
    </w:p>
  </w:footnote>
  <w:footnote w:id="10">
    <w:p w14:paraId="0587AE05" w14:textId="77777777" w:rsidR="00E061FB" w:rsidRPr="00760203" w:rsidRDefault="00E061FB" w:rsidP="00E061FB">
      <w:pPr>
        <w:pStyle w:val="Voetnoottekst"/>
        <w:rPr>
          <w:sz w:val="14"/>
          <w:szCs w:val="14"/>
        </w:rPr>
      </w:pPr>
      <w:r w:rsidRPr="00760203">
        <w:rPr>
          <w:rStyle w:val="Voetnootmarkering"/>
          <w:sz w:val="14"/>
          <w:szCs w:val="14"/>
        </w:rPr>
        <w:footnoteRef/>
      </w:r>
      <w:r w:rsidRPr="00760203">
        <w:rPr>
          <w:sz w:val="14"/>
          <w:szCs w:val="14"/>
        </w:rPr>
        <w:t xml:space="preserve"> Kamerstukken II, 2024-2025, 35165, nr. 86, p. 3</w:t>
      </w:r>
    </w:p>
  </w:footnote>
  <w:footnote w:id="11">
    <w:p w14:paraId="412B9895" w14:textId="77777777" w:rsidR="00E061FB" w:rsidRPr="00760203" w:rsidRDefault="00E061FB" w:rsidP="00E061FB">
      <w:pPr>
        <w:pStyle w:val="Voetnoottekst"/>
        <w:rPr>
          <w:rFonts w:cs="Vrinda"/>
          <w:color w:val="auto"/>
          <w:sz w:val="14"/>
          <w:szCs w:val="14"/>
          <w:lang w:val="fr-FR"/>
        </w:rPr>
      </w:pPr>
      <w:r w:rsidRPr="00760203">
        <w:rPr>
          <w:rStyle w:val="Voetnootmarkering"/>
          <w:rFonts w:cs="Vrinda"/>
          <w:color w:val="auto"/>
          <w:sz w:val="14"/>
          <w:szCs w:val="14"/>
        </w:rPr>
        <w:footnoteRef/>
      </w:r>
      <w:r w:rsidRPr="00760203">
        <w:rPr>
          <w:rFonts w:cs="Vrinda"/>
          <w:color w:val="auto"/>
          <w:sz w:val="14"/>
          <w:szCs w:val="14"/>
          <w:lang w:val="fr-FR"/>
        </w:rPr>
        <w:t xml:space="preserve"> </w:t>
      </w:r>
      <w:proofErr w:type="spellStart"/>
      <w:r w:rsidRPr="00760203">
        <w:rPr>
          <w:rFonts w:cs="Vrinda"/>
          <w:color w:val="auto"/>
          <w:sz w:val="14"/>
          <w:szCs w:val="14"/>
          <w:lang w:val="fr-FR"/>
        </w:rPr>
        <w:t>Europese</w:t>
      </w:r>
      <w:proofErr w:type="spellEnd"/>
      <w:r w:rsidRPr="00760203">
        <w:rPr>
          <w:rFonts w:cs="Vrinda"/>
          <w:color w:val="auto"/>
          <w:sz w:val="14"/>
          <w:szCs w:val="14"/>
          <w:lang w:val="fr-FR"/>
        </w:rPr>
        <w:t xml:space="preserve"> </w:t>
      </w:r>
      <w:proofErr w:type="spellStart"/>
      <w:r w:rsidRPr="00760203">
        <w:rPr>
          <w:rFonts w:cs="Vrinda"/>
          <w:color w:val="auto"/>
          <w:sz w:val="14"/>
          <w:szCs w:val="14"/>
          <w:lang w:val="fr-FR"/>
        </w:rPr>
        <w:t>Commissie</w:t>
      </w:r>
      <w:proofErr w:type="spellEnd"/>
      <w:r w:rsidRPr="00760203">
        <w:rPr>
          <w:rFonts w:cs="Vrinda"/>
          <w:color w:val="auto"/>
          <w:sz w:val="14"/>
          <w:szCs w:val="14"/>
          <w:lang w:val="fr-FR"/>
        </w:rPr>
        <w:t xml:space="preserve">, 26 </w:t>
      </w:r>
      <w:proofErr w:type="spellStart"/>
      <w:r w:rsidRPr="00760203">
        <w:rPr>
          <w:rFonts w:cs="Vrinda"/>
          <w:color w:val="auto"/>
          <w:sz w:val="14"/>
          <w:szCs w:val="14"/>
          <w:lang w:val="fr-FR"/>
        </w:rPr>
        <w:t>april</w:t>
      </w:r>
      <w:proofErr w:type="spellEnd"/>
      <w:r w:rsidRPr="00760203">
        <w:rPr>
          <w:rFonts w:cs="Vrinda"/>
          <w:color w:val="auto"/>
          <w:sz w:val="14"/>
          <w:szCs w:val="14"/>
          <w:lang w:val="fr-FR"/>
        </w:rPr>
        <w:t xml:space="preserve"> 2024: </w:t>
      </w:r>
      <w:hyperlink r:id="rId2" w:history="1">
        <w:r w:rsidRPr="00760203">
          <w:rPr>
            <w:rStyle w:val="Hyperlink"/>
            <w:sz w:val="14"/>
            <w:szCs w:val="14"/>
            <w:lang w:val="fr-FR"/>
          </w:rPr>
          <w:t>EUR-Lex - 52024XC03014 - EN - EUR-Lex</w:t>
        </w:r>
      </w:hyperlink>
    </w:p>
  </w:footnote>
  <w:footnote w:id="12">
    <w:p w14:paraId="408970C2" w14:textId="77777777" w:rsidR="00E061FB" w:rsidRPr="00760203" w:rsidRDefault="00E061FB" w:rsidP="00E061FB">
      <w:pPr>
        <w:pStyle w:val="Voetnoottekst"/>
        <w:rPr>
          <w:rFonts w:cs="Vrinda"/>
          <w:color w:val="auto"/>
          <w:sz w:val="14"/>
          <w:szCs w:val="14"/>
          <w:lang w:val="en-GB"/>
        </w:rPr>
      </w:pPr>
      <w:r w:rsidRPr="00760203">
        <w:rPr>
          <w:rStyle w:val="Voetnootmarkering"/>
          <w:rFonts w:cs="Vrinda"/>
          <w:color w:val="auto"/>
          <w:sz w:val="14"/>
          <w:szCs w:val="14"/>
        </w:rPr>
        <w:footnoteRef/>
      </w:r>
      <w:r w:rsidRPr="00760203">
        <w:rPr>
          <w:rFonts w:cs="Vrinda"/>
          <w:color w:val="auto"/>
          <w:sz w:val="14"/>
          <w:szCs w:val="14"/>
          <w:lang w:val="en-GB"/>
        </w:rPr>
        <w:t xml:space="preserve"> </w:t>
      </w:r>
      <w:proofErr w:type="spellStart"/>
      <w:r w:rsidRPr="00760203">
        <w:rPr>
          <w:rFonts w:cs="Vrinda"/>
          <w:color w:val="auto"/>
          <w:sz w:val="14"/>
          <w:szCs w:val="14"/>
          <w:lang w:val="en-GB"/>
        </w:rPr>
        <w:t>Europese</w:t>
      </w:r>
      <w:proofErr w:type="spellEnd"/>
      <w:r w:rsidRPr="00760203">
        <w:rPr>
          <w:rFonts w:cs="Vrinda"/>
          <w:color w:val="auto"/>
          <w:sz w:val="14"/>
          <w:szCs w:val="14"/>
          <w:lang w:val="en-GB"/>
        </w:rPr>
        <w:t xml:space="preserve"> </w:t>
      </w:r>
      <w:proofErr w:type="spellStart"/>
      <w:r w:rsidRPr="00760203">
        <w:rPr>
          <w:rFonts w:cs="Vrinda"/>
          <w:color w:val="auto"/>
          <w:sz w:val="14"/>
          <w:szCs w:val="14"/>
          <w:lang w:val="en-GB"/>
        </w:rPr>
        <w:t>Commissie</w:t>
      </w:r>
      <w:proofErr w:type="spellEnd"/>
      <w:r w:rsidRPr="00760203">
        <w:rPr>
          <w:rFonts w:cs="Vrinda"/>
          <w:color w:val="auto"/>
          <w:sz w:val="14"/>
          <w:szCs w:val="14"/>
          <w:lang w:val="en-GB"/>
        </w:rPr>
        <w:t xml:space="preserve">, 17 </w:t>
      </w:r>
      <w:proofErr w:type="spellStart"/>
      <w:r w:rsidRPr="00760203">
        <w:rPr>
          <w:rFonts w:cs="Vrinda"/>
          <w:color w:val="auto"/>
          <w:sz w:val="14"/>
          <w:szCs w:val="14"/>
          <w:lang w:val="en-GB"/>
        </w:rPr>
        <w:t>december</w:t>
      </w:r>
      <w:proofErr w:type="spellEnd"/>
      <w:r w:rsidRPr="00760203">
        <w:rPr>
          <w:rFonts w:cs="Vrinda"/>
          <w:color w:val="auto"/>
          <w:sz w:val="14"/>
          <w:szCs w:val="14"/>
          <w:lang w:val="en-GB"/>
        </w:rPr>
        <w:t xml:space="preserve"> 2024: </w:t>
      </w:r>
      <w:r>
        <w:fldChar w:fldCharType="begin"/>
      </w:r>
      <w:r w:rsidRPr="00021F9C">
        <w:rPr>
          <w:lang w:val="en-US"/>
        </w:rPr>
        <w:instrText>HYPERLINK "https://ec.europa.eu/commission/presscorner/detail/en/ip_24_6487"</w:instrText>
      </w:r>
      <w:r>
        <w:fldChar w:fldCharType="separate"/>
      </w:r>
      <w:r w:rsidRPr="00760203">
        <w:rPr>
          <w:rStyle w:val="Hyperlink"/>
          <w:sz w:val="14"/>
          <w:szCs w:val="14"/>
          <w:lang w:val="en-GB"/>
        </w:rPr>
        <w:t>Commission opens formal proceedings against TikTok under DSA</w:t>
      </w:r>
      <w:r>
        <w:rPr>
          <w:rStyle w:val="Hyperlink"/>
          <w:sz w:val="14"/>
          <w:szCs w:val="14"/>
          <w:lang w:val="en-GB"/>
        </w:rPr>
        <w:fldChar w:fldCharType="end"/>
      </w:r>
    </w:p>
  </w:footnote>
  <w:footnote w:id="13">
    <w:p w14:paraId="73B79A24" w14:textId="77777777" w:rsidR="00E061FB" w:rsidRPr="00760203" w:rsidRDefault="00E061FB" w:rsidP="00E061FB">
      <w:pPr>
        <w:pStyle w:val="Voetnoottekst"/>
        <w:rPr>
          <w:sz w:val="14"/>
          <w:szCs w:val="14"/>
        </w:rPr>
      </w:pPr>
      <w:r w:rsidRPr="00760203">
        <w:rPr>
          <w:rStyle w:val="Voetnootmarkering"/>
          <w:sz w:val="14"/>
          <w:szCs w:val="14"/>
        </w:rPr>
        <w:footnoteRef/>
      </w:r>
      <w:r w:rsidRPr="00760203">
        <w:rPr>
          <w:sz w:val="14"/>
          <w:szCs w:val="14"/>
        </w:rPr>
        <w:t xml:space="preserve"> NRC, 10 december 2024: </w:t>
      </w:r>
      <w:hyperlink r:id="rId3" w:history="1">
        <w:r w:rsidRPr="00760203">
          <w:rPr>
            <w:rStyle w:val="Hyperlink"/>
            <w:sz w:val="14"/>
            <w:szCs w:val="14"/>
          </w:rPr>
          <w:t xml:space="preserve">Rechterhand en mentor van Baudet ontmoette Russisch beïnvloedingsnetwerk en schudde </w:t>
        </w:r>
        <w:proofErr w:type="spellStart"/>
        <w:r w:rsidRPr="00760203">
          <w:rPr>
            <w:rStyle w:val="Hyperlink"/>
            <w:sz w:val="14"/>
            <w:szCs w:val="14"/>
          </w:rPr>
          <w:t>Medvedev</w:t>
        </w:r>
        <w:proofErr w:type="spellEnd"/>
        <w:r w:rsidRPr="00760203">
          <w:rPr>
            <w:rStyle w:val="Hyperlink"/>
            <w:sz w:val="14"/>
            <w:szCs w:val="14"/>
          </w:rPr>
          <w:t xml:space="preserve"> de hand in Sotsji - NRC</w:t>
        </w:r>
      </w:hyperlink>
    </w:p>
  </w:footnote>
  <w:footnote w:id="14">
    <w:p w14:paraId="65A144D9" w14:textId="77777777" w:rsidR="00E061FB" w:rsidRPr="00760203" w:rsidRDefault="00E061FB" w:rsidP="00E061FB">
      <w:pPr>
        <w:pStyle w:val="Voetnoottekst"/>
        <w:rPr>
          <w:rFonts w:cs="Vrinda"/>
          <w:color w:val="auto"/>
          <w:sz w:val="14"/>
          <w:szCs w:val="14"/>
        </w:rPr>
      </w:pPr>
      <w:r w:rsidRPr="00760203">
        <w:rPr>
          <w:rStyle w:val="Voetnootmarkering"/>
          <w:rFonts w:cs="Vrinda"/>
          <w:color w:val="auto"/>
          <w:sz w:val="14"/>
          <w:szCs w:val="14"/>
        </w:rPr>
        <w:footnoteRef/>
      </w:r>
      <w:r w:rsidRPr="00760203">
        <w:rPr>
          <w:rFonts w:cs="Vrinda"/>
          <w:color w:val="auto"/>
          <w:sz w:val="14"/>
          <w:szCs w:val="14"/>
        </w:rPr>
        <w:t xml:space="preserve"> Kamerstukken II, 2021-2022, 36013, nr. 2</w:t>
      </w:r>
    </w:p>
  </w:footnote>
  <w:footnote w:id="15">
    <w:p w14:paraId="76DB16B7" w14:textId="77777777" w:rsidR="00E061FB" w:rsidRPr="00760203" w:rsidRDefault="00E061FB" w:rsidP="00E061FB">
      <w:pPr>
        <w:pStyle w:val="Voetnoottekst"/>
        <w:rPr>
          <w:rFonts w:cs="Vrinda"/>
          <w:color w:val="auto"/>
          <w:sz w:val="14"/>
          <w:szCs w:val="14"/>
        </w:rPr>
      </w:pPr>
      <w:r w:rsidRPr="00760203">
        <w:rPr>
          <w:rStyle w:val="Voetnootmarkering"/>
          <w:rFonts w:cs="Vrinda"/>
          <w:color w:val="auto"/>
          <w:sz w:val="14"/>
          <w:szCs w:val="14"/>
        </w:rPr>
        <w:footnoteRef/>
      </w:r>
      <w:r w:rsidRPr="00760203">
        <w:rPr>
          <w:rFonts w:cs="Vrinda"/>
          <w:color w:val="auto"/>
          <w:sz w:val="14"/>
          <w:szCs w:val="14"/>
        </w:rPr>
        <w:t xml:space="preserve"> </w:t>
      </w:r>
      <w:r>
        <w:rPr>
          <w:rFonts w:cs="Vrinda"/>
          <w:color w:val="auto"/>
          <w:sz w:val="14"/>
          <w:szCs w:val="14"/>
        </w:rPr>
        <w:t>Kamerstukken II, 2024-2025, 30821, nr. 254.</w:t>
      </w:r>
    </w:p>
  </w:footnote>
  <w:footnote w:id="16">
    <w:p w14:paraId="4E035B2C" w14:textId="77777777" w:rsidR="00E061FB" w:rsidRPr="00760203" w:rsidRDefault="00E061FB" w:rsidP="00E061FB">
      <w:pPr>
        <w:pStyle w:val="Voetnoottekst"/>
        <w:rPr>
          <w:rFonts w:cs="Vrinda"/>
          <w:color w:val="auto"/>
          <w:sz w:val="14"/>
          <w:szCs w:val="14"/>
        </w:rPr>
      </w:pPr>
      <w:r w:rsidRPr="00760203">
        <w:rPr>
          <w:rStyle w:val="Voetnootmarkering"/>
          <w:rFonts w:cs="Vrinda"/>
          <w:color w:val="auto"/>
          <w:sz w:val="14"/>
          <w:szCs w:val="14"/>
        </w:rPr>
        <w:footnoteRef/>
      </w:r>
      <w:r w:rsidRPr="00760203">
        <w:rPr>
          <w:rFonts w:cs="Vrinda"/>
          <w:color w:val="auto"/>
          <w:sz w:val="14"/>
          <w:szCs w:val="14"/>
        </w:rPr>
        <w:t xml:space="preserve"> Kamerstukken II 2024-2025, 30821, nr. 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8656" w14:textId="77777777" w:rsidR="00F73BF8" w:rsidRPr="00E061FB" w:rsidRDefault="00F73BF8" w:rsidP="00E061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337C8" w14:textId="77777777" w:rsidR="00F73BF8" w:rsidRPr="00E061FB" w:rsidRDefault="00F73BF8" w:rsidP="00E061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BDAFB" w14:textId="77777777" w:rsidR="00F73BF8" w:rsidRPr="00E061FB" w:rsidRDefault="00F73BF8" w:rsidP="00E061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FB"/>
    <w:rsid w:val="00021F9C"/>
    <w:rsid w:val="00157FC1"/>
    <w:rsid w:val="001A4C62"/>
    <w:rsid w:val="0083434C"/>
    <w:rsid w:val="00E061FB"/>
    <w:rsid w:val="00F73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96EF"/>
  <w15:chartTrackingRefBased/>
  <w15:docId w15:val="{1EF66791-D171-4979-82FE-59E46155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6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6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61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61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61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61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61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61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61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61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61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61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61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61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61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61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61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61FB"/>
    <w:rPr>
      <w:rFonts w:eastAsiaTheme="majorEastAsia" w:cstheme="majorBidi"/>
      <w:color w:val="272727" w:themeColor="text1" w:themeTint="D8"/>
    </w:rPr>
  </w:style>
  <w:style w:type="paragraph" w:styleId="Titel">
    <w:name w:val="Title"/>
    <w:basedOn w:val="Standaard"/>
    <w:next w:val="Standaard"/>
    <w:link w:val="TitelChar"/>
    <w:uiPriority w:val="10"/>
    <w:qFormat/>
    <w:rsid w:val="00E06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61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61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61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61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61FB"/>
    <w:rPr>
      <w:i/>
      <w:iCs/>
      <w:color w:val="404040" w:themeColor="text1" w:themeTint="BF"/>
    </w:rPr>
  </w:style>
  <w:style w:type="paragraph" w:styleId="Lijstalinea">
    <w:name w:val="List Paragraph"/>
    <w:basedOn w:val="Standaard"/>
    <w:uiPriority w:val="34"/>
    <w:qFormat/>
    <w:rsid w:val="00E061FB"/>
    <w:pPr>
      <w:ind w:left="720"/>
      <w:contextualSpacing/>
    </w:pPr>
  </w:style>
  <w:style w:type="character" w:styleId="Intensievebenadrukking">
    <w:name w:val="Intense Emphasis"/>
    <w:basedOn w:val="Standaardalinea-lettertype"/>
    <w:uiPriority w:val="21"/>
    <w:qFormat/>
    <w:rsid w:val="00E061FB"/>
    <w:rPr>
      <w:i/>
      <w:iCs/>
      <w:color w:val="0F4761" w:themeColor="accent1" w:themeShade="BF"/>
    </w:rPr>
  </w:style>
  <w:style w:type="paragraph" w:styleId="Duidelijkcitaat">
    <w:name w:val="Intense Quote"/>
    <w:basedOn w:val="Standaard"/>
    <w:next w:val="Standaard"/>
    <w:link w:val="DuidelijkcitaatChar"/>
    <w:uiPriority w:val="30"/>
    <w:qFormat/>
    <w:rsid w:val="00E06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61FB"/>
    <w:rPr>
      <w:i/>
      <w:iCs/>
      <w:color w:val="0F4761" w:themeColor="accent1" w:themeShade="BF"/>
    </w:rPr>
  </w:style>
  <w:style w:type="character" w:styleId="Intensieveverwijzing">
    <w:name w:val="Intense Reference"/>
    <w:basedOn w:val="Standaardalinea-lettertype"/>
    <w:uiPriority w:val="32"/>
    <w:qFormat/>
    <w:rsid w:val="00E061FB"/>
    <w:rPr>
      <w:b/>
      <w:bCs/>
      <w:smallCaps/>
      <w:color w:val="0F4761" w:themeColor="accent1" w:themeShade="BF"/>
      <w:spacing w:val="5"/>
    </w:rPr>
  </w:style>
  <w:style w:type="character" w:styleId="Hyperlink">
    <w:name w:val="Hyperlink"/>
    <w:basedOn w:val="Standaardalinea-lettertype"/>
    <w:uiPriority w:val="99"/>
    <w:unhideWhenUsed/>
    <w:rsid w:val="00E061FB"/>
    <w:rPr>
      <w:color w:val="467886" w:themeColor="hyperlink"/>
      <w:u w:val="single"/>
    </w:rPr>
  </w:style>
  <w:style w:type="paragraph" w:customStyle="1" w:styleId="Referentiegegevens">
    <w:name w:val="Referentiegegevens"/>
    <w:basedOn w:val="Standaard"/>
    <w:next w:val="Standaard"/>
    <w:rsid w:val="00E061F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061F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061F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061F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061F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061F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061F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061F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061F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E061F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E061F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061FB"/>
    <w:rPr>
      <w:vertAlign w:val="superscript"/>
    </w:rPr>
  </w:style>
  <w:style w:type="paragraph" w:styleId="Geenafstand">
    <w:name w:val="No Spacing"/>
    <w:uiPriority w:val="1"/>
    <w:qFormat/>
    <w:rsid w:val="00021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rc.nl/nieuws/2024/12/10/rechterhand-en-mentor-van-baudet-ontmoette-russisch-beinvloedingsnetwerk-en-schudde-medvedev-de-hand-in-sotsji-a4876173" TargetMode="External"/><Relationship Id="rId2" Type="http://schemas.openxmlformats.org/officeDocument/2006/relationships/hyperlink" Target="https://eur-lex.europa.eu/legal-content/NL/TXT/?uri=OJ:C_202403014" TargetMode="External"/><Relationship Id="rId1" Type="http://schemas.openxmlformats.org/officeDocument/2006/relationships/hyperlink" Target="https://www.kiesraad.nl/verkiezingen/tweede-kamer/uitslagen/tellen-van-de-stemmen-tweede-kamerverkiez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1529</ap:Words>
  <ap:Characters>8413</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2025-01-15T09:50:00.0000000Z</dcterms:created>
  <dcterms:modified xsi:type="dcterms:W3CDTF">2025-01-15T09:50:00.0000000Z</dcterms:modified>
  <version/>
  <category/>
</coreProperties>
</file>