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79AE" w:rsidR="00E779AE" w:rsidRDefault="007C70A8" w14:paraId="696325E2" w14:textId="77CCC817">
      <w:pPr>
        <w:rPr>
          <w:rFonts w:ascii="Calibri" w:hAnsi="Calibri" w:cs="Calibri"/>
        </w:rPr>
      </w:pPr>
      <w:r w:rsidRPr="00E779AE">
        <w:rPr>
          <w:rFonts w:ascii="Calibri" w:hAnsi="Calibri" w:cs="Calibri"/>
        </w:rPr>
        <w:t>19</w:t>
      </w:r>
      <w:r w:rsidRPr="00E779AE" w:rsidR="00E779AE">
        <w:rPr>
          <w:rFonts w:ascii="Calibri" w:hAnsi="Calibri" w:cs="Calibri"/>
        </w:rPr>
        <w:t xml:space="preserve"> </w:t>
      </w:r>
      <w:r w:rsidRPr="00E779AE">
        <w:rPr>
          <w:rFonts w:ascii="Calibri" w:hAnsi="Calibri" w:cs="Calibri"/>
        </w:rPr>
        <w:t>637</w:t>
      </w:r>
      <w:r w:rsidRPr="00E779AE" w:rsidR="00E779AE">
        <w:rPr>
          <w:rFonts w:ascii="Calibri" w:hAnsi="Calibri" w:cs="Calibri"/>
        </w:rPr>
        <w:tab/>
      </w:r>
      <w:r w:rsidRPr="00E779AE" w:rsidR="00E779AE">
        <w:rPr>
          <w:rFonts w:ascii="Calibri" w:hAnsi="Calibri" w:cs="Calibri"/>
        </w:rPr>
        <w:tab/>
        <w:t>Vreemdelingenbeleid</w:t>
      </w:r>
    </w:p>
    <w:p w:rsidRPr="00E779AE" w:rsidR="007C70A8" w:rsidP="007C70A8" w:rsidRDefault="00E779AE" w14:paraId="21410527" w14:textId="77B66709">
      <w:pPr>
        <w:rPr>
          <w:rFonts w:ascii="Calibri" w:hAnsi="Calibri" w:cs="Calibri"/>
        </w:rPr>
      </w:pPr>
      <w:r w:rsidRPr="00E779AE">
        <w:rPr>
          <w:rFonts w:ascii="Calibri" w:hAnsi="Calibri" w:cs="Calibri"/>
        </w:rPr>
        <w:t xml:space="preserve">Nr. </w:t>
      </w:r>
      <w:r w:rsidRPr="00E779AE" w:rsidR="007C70A8">
        <w:rPr>
          <w:rFonts w:ascii="Calibri" w:hAnsi="Calibri" w:cs="Calibri"/>
        </w:rPr>
        <w:t>3339</w:t>
      </w:r>
      <w:r w:rsidRPr="00E779AE">
        <w:rPr>
          <w:rFonts w:ascii="Calibri" w:hAnsi="Calibri" w:cs="Calibri"/>
        </w:rPr>
        <w:tab/>
        <w:t>Brief van de minister van Asiel en Migratie</w:t>
      </w:r>
    </w:p>
    <w:p w:rsidRPr="00E779AE" w:rsidR="00E779AE" w:rsidP="007C70A8" w:rsidRDefault="00E779AE" w14:paraId="127F5FB0" w14:textId="737CC097">
      <w:pPr>
        <w:rPr>
          <w:rFonts w:ascii="Calibri" w:hAnsi="Calibri" w:cs="Calibri"/>
        </w:rPr>
      </w:pPr>
      <w:r w:rsidRPr="00E779AE">
        <w:rPr>
          <w:rFonts w:ascii="Calibri" w:hAnsi="Calibri" w:cs="Calibri"/>
        </w:rPr>
        <w:t>Aan de Voorzitter van de Tweede Kamer der Staten-Generaal</w:t>
      </w:r>
    </w:p>
    <w:p w:rsidRPr="00E779AE" w:rsidR="00E779AE" w:rsidP="007C70A8" w:rsidRDefault="00E779AE" w14:paraId="45B943B8" w14:textId="68FCCE91">
      <w:pPr>
        <w:rPr>
          <w:rFonts w:ascii="Calibri" w:hAnsi="Calibri" w:cs="Calibri"/>
        </w:rPr>
      </w:pPr>
      <w:r w:rsidRPr="00E779AE">
        <w:rPr>
          <w:rFonts w:ascii="Calibri" w:hAnsi="Calibri" w:cs="Calibri"/>
        </w:rPr>
        <w:t>Den Haag, 23 december 2024</w:t>
      </w:r>
    </w:p>
    <w:p w:rsidRPr="00E779AE" w:rsidR="007C70A8" w:rsidP="007C70A8" w:rsidRDefault="007C70A8" w14:paraId="090B5A13" w14:textId="77777777">
      <w:pPr>
        <w:rPr>
          <w:rFonts w:ascii="Calibri" w:hAnsi="Calibri" w:cs="Calibri"/>
        </w:rPr>
      </w:pPr>
    </w:p>
    <w:p w:rsidRPr="00E779AE" w:rsidR="007C70A8" w:rsidP="007C70A8" w:rsidRDefault="007C70A8" w14:paraId="7DE5BAF4" w14:textId="566F5B38">
      <w:pPr>
        <w:rPr>
          <w:rFonts w:ascii="Calibri" w:hAnsi="Calibri" w:cs="Calibri"/>
        </w:rPr>
      </w:pPr>
      <w:r w:rsidRPr="00E779AE">
        <w:rPr>
          <w:rFonts w:ascii="Calibri" w:hAnsi="Calibri" w:cs="Calibri"/>
        </w:rPr>
        <w:t>In deze brief informeer ik u over de verdeelbesluiten die zijn genomen in het kader van de Wet gemeentelijke taak mogelijk maken asielopvangvoorzieningen (hierna: de wet). Ik ben zeer verheugd dat we op vrijwillige basis zo ver gekomen zijn en dat we in goed overleg tot dit resultaat en onderstaande vervolgafspraken gekomen zijn.</w:t>
      </w:r>
    </w:p>
    <w:p w:rsidRPr="00E779AE" w:rsidR="007C70A8" w:rsidP="007C70A8" w:rsidRDefault="007C70A8" w14:paraId="71422337" w14:textId="77777777">
      <w:pPr>
        <w:rPr>
          <w:rFonts w:ascii="Calibri" w:hAnsi="Calibri" w:cs="Calibri"/>
        </w:rPr>
      </w:pPr>
    </w:p>
    <w:p w:rsidRPr="00E779AE" w:rsidR="007C70A8" w:rsidP="007C70A8" w:rsidRDefault="007C70A8" w14:paraId="114DE97F" w14:textId="77777777">
      <w:pPr>
        <w:rPr>
          <w:rFonts w:ascii="Calibri" w:hAnsi="Calibri" w:cs="Calibri"/>
        </w:rPr>
      </w:pPr>
      <w:r w:rsidRPr="00E779AE">
        <w:rPr>
          <w:rFonts w:ascii="Calibri" w:hAnsi="Calibri" w:cs="Calibri"/>
        </w:rPr>
        <w:t>Op 31 oktober 2024 ontving ik de verslagen van de commissarissen van de Koning in kader van de wet. Deze heb ik u op 1 november jl. doen toekomen</w:t>
      </w:r>
      <w:r w:rsidRPr="00E779AE">
        <w:rPr>
          <w:rStyle w:val="Voetnootmarkering"/>
          <w:rFonts w:ascii="Calibri" w:hAnsi="Calibri" w:cs="Calibri"/>
        </w:rPr>
        <w:footnoteReference w:id="1"/>
      </w:r>
      <w:r w:rsidRPr="00E779AE">
        <w:rPr>
          <w:rFonts w:ascii="Calibri" w:hAnsi="Calibri" w:cs="Calibri"/>
        </w:rPr>
        <w:t>. In de verslagen doen de commissarissen verslag van het overleg tussen gemeenten, provincie en het COA over de uitvoering van de taken op grond van de wet en geven ze aan hoe de verdeling van opvangplaatsen voor de daaropvolgende twee jaren er uit zal zien.</w:t>
      </w:r>
    </w:p>
    <w:p w:rsidRPr="00E779AE" w:rsidR="007C70A8" w:rsidP="007C70A8" w:rsidRDefault="007C70A8" w14:paraId="750371FE" w14:textId="77777777">
      <w:pPr>
        <w:rPr>
          <w:rFonts w:ascii="Calibri" w:hAnsi="Calibri" w:cs="Calibri"/>
        </w:rPr>
      </w:pPr>
    </w:p>
    <w:p w:rsidRPr="00E779AE" w:rsidR="007C70A8" w:rsidP="007C70A8" w:rsidRDefault="007C70A8" w14:paraId="20391AB5" w14:textId="77777777">
      <w:pPr>
        <w:rPr>
          <w:rFonts w:ascii="Calibri" w:hAnsi="Calibri" w:cs="Calibri"/>
        </w:rPr>
      </w:pPr>
      <w:r w:rsidRPr="00E779AE">
        <w:rPr>
          <w:rFonts w:ascii="Calibri" w:hAnsi="Calibri" w:cs="Calibri"/>
        </w:rPr>
        <w:t xml:space="preserve">De afgelopen periode zijn aan de provinciale regietafels afspraken gemaakt hoe invulling te geven aan de opgave die zij moeten realiseren per provincie. Met resultaat: de 12 provinciale verslagen hebben bijna 90.000 plekken opgeleverd en over een groot aantal plekken loopt het gesprek nog. Omdat het doel van 96.000 plekken in zicht is heb ik de voorzitters van de provinciale regietafels gevraagd het overleg over invulling van de resterende taak de komende tijd voort te zetten. In de verdeelbesluiten heb ik de plekken die via de provinciale verslagen zijn aangedragen overgenomen. </w:t>
      </w:r>
    </w:p>
    <w:p w:rsidRPr="00E779AE" w:rsidR="007C70A8" w:rsidP="007C70A8" w:rsidRDefault="007C70A8" w14:paraId="49C247ED" w14:textId="77777777">
      <w:pPr>
        <w:rPr>
          <w:rFonts w:ascii="Calibri" w:hAnsi="Calibri" w:cs="Calibri"/>
        </w:rPr>
      </w:pPr>
    </w:p>
    <w:p w:rsidRPr="00E779AE" w:rsidR="007C70A8" w:rsidP="007C70A8" w:rsidRDefault="007C70A8" w14:paraId="3D4E3573" w14:textId="77777777">
      <w:pPr>
        <w:rPr>
          <w:rFonts w:ascii="Calibri" w:hAnsi="Calibri" w:cs="Calibri"/>
        </w:rPr>
      </w:pPr>
      <w:r w:rsidRPr="00E779AE">
        <w:rPr>
          <w:rFonts w:ascii="Calibri" w:hAnsi="Calibri" w:cs="Calibri"/>
        </w:rPr>
        <w:t>Bij de restopgave zijn de plekken verdeeld naar rato van de indicatieve verdeling</w:t>
      </w:r>
      <w:r w:rsidRPr="00E779AE">
        <w:rPr>
          <w:rStyle w:val="Voetnootmarkering"/>
          <w:rFonts w:ascii="Calibri" w:hAnsi="Calibri" w:cs="Calibri"/>
        </w:rPr>
        <w:footnoteReference w:id="2"/>
      </w:r>
      <w:r w:rsidRPr="00E779AE">
        <w:rPr>
          <w:rFonts w:ascii="Calibri" w:hAnsi="Calibri" w:cs="Calibri"/>
        </w:rPr>
        <w:t xml:space="preserve"> over gemeenten die hiervoor in aanmerking kwamen. Hierbij is rekening gehouden met de bepalingen uit de beleidsregel</w:t>
      </w:r>
      <w:r w:rsidRPr="00E779AE">
        <w:rPr>
          <w:rStyle w:val="Voetnootmarkering"/>
          <w:rFonts w:ascii="Calibri" w:hAnsi="Calibri" w:cs="Calibri"/>
        </w:rPr>
        <w:footnoteReference w:id="3"/>
      </w:r>
      <w:r w:rsidRPr="00E779AE">
        <w:rPr>
          <w:rFonts w:ascii="Calibri" w:hAnsi="Calibri" w:cs="Calibri"/>
        </w:rPr>
        <w:t>. Dit leidt per provincie tot een sluitende provinciale opgave in de verdeelbesluiten, voor elke provincie één. De besluiten treft u als bijlage aan bij deze brief.</w:t>
      </w:r>
    </w:p>
    <w:p w:rsidRPr="00E779AE" w:rsidR="007C70A8" w:rsidP="007C70A8" w:rsidRDefault="007C70A8" w14:paraId="7C655B42" w14:textId="77777777">
      <w:pPr>
        <w:rPr>
          <w:rFonts w:ascii="Calibri" w:hAnsi="Calibri" w:cs="Calibri"/>
        </w:rPr>
      </w:pPr>
    </w:p>
    <w:p w:rsidRPr="00E779AE" w:rsidR="007C70A8" w:rsidP="007C70A8" w:rsidRDefault="007C70A8" w14:paraId="576AF50D" w14:textId="77777777">
      <w:pPr>
        <w:rPr>
          <w:rFonts w:ascii="Calibri" w:hAnsi="Calibri" w:cs="Calibri"/>
        </w:rPr>
      </w:pPr>
      <w:r w:rsidRPr="00E779AE">
        <w:rPr>
          <w:rFonts w:ascii="Calibri" w:hAnsi="Calibri" w:cs="Calibri"/>
        </w:rPr>
        <w:t xml:space="preserve">Enkele provincies hebben gemeenten met relatief veel kleine opgaves in het verdeelbesluit. Gelet op de meerplekken die een aantal gemeenten heeft (en het </w:t>
      </w:r>
      <w:r w:rsidRPr="00E779AE">
        <w:rPr>
          <w:rFonts w:ascii="Calibri" w:hAnsi="Calibri" w:cs="Calibri"/>
        </w:rPr>
        <w:lastRenderedPageBreak/>
        <w:t>tempo waarin deze worden opgeleverd) is het logisch deze verdeling en de ontwikkeling hiervan in de PRT te bespreken en zoveel mogelijk indachtig de indicatieve verdeling van de provinciale opgave te realiseren. De opvangplekken moeten conform de wettelijk taak uiterlijk op 30 juni 2025 beschikbaar zijn gesteld.</w:t>
      </w:r>
    </w:p>
    <w:p w:rsidRPr="00E779AE" w:rsidR="007C70A8" w:rsidP="007C70A8" w:rsidRDefault="007C70A8" w14:paraId="3D47DA26" w14:textId="77777777">
      <w:pPr>
        <w:rPr>
          <w:rFonts w:ascii="Calibri" w:hAnsi="Calibri" w:cs="Calibri"/>
        </w:rPr>
      </w:pPr>
    </w:p>
    <w:p w:rsidRPr="00E779AE" w:rsidR="007C70A8" w:rsidP="007C70A8" w:rsidRDefault="007C70A8" w14:paraId="029DC092" w14:textId="77777777">
      <w:pPr>
        <w:rPr>
          <w:rFonts w:ascii="Calibri" w:hAnsi="Calibri" w:cs="Calibri"/>
        </w:rPr>
      </w:pPr>
      <w:r w:rsidRPr="00E779AE">
        <w:rPr>
          <w:rFonts w:ascii="Calibri" w:hAnsi="Calibri" w:cs="Calibri"/>
        </w:rPr>
        <w:t>Ik heb er alle vertrouwen in dat gemeente aan de provinciale regietafel (PRT) tot een goede invulling en uitvoering van deze taak zullen komen. Voor de gemeenten geldt dat de mogelijkheid blijft bestaan om aan de PRT te komen tot afspraken over uitruil van opgaven ter invulling van de gemeentelijke taak, waarbij ook rekening kan worden gehouden met andere opgaven met betrekking tot opvang en huisvesting. Mijn ministerie zal hierbij ondersteuning bieden.</w:t>
      </w:r>
    </w:p>
    <w:p w:rsidRPr="00E779AE" w:rsidR="007C70A8" w:rsidP="007C70A8" w:rsidRDefault="007C70A8" w14:paraId="5F356741" w14:textId="77777777">
      <w:pPr>
        <w:rPr>
          <w:rFonts w:ascii="Calibri" w:hAnsi="Calibri" w:cs="Calibri"/>
        </w:rPr>
      </w:pPr>
    </w:p>
    <w:p w:rsidRPr="00E779AE" w:rsidR="007C70A8" w:rsidP="00E779AE" w:rsidRDefault="007C70A8" w14:paraId="1EC7029B" w14:textId="0E6945C5">
      <w:pPr>
        <w:pStyle w:val="Geenafstand"/>
        <w:rPr>
          <w:rFonts w:ascii="Calibri" w:hAnsi="Calibri" w:cs="Calibri"/>
        </w:rPr>
      </w:pPr>
      <w:r w:rsidRPr="00E779AE">
        <w:rPr>
          <w:rFonts w:ascii="Calibri" w:hAnsi="Calibri" w:cs="Calibri"/>
        </w:rPr>
        <w:t xml:space="preserve">De </w:t>
      </w:r>
      <w:r w:rsidRPr="00E779AE" w:rsidR="00E779AE">
        <w:rPr>
          <w:rFonts w:ascii="Calibri" w:hAnsi="Calibri" w:cs="Calibri"/>
        </w:rPr>
        <w:t>m</w:t>
      </w:r>
      <w:r w:rsidRPr="00E779AE">
        <w:rPr>
          <w:rFonts w:ascii="Calibri" w:hAnsi="Calibri" w:cs="Calibri"/>
        </w:rPr>
        <w:t xml:space="preserve">inister van Asiel en Migratie, </w:t>
      </w:r>
    </w:p>
    <w:p w:rsidRPr="00E779AE" w:rsidR="007C70A8" w:rsidP="00E779AE" w:rsidRDefault="007C70A8" w14:paraId="310AF036" w14:textId="0AE56004">
      <w:pPr>
        <w:pStyle w:val="Geenafstand"/>
        <w:rPr>
          <w:rFonts w:ascii="Calibri" w:hAnsi="Calibri" w:cs="Calibri"/>
        </w:rPr>
      </w:pPr>
      <w:r w:rsidRPr="00E779AE">
        <w:rPr>
          <w:rFonts w:ascii="Calibri" w:hAnsi="Calibri" w:cs="Calibri"/>
        </w:rPr>
        <w:t>M.H.M. Faber-</w:t>
      </w:r>
      <w:r w:rsidRPr="00E779AE" w:rsidR="00E779AE">
        <w:rPr>
          <w:rFonts w:ascii="Calibri" w:hAnsi="Calibri" w:cs="Calibri"/>
        </w:rPr>
        <w:t>v</w:t>
      </w:r>
      <w:r w:rsidRPr="00E779AE">
        <w:rPr>
          <w:rFonts w:ascii="Calibri" w:hAnsi="Calibri" w:cs="Calibri"/>
        </w:rPr>
        <w:t>an de Klashorst</w:t>
      </w:r>
    </w:p>
    <w:p w:rsidRPr="00E779AE" w:rsidR="007C70A8" w:rsidP="007C70A8" w:rsidRDefault="007C70A8" w14:paraId="0BAE05E3" w14:textId="77777777">
      <w:pPr>
        <w:rPr>
          <w:rFonts w:ascii="Calibri" w:hAnsi="Calibri" w:cs="Calibri"/>
        </w:rPr>
      </w:pPr>
    </w:p>
    <w:p w:rsidRPr="00E779AE" w:rsidR="0080340B" w:rsidRDefault="0080340B" w14:paraId="2E2486C5" w14:textId="77777777">
      <w:pPr>
        <w:rPr>
          <w:rFonts w:ascii="Calibri" w:hAnsi="Calibri" w:cs="Calibri"/>
        </w:rPr>
      </w:pPr>
    </w:p>
    <w:sectPr w:rsidRPr="00E779AE" w:rsidR="0080340B" w:rsidSect="007C70A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8A264" w14:textId="77777777" w:rsidR="007C70A8" w:rsidRDefault="007C70A8" w:rsidP="007C70A8">
      <w:pPr>
        <w:spacing w:after="0" w:line="240" w:lineRule="auto"/>
      </w:pPr>
      <w:r>
        <w:separator/>
      </w:r>
    </w:p>
  </w:endnote>
  <w:endnote w:type="continuationSeparator" w:id="0">
    <w:p w14:paraId="192625E7" w14:textId="77777777" w:rsidR="007C70A8" w:rsidRDefault="007C70A8" w:rsidP="007C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FDF1" w14:textId="77777777" w:rsidR="007C70A8" w:rsidRPr="007C70A8" w:rsidRDefault="007C70A8" w:rsidP="007C70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3CB0" w14:textId="77777777" w:rsidR="007C70A8" w:rsidRPr="007C70A8" w:rsidRDefault="007C70A8" w:rsidP="007C70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EC78" w14:textId="77777777" w:rsidR="007C70A8" w:rsidRPr="007C70A8" w:rsidRDefault="007C70A8" w:rsidP="007C70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35DFE" w14:textId="77777777" w:rsidR="007C70A8" w:rsidRDefault="007C70A8" w:rsidP="007C70A8">
      <w:pPr>
        <w:spacing w:after="0" w:line="240" w:lineRule="auto"/>
      </w:pPr>
      <w:r>
        <w:separator/>
      </w:r>
    </w:p>
  </w:footnote>
  <w:footnote w:type="continuationSeparator" w:id="0">
    <w:p w14:paraId="78578628" w14:textId="77777777" w:rsidR="007C70A8" w:rsidRDefault="007C70A8" w:rsidP="007C70A8">
      <w:pPr>
        <w:spacing w:after="0" w:line="240" w:lineRule="auto"/>
      </w:pPr>
      <w:r>
        <w:continuationSeparator/>
      </w:r>
    </w:p>
  </w:footnote>
  <w:footnote w:id="1">
    <w:p w14:paraId="7FDB9B70" w14:textId="77777777" w:rsidR="007C70A8" w:rsidRPr="00E779AE" w:rsidRDefault="007C70A8" w:rsidP="007C70A8">
      <w:pPr>
        <w:pStyle w:val="Voetnoottekst"/>
        <w:rPr>
          <w:rFonts w:ascii="Calibri" w:hAnsi="Calibri" w:cs="Calibri"/>
        </w:rPr>
      </w:pPr>
      <w:r w:rsidRPr="00E779AE">
        <w:rPr>
          <w:rStyle w:val="Voetnootmarkering"/>
          <w:rFonts w:ascii="Calibri" w:hAnsi="Calibri" w:cs="Calibri"/>
        </w:rPr>
        <w:footnoteRef/>
      </w:r>
      <w:r w:rsidRPr="00E779AE">
        <w:rPr>
          <w:rFonts w:ascii="Calibri" w:hAnsi="Calibri" w:cs="Calibri"/>
        </w:rPr>
        <w:t xml:space="preserve"> Kamerstukken II 2024/25 19637, nr. 3307</w:t>
      </w:r>
    </w:p>
  </w:footnote>
  <w:footnote w:id="2">
    <w:p w14:paraId="26E71FAF" w14:textId="77777777" w:rsidR="007C70A8" w:rsidRPr="00E779AE" w:rsidRDefault="007C70A8" w:rsidP="007C70A8">
      <w:pPr>
        <w:pStyle w:val="Voetnoottekst"/>
        <w:rPr>
          <w:rFonts w:ascii="Calibri" w:hAnsi="Calibri" w:cs="Calibri"/>
        </w:rPr>
      </w:pPr>
      <w:r w:rsidRPr="00E779AE">
        <w:rPr>
          <w:rStyle w:val="Voetnootmarkering"/>
          <w:rFonts w:ascii="Calibri" w:hAnsi="Calibri" w:cs="Calibri"/>
        </w:rPr>
        <w:footnoteRef/>
      </w:r>
      <w:r w:rsidRPr="00E779AE">
        <w:rPr>
          <w:rFonts w:ascii="Calibri" w:hAnsi="Calibri" w:cs="Calibri"/>
        </w:rPr>
        <w:t xml:space="preserve"> </w:t>
      </w:r>
      <w:hyperlink r:id="rId1" w:history="1">
        <w:r w:rsidRPr="00E779AE">
          <w:rPr>
            <w:rStyle w:val="Hyperlink"/>
            <w:rFonts w:ascii="Calibri" w:hAnsi="Calibri" w:cs="Calibri"/>
          </w:rPr>
          <w:t>https://wetten.overheid.nl/BWBR0049312/2024-01-31</w:t>
        </w:r>
      </w:hyperlink>
      <w:r w:rsidRPr="00E779AE">
        <w:rPr>
          <w:rFonts w:ascii="Calibri" w:hAnsi="Calibri" w:cs="Calibri"/>
        </w:rPr>
        <w:t xml:space="preserve"> </w:t>
      </w:r>
    </w:p>
  </w:footnote>
  <w:footnote w:id="3">
    <w:p w14:paraId="0BB74A21" w14:textId="77777777" w:rsidR="007C70A8" w:rsidRPr="00E779AE" w:rsidRDefault="007C70A8" w:rsidP="007C70A8">
      <w:pPr>
        <w:pStyle w:val="Voetnoottekst"/>
        <w:rPr>
          <w:rFonts w:ascii="Calibri" w:hAnsi="Calibri" w:cs="Calibri"/>
        </w:rPr>
      </w:pPr>
      <w:r w:rsidRPr="00E779AE">
        <w:rPr>
          <w:rStyle w:val="Voetnootmarkering"/>
          <w:rFonts w:ascii="Calibri" w:hAnsi="Calibri" w:cs="Calibri"/>
        </w:rPr>
        <w:footnoteRef/>
      </w:r>
      <w:r w:rsidRPr="00E779AE">
        <w:rPr>
          <w:rFonts w:ascii="Calibri" w:hAnsi="Calibri" w:cs="Calibri"/>
        </w:rPr>
        <w:t xml:space="preserve"> </w:t>
      </w:r>
      <w:hyperlink r:id="rId2" w:history="1">
        <w:r w:rsidRPr="00E779AE">
          <w:rPr>
            <w:rStyle w:val="Hyperlink"/>
            <w:rFonts w:ascii="Calibri" w:hAnsi="Calibri" w:cs="Calibri"/>
          </w:rPr>
          <w:t>https://wetten.overheid.nl/bwbr0049899/2024-07-02</w:t>
        </w:r>
      </w:hyperlink>
      <w:r w:rsidRPr="00E779AE">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3B9D" w14:textId="77777777" w:rsidR="007C70A8" w:rsidRPr="007C70A8" w:rsidRDefault="007C70A8" w:rsidP="007C70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5CFA" w14:textId="77777777" w:rsidR="007C70A8" w:rsidRPr="007C70A8" w:rsidRDefault="007C70A8" w:rsidP="007C70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DCDC" w14:textId="77777777" w:rsidR="007C70A8" w:rsidRPr="007C70A8" w:rsidRDefault="007C70A8" w:rsidP="007C70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A8"/>
    <w:rsid w:val="00685894"/>
    <w:rsid w:val="007C70A8"/>
    <w:rsid w:val="0080340B"/>
    <w:rsid w:val="00A769B6"/>
    <w:rsid w:val="00E7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6257"/>
  <w15:chartTrackingRefBased/>
  <w15:docId w15:val="{9C5A05B5-D5AA-4F94-BB7D-F321906E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7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70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70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70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70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70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70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70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0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70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70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70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70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70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70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70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70A8"/>
    <w:rPr>
      <w:rFonts w:eastAsiaTheme="majorEastAsia" w:cstheme="majorBidi"/>
      <w:color w:val="272727" w:themeColor="text1" w:themeTint="D8"/>
    </w:rPr>
  </w:style>
  <w:style w:type="paragraph" w:styleId="Titel">
    <w:name w:val="Title"/>
    <w:basedOn w:val="Standaard"/>
    <w:next w:val="Standaard"/>
    <w:link w:val="TitelChar"/>
    <w:uiPriority w:val="10"/>
    <w:qFormat/>
    <w:rsid w:val="007C7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70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70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70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70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70A8"/>
    <w:rPr>
      <w:i/>
      <w:iCs/>
      <w:color w:val="404040" w:themeColor="text1" w:themeTint="BF"/>
    </w:rPr>
  </w:style>
  <w:style w:type="paragraph" w:styleId="Lijstalinea">
    <w:name w:val="List Paragraph"/>
    <w:basedOn w:val="Standaard"/>
    <w:uiPriority w:val="34"/>
    <w:qFormat/>
    <w:rsid w:val="007C70A8"/>
    <w:pPr>
      <w:ind w:left="720"/>
      <w:contextualSpacing/>
    </w:pPr>
  </w:style>
  <w:style w:type="character" w:styleId="Intensievebenadrukking">
    <w:name w:val="Intense Emphasis"/>
    <w:basedOn w:val="Standaardalinea-lettertype"/>
    <w:uiPriority w:val="21"/>
    <w:qFormat/>
    <w:rsid w:val="007C70A8"/>
    <w:rPr>
      <w:i/>
      <w:iCs/>
      <w:color w:val="0F4761" w:themeColor="accent1" w:themeShade="BF"/>
    </w:rPr>
  </w:style>
  <w:style w:type="paragraph" w:styleId="Duidelijkcitaat">
    <w:name w:val="Intense Quote"/>
    <w:basedOn w:val="Standaard"/>
    <w:next w:val="Standaard"/>
    <w:link w:val="DuidelijkcitaatChar"/>
    <w:uiPriority w:val="30"/>
    <w:qFormat/>
    <w:rsid w:val="007C7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70A8"/>
    <w:rPr>
      <w:i/>
      <w:iCs/>
      <w:color w:val="0F4761" w:themeColor="accent1" w:themeShade="BF"/>
    </w:rPr>
  </w:style>
  <w:style w:type="character" w:styleId="Intensieveverwijzing">
    <w:name w:val="Intense Reference"/>
    <w:basedOn w:val="Standaardalinea-lettertype"/>
    <w:uiPriority w:val="32"/>
    <w:qFormat/>
    <w:rsid w:val="007C70A8"/>
    <w:rPr>
      <w:b/>
      <w:bCs/>
      <w:smallCaps/>
      <w:color w:val="0F4761" w:themeColor="accent1" w:themeShade="BF"/>
      <w:spacing w:val="5"/>
    </w:rPr>
  </w:style>
  <w:style w:type="character" w:styleId="Hyperlink">
    <w:name w:val="Hyperlink"/>
    <w:basedOn w:val="Standaardalinea-lettertype"/>
    <w:uiPriority w:val="99"/>
    <w:unhideWhenUsed/>
    <w:rsid w:val="007C70A8"/>
    <w:rPr>
      <w:color w:val="467886" w:themeColor="hyperlink"/>
      <w:u w:val="single"/>
    </w:rPr>
  </w:style>
  <w:style w:type="paragraph" w:customStyle="1" w:styleId="Referentiegegevens">
    <w:name w:val="Referentiegegevens"/>
    <w:basedOn w:val="Standaard"/>
    <w:next w:val="Standaard"/>
    <w:rsid w:val="007C70A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C70A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C70A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C70A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C70A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C70A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C70A8"/>
    <w:rPr>
      <w:vertAlign w:val="superscript"/>
    </w:rPr>
  </w:style>
  <w:style w:type="paragraph" w:styleId="Koptekst">
    <w:name w:val="header"/>
    <w:basedOn w:val="Standaard"/>
    <w:link w:val="KoptekstChar"/>
    <w:uiPriority w:val="99"/>
    <w:unhideWhenUsed/>
    <w:rsid w:val="007C70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0A8"/>
  </w:style>
  <w:style w:type="paragraph" w:styleId="Voettekst">
    <w:name w:val="footer"/>
    <w:basedOn w:val="Standaard"/>
    <w:link w:val="VoettekstChar"/>
    <w:uiPriority w:val="99"/>
    <w:unhideWhenUsed/>
    <w:rsid w:val="007C70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70A8"/>
  </w:style>
  <w:style w:type="paragraph" w:styleId="Geenafstand">
    <w:name w:val="No Spacing"/>
    <w:uiPriority w:val="1"/>
    <w:qFormat/>
    <w:rsid w:val="00E77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49899/2024-07-02" TargetMode="External"/><Relationship Id="rId1" Type="http://schemas.openxmlformats.org/officeDocument/2006/relationships/hyperlink" Target="https://wetten.overheid.nl/BWBR0049312/2024-01-3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439</ap:Words>
  <ap:Characters>2417</ap:Characters>
  <ap:DocSecurity>0</ap:DocSecurity>
  <ap:Lines>20</ap:Lines>
  <ap:Paragraphs>5</ap:Paragraphs>
  <ap:ScaleCrop>false</ap:ScaleCrop>
  <ap:LinksUpToDate>false</ap:LinksUpToDate>
  <ap:CharactersWithSpaces>2851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2025-01-02T08:22:00.0000000Z</dcterms:created>
  <dcterms:modified xsi:type="dcterms:W3CDTF">2025-01-02T08:22:00.0000000Z</dcterms:modified>
  <version/>
  <category/>
</coreProperties>
</file>