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3935" w:rsidR="00E46BFB" w:rsidP="003B30FE" w:rsidRDefault="00AC26D1" w14:paraId="566E380C" w14:textId="4BF3160A">
      <w:pPr>
        <w:pStyle w:val="broodtekst"/>
      </w:pPr>
      <w:bookmarkStart w:name="_GoBack" w:id="0"/>
      <w:bookmarkEnd w:id="0"/>
      <w:r>
        <w:t xml:space="preserve">Seksuele intimidatie en seksueel geweld zijn helaas nog steeds een </w:t>
      </w:r>
      <w:r w:rsidR="00210D6D">
        <w:t xml:space="preserve">groot </w:t>
      </w:r>
      <w:r>
        <w:t>maatschappelijk probleem.</w:t>
      </w:r>
      <w:r w:rsidRPr="000E3935" w:rsidR="00657CF2">
        <w:t xml:space="preserve"> Dit blijkt uit de cijfers van de Prevalentiemonitor Huiselijk Geweld en Seksueel Grensoverschrijdend Gedrag 2024 van het Centraal Bureau voor de Statistiek (hierna: CBS)</w:t>
      </w:r>
      <w:r w:rsidR="00CC46C7">
        <w:t>.</w:t>
      </w:r>
      <w:r w:rsidR="00CC46C7">
        <w:rPr>
          <w:rStyle w:val="Voetnootmarkering"/>
        </w:rPr>
        <w:footnoteReference w:id="1"/>
      </w:r>
      <w:r w:rsidR="00CC46C7">
        <w:t xml:space="preserve"> </w:t>
      </w:r>
      <w:r w:rsidR="005C3916">
        <w:t>Zo meldt het</w:t>
      </w:r>
      <w:r w:rsidRPr="000E3935" w:rsidR="00657CF2">
        <w:t xml:space="preserve"> CBS</w:t>
      </w:r>
      <w:r w:rsidR="005C3916">
        <w:t xml:space="preserve"> </w:t>
      </w:r>
      <w:r w:rsidRPr="000E3935" w:rsidR="00657CF2">
        <w:t xml:space="preserve">dat in Nederland het afgelopen jaar 1,7 miljoen mensen van zestien jaar </w:t>
      </w:r>
      <w:r w:rsidR="00DB5D86">
        <w:t xml:space="preserve">en </w:t>
      </w:r>
      <w:r w:rsidRPr="000E3935" w:rsidR="00657CF2">
        <w:t xml:space="preserve">ouder te maken </w:t>
      </w:r>
      <w:r w:rsidR="005C3916">
        <w:t xml:space="preserve">kreeg </w:t>
      </w:r>
      <w:r w:rsidRPr="000E3935" w:rsidR="00657CF2">
        <w:t xml:space="preserve">met seksuele intimidatie of seksueel geweld. </w:t>
      </w:r>
    </w:p>
    <w:p w:rsidRPr="000E3935" w:rsidR="00657CF2" w:rsidP="003B30FE" w:rsidRDefault="00657CF2" w14:paraId="214429F9" w14:textId="77777777">
      <w:pPr>
        <w:pStyle w:val="broodtekst"/>
      </w:pPr>
    </w:p>
    <w:p w:rsidR="00ED615E" w:rsidP="003B30FE" w:rsidRDefault="001D0556" w14:paraId="2E6C69DE" w14:textId="5F5780FF">
      <w:pPr>
        <w:pStyle w:val="broodtekst"/>
      </w:pPr>
      <w:r w:rsidRPr="000E3935">
        <w:t>De impact</w:t>
      </w:r>
      <w:r w:rsidRPr="000E3935" w:rsidR="0057046F">
        <w:t xml:space="preserve"> </w:t>
      </w:r>
      <w:r w:rsidRPr="000E3935" w:rsidR="007371D8">
        <w:t xml:space="preserve">van </w:t>
      </w:r>
      <w:r w:rsidR="005C3916">
        <w:t xml:space="preserve">seksuele </w:t>
      </w:r>
      <w:r w:rsidR="00EF7BCD">
        <w:t>delicten</w:t>
      </w:r>
      <w:r w:rsidR="00AC26D1">
        <w:t xml:space="preserve"> op slachtoffers</w:t>
      </w:r>
      <w:r w:rsidRPr="000E3935" w:rsidR="007371D8">
        <w:t xml:space="preserve"> </w:t>
      </w:r>
      <w:r w:rsidRPr="000E3935">
        <w:t>is</w:t>
      </w:r>
      <w:r w:rsidR="004828F7">
        <w:t xml:space="preserve"> </w:t>
      </w:r>
      <w:r w:rsidR="007B3E73">
        <w:t>vaak</w:t>
      </w:r>
      <w:r w:rsidRPr="000E3935">
        <w:t xml:space="preserve"> </w:t>
      </w:r>
      <w:r w:rsidRPr="000E3935" w:rsidR="0057046F">
        <w:t>groot</w:t>
      </w:r>
      <w:r w:rsidRPr="000E3935" w:rsidR="000E3935">
        <w:t xml:space="preserve"> en blijvend. Daarnaast worden</w:t>
      </w:r>
      <w:r w:rsidR="005C3916">
        <w:t xml:space="preserve"> bij dit soort </w:t>
      </w:r>
      <w:r w:rsidR="00EF7BCD">
        <w:t>delicten</w:t>
      </w:r>
      <w:r w:rsidRPr="000E3935" w:rsidR="000E3935">
        <w:t xml:space="preserve"> ook omstanders en onze samenleving in zijn geheel geraakt. </w:t>
      </w:r>
      <w:r w:rsidRPr="000E3935" w:rsidR="00123B3E">
        <w:t xml:space="preserve">Om die reden heeft de aanpak van </w:t>
      </w:r>
      <w:r w:rsidRPr="000E3935">
        <w:t xml:space="preserve">seksuele </w:t>
      </w:r>
      <w:r w:rsidR="00EF7BCD">
        <w:t>delicten</w:t>
      </w:r>
      <w:r w:rsidR="00163B11">
        <w:t xml:space="preserve"> </w:t>
      </w:r>
      <w:r w:rsidR="00D86FEA">
        <w:t xml:space="preserve">voor ons </w:t>
      </w:r>
      <w:r w:rsidR="00210D6D">
        <w:t>een hoge</w:t>
      </w:r>
      <w:r w:rsidRPr="000E3935" w:rsidR="00123B3E">
        <w:t xml:space="preserve"> prioriteit. </w:t>
      </w:r>
      <w:r w:rsidR="005C3916">
        <w:t xml:space="preserve">Gelukkig geldt dat ook voor </w:t>
      </w:r>
      <w:r w:rsidR="00620B70">
        <w:t xml:space="preserve">andere </w:t>
      </w:r>
      <w:r w:rsidRPr="000E3935" w:rsidR="000E3935">
        <w:t>betrokken partijen</w:t>
      </w:r>
      <w:r w:rsidR="000E3935">
        <w:t xml:space="preserve">, met wie samen belangrijke stappen worden gezet in de bestrijding. </w:t>
      </w:r>
      <w:r w:rsidR="005C3916">
        <w:t xml:space="preserve">Een belangrijke mijlpaal in die samenwerking </w:t>
      </w:r>
      <w:r w:rsidR="00FD601A">
        <w:t>was</w:t>
      </w:r>
      <w:r w:rsidR="005C3916">
        <w:t xml:space="preserve"> de inwerkingtreding van de Wet seksuele misdrijven op 1 juli 2024. </w:t>
      </w:r>
    </w:p>
    <w:p w:rsidR="00163B11" w:rsidP="003B30FE" w:rsidRDefault="00163B11" w14:paraId="412547A8" w14:textId="77777777">
      <w:pPr>
        <w:pStyle w:val="broodtekst"/>
      </w:pPr>
    </w:p>
    <w:p w:rsidR="00D01BEA" w:rsidP="004E6887" w:rsidRDefault="00163B11" w14:paraId="47FEED2B" w14:textId="21E6D8B9">
      <w:pPr>
        <w:pStyle w:val="broodtekst"/>
      </w:pPr>
      <w:r>
        <w:t>In navolging van de brief van 19 juni 2024 informe</w:t>
      </w:r>
      <w:r w:rsidR="00AC26D1">
        <w:t>ren</w:t>
      </w:r>
      <w:r>
        <w:t xml:space="preserve"> </w:t>
      </w:r>
      <w:r w:rsidR="00AC26D1">
        <w:t>wij u</w:t>
      </w:r>
      <w:r>
        <w:t xml:space="preserve"> in deze voortgangsbrief over de ontwikkelingen die zich </w:t>
      </w:r>
      <w:r w:rsidRPr="00230A1E">
        <w:t>de</w:t>
      </w:r>
      <w:r>
        <w:t xml:space="preserve"> afgelopen maanden hebben voorgedaan in de aanpak van seksuele </w:t>
      </w:r>
      <w:r w:rsidR="00EF7BCD">
        <w:t>delicten</w:t>
      </w:r>
      <w:r w:rsidRPr="00230A1E">
        <w:t>.</w:t>
      </w:r>
      <w:r w:rsidR="003B30FE">
        <w:rPr>
          <w:rStyle w:val="Voetnootmarkering"/>
        </w:rPr>
        <w:footnoteReference w:id="2"/>
      </w:r>
      <w:r w:rsidR="00230A1E">
        <w:t xml:space="preserve"> </w:t>
      </w:r>
      <w:r w:rsidR="00AF318C">
        <w:t xml:space="preserve">In deze brief </w:t>
      </w:r>
      <w:r w:rsidR="00AC26D1">
        <w:t>zullen wij</w:t>
      </w:r>
      <w:r w:rsidR="00AF318C">
        <w:t xml:space="preserve"> eerst stilstaan bij de ontwikkelingen die gerelateerd zijn aan de </w:t>
      </w:r>
      <w:r w:rsidRPr="00230A1E" w:rsidR="00AF318C">
        <w:t>inwerkingtreding</w:t>
      </w:r>
      <w:r w:rsidR="00AF318C">
        <w:t xml:space="preserve"> van de Wet seksuele misdrijven</w:t>
      </w:r>
      <w:r w:rsidRPr="00230A1E" w:rsidR="00AF318C">
        <w:t>.</w:t>
      </w:r>
      <w:r w:rsidR="00AF318C">
        <w:t xml:space="preserve"> </w:t>
      </w:r>
      <w:r w:rsidRPr="00230A1E" w:rsidR="00AF318C">
        <w:t>Daarna</w:t>
      </w:r>
      <w:r w:rsidR="00AF318C">
        <w:t xml:space="preserve"> word</w:t>
      </w:r>
      <w:r w:rsidR="00FD601A">
        <w:t xml:space="preserve">t onder andere ingegaan op </w:t>
      </w:r>
      <w:r w:rsidRPr="00AF318C" w:rsidR="00AF318C">
        <w:t xml:space="preserve">de stand van zaken van het </w:t>
      </w:r>
      <w:bookmarkStart w:name="_Hlk183783638" w:id="1"/>
      <w:r w:rsidRPr="00E75209" w:rsidR="00AF318C">
        <w:t xml:space="preserve">Actieplan versterken ketenaanpak zedenzaken </w:t>
      </w:r>
      <w:bookmarkEnd w:id="1"/>
      <w:r w:rsidRPr="00E75209" w:rsidR="00AF318C">
        <w:t>en de intensivering van de aanpak van</w:t>
      </w:r>
      <w:r w:rsidRPr="00E75209" w:rsidR="00B10B7D">
        <w:t xml:space="preserve"> </w:t>
      </w:r>
      <w:r w:rsidRPr="00E75209" w:rsidR="00AF318C">
        <w:t>kindermisbruik.</w:t>
      </w:r>
      <w:r w:rsidRPr="003B30FE" w:rsidR="003B30FE">
        <w:t xml:space="preserve"> </w:t>
      </w:r>
      <w:r w:rsidRPr="003F32F5" w:rsidR="003B30FE">
        <w:t>Daarnaast doen wij met deze brief verschillende toezeggingen af.</w:t>
      </w:r>
    </w:p>
    <w:p w:rsidR="004E6887" w:rsidP="004E6887" w:rsidRDefault="004E6887" w14:paraId="488BCF0C" w14:textId="77777777">
      <w:pPr>
        <w:pStyle w:val="broodtekst"/>
      </w:pPr>
    </w:p>
    <w:p w:rsidRPr="00D01BEA" w:rsidR="00123769" w:rsidP="00E55FF0" w:rsidRDefault="003B30FE" w14:paraId="51255EA6" w14:textId="797687BA">
      <w:pPr>
        <w:pStyle w:val="Lijstalinea"/>
        <w:numPr>
          <w:ilvl w:val="0"/>
          <w:numId w:val="23"/>
        </w:numPr>
        <w:spacing w:line="240" w:lineRule="auto"/>
        <w:ind w:left="284" w:hanging="284"/>
        <w:rPr>
          <w:b/>
          <w:bCs/>
        </w:rPr>
      </w:pPr>
      <w:r>
        <w:rPr>
          <w:b/>
          <w:bCs/>
        </w:rPr>
        <w:t>D</w:t>
      </w:r>
      <w:r w:rsidRPr="00D01BEA" w:rsidR="008F3864">
        <w:rPr>
          <w:b/>
          <w:bCs/>
        </w:rPr>
        <w:t>e werking van de Wet seksuele misdrijven</w:t>
      </w:r>
    </w:p>
    <w:p w:rsidR="003B30FE" w:rsidP="003B30FE" w:rsidRDefault="004D307F" w14:paraId="750B3979" w14:textId="2DBF85B8">
      <w:pPr>
        <w:pStyle w:val="broodtekst"/>
        <w:rPr>
          <w:rFonts w:eastAsiaTheme="minorHAnsi" w:cstheme="minorBidi"/>
          <w:lang w:eastAsia="en-US"/>
        </w:rPr>
      </w:pPr>
      <w:r>
        <w:rPr>
          <w:rFonts w:eastAsiaTheme="minorHAnsi" w:cstheme="minorBidi"/>
          <w:lang w:eastAsia="en-US"/>
        </w:rPr>
        <w:t>T</w:t>
      </w:r>
      <w:r w:rsidRPr="008F3864" w:rsidR="008F3864">
        <w:rPr>
          <w:rFonts w:eastAsiaTheme="minorHAnsi" w:cstheme="minorBidi"/>
          <w:lang w:eastAsia="en-US"/>
        </w:rPr>
        <w:t xml:space="preserve">ijdens het commissiedebat zeden en (on)veiligheid van vrouwen van 16 oktober </w:t>
      </w:r>
      <w:r w:rsidR="001B6DE1">
        <w:rPr>
          <w:rFonts w:eastAsiaTheme="minorHAnsi" w:cstheme="minorBidi"/>
          <w:lang w:eastAsia="en-US"/>
        </w:rPr>
        <w:t>2024</w:t>
      </w:r>
      <w:r w:rsidRPr="008F3864" w:rsidR="008F3864">
        <w:rPr>
          <w:rFonts w:eastAsiaTheme="minorHAnsi" w:cstheme="minorBidi"/>
          <w:lang w:eastAsia="en-US"/>
        </w:rPr>
        <w:t xml:space="preserve"> </w:t>
      </w:r>
      <w:r w:rsidR="00210D6D">
        <w:rPr>
          <w:rFonts w:eastAsiaTheme="minorHAnsi" w:cstheme="minorBidi"/>
          <w:lang w:eastAsia="en-US"/>
        </w:rPr>
        <w:t>heeft</w:t>
      </w:r>
      <w:r>
        <w:rPr>
          <w:rFonts w:eastAsiaTheme="minorHAnsi" w:cstheme="minorBidi"/>
          <w:lang w:eastAsia="en-US"/>
        </w:rPr>
        <w:t xml:space="preserve"> de </w:t>
      </w:r>
      <w:r w:rsidR="003B30FE">
        <w:rPr>
          <w:rFonts w:eastAsiaTheme="minorHAnsi" w:cstheme="minorBidi"/>
          <w:lang w:eastAsia="en-US"/>
        </w:rPr>
        <w:t>s</w:t>
      </w:r>
      <w:r>
        <w:rPr>
          <w:rFonts w:eastAsiaTheme="minorHAnsi" w:cstheme="minorBidi"/>
          <w:lang w:eastAsia="en-US"/>
        </w:rPr>
        <w:t xml:space="preserve">taatssecretaris van Justitie en Veiligheid toegezegd </w:t>
      </w:r>
      <w:r w:rsidRPr="008F3864" w:rsidR="008F3864">
        <w:rPr>
          <w:rFonts w:eastAsiaTheme="minorHAnsi" w:cstheme="minorBidi"/>
          <w:lang w:eastAsia="en-US"/>
        </w:rPr>
        <w:t>om uw Kamer eind dit jaar te informeren over de nadere werking van de Wet seksuele misdrijven.</w:t>
      </w:r>
      <w:r>
        <w:rPr>
          <w:rFonts w:eastAsiaTheme="minorHAnsi" w:cstheme="minorBidi"/>
          <w:lang w:eastAsia="en-US"/>
        </w:rPr>
        <w:t xml:space="preserve"> Hierbij wordt deze toezegging gestand gedaan.</w:t>
      </w:r>
      <w:r w:rsidR="003B30FE">
        <w:rPr>
          <w:rStyle w:val="Voetnootmarkering"/>
          <w:rFonts w:eastAsiaTheme="minorHAnsi" w:cstheme="minorBidi"/>
          <w:lang w:eastAsia="en-US"/>
        </w:rPr>
        <w:footnoteReference w:id="3"/>
      </w:r>
      <w:r>
        <w:rPr>
          <w:rFonts w:eastAsiaTheme="minorHAnsi" w:cstheme="minorBidi"/>
          <w:lang w:eastAsia="en-US"/>
        </w:rPr>
        <w:t xml:space="preserve"> </w:t>
      </w:r>
      <w:r w:rsidR="00564ED1">
        <w:rPr>
          <w:rFonts w:eastAsiaTheme="minorHAnsi" w:cstheme="minorBidi"/>
          <w:lang w:eastAsia="en-US"/>
        </w:rPr>
        <w:t xml:space="preserve">   </w:t>
      </w:r>
    </w:p>
    <w:p w:rsidR="003B30FE" w:rsidP="003B30FE" w:rsidRDefault="003B30FE" w14:paraId="7C3AE22C" w14:textId="77777777">
      <w:pPr>
        <w:pStyle w:val="broodtekst"/>
        <w:rPr>
          <w:rFonts w:eastAsiaTheme="minorHAnsi" w:cstheme="minorBidi"/>
          <w:lang w:eastAsia="en-US"/>
        </w:rPr>
      </w:pPr>
    </w:p>
    <w:p w:rsidR="00A10C06" w:rsidP="003B30FE" w:rsidRDefault="008F3864" w14:paraId="1FB2B313" w14:textId="39CD15F1">
      <w:pPr>
        <w:pStyle w:val="broodtekst"/>
        <w:rPr>
          <w:rFonts w:eastAsia="Calibri"/>
          <w:lang w:eastAsia="en-US"/>
        </w:rPr>
      </w:pPr>
      <w:r w:rsidRPr="008F3864">
        <w:rPr>
          <w:rFonts w:eastAsia="Calibri"/>
          <w:lang w:eastAsia="en-US"/>
        </w:rPr>
        <w:t>Hoewel het, een half jaar na inwerkingtreding van de Wet seksuele misdrijven, nog te vroeg is om conclusies te trekken</w:t>
      </w:r>
      <w:r w:rsidR="00B66961">
        <w:rPr>
          <w:rFonts w:eastAsia="Calibri"/>
          <w:lang w:eastAsia="en-US"/>
        </w:rPr>
        <w:t>,</w:t>
      </w:r>
      <w:r w:rsidRPr="008F3864">
        <w:rPr>
          <w:rFonts w:eastAsia="Calibri"/>
          <w:lang w:eastAsia="en-US"/>
        </w:rPr>
        <w:t xml:space="preserve"> zijn de eerste ervaringen met de wet positief. De implementatie van de wet, waar </w:t>
      </w:r>
      <w:r>
        <w:rPr>
          <w:rFonts w:eastAsia="Calibri"/>
          <w:lang w:eastAsia="en-US"/>
        </w:rPr>
        <w:t xml:space="preserve">het </w:t>
      </w:r>
      <w:r w:rsidR="00E55FF0">
        <w:rPr>
          <w:rFonts w:eastAsia="Calibri"/>
          <w:lang w:eastAsia="en-US"/>
        </w:rPr>
        <w:t>m</w:t>
      </w:r>
      <w:r>
        <w:rPr>
          <w:rFonts w:eastAsia="Calibri"/>
          <w:lang w:eastAsia="en-US"/>
        </w:rPr>
        <w:t>inisterie van Justitie en Veiligheid</w:t>
      </w:r>
      <w:r w:rsidRPr="008F3864">
        <w:rPr>
          <w:rFonts w:eastAsia="Calibri"/>
          <w:lang w:eastAsia="en-US"/>
        </w:rPr>
        <w:t xml:space="preserve"> en de betrokken taakorganisaties bijna twee jaar intensief aan hebben gewerkt, is succesvol verlopen. De taakorganisaties, waaronder de politie en het </w:t>
      </w:r>
      <w:r w:rsidR="00E55FF0">
        <w:rPr>
          <w:rFonts w:eastAsia="Calibri"/>
          <w:lang w:eastAsia="en-US"/>
        </w:rPr>
        <w:t>O</w:t>
      </w:r>
      <w:r w:rsidRPr="008F3864">
        <w:rPr>
          <w:rFonts w:eastAsia="Calibri"/>
          <w:lang w:eastAsia="en-US"/>
        </w:rPr>
        <w:t xml:space="preserve">penbaar </w:t>
      </w:r>
      <w:r w:rsidR="00E55FF0">
        <w:rPr>
          <w:rFonts w:eastAsia="Calibri"/>
          <w:lang w:eastAsia="en-US"/>
        </w:rPr>
        <w:t>M</w:t>
      </w:r>
      <w:r w:rsidRPr="008F3864">
        <w:rPr>
          <w:rFonts w:eastAsia="Calibri"/>
          <w:lang w:eastAsia="en-US"/>
        </w:rPr>
        <w:t>inisterie, waren op 1 juli klaar voor de uitvoering.</w:t>
      </w:r>
      <w:r w:rsidR="00564ED1">
        <w:rPr>
          <w:rFonts w:eastAsia="Calibri"/>
          <w:lang w:eastAsia="en-US"/>
        </w:rPr>
        <w:t xml:space="preserve"> </w:t>
      </w:r>
      <w:r w:rsidRPr="003F32F5" w:rsidR="000F6A77">
        <w:rPr>
          <w:rFonts w:eastAsia="Calibri"/>
          <w:lang w:eastAsia="en-US"/>
        </w:rPr>
        <w:t xml:space="preserve">Het effect van de </w:t>
      </w:r>
      <w:r w:rsidRPr="003F32F5" w:rsidR="000F6A77">
        <w:rPr>
          <w:rFonts w:eastAsia="Calibri"/>
          <w:lang w:eastAsia="en-US"/>
        </w:rPr>
        <w:lastRenderedPageBreak/>
        <w:t xml:space="preserve">wet op de in- en doorstroom van zaken in de strafrechtketen zal geleidelijk aan zichtbaar worden. </w:t>
      </w:r>
      <w:r w:rsidRPr="003F32F5" w:rsidR="00E55FF0">
        <w:rPr>
          <w:rFonts w:eastAsia="Calibri"/>
          <w:lang w:eastAsia="en-US"/>
        </w:rPr>
        <w:t xml:space="preserve">Wij </w:t>
      </w:r>
      <w:r w:rsidRPr="003F32F5" w:rsidR="000F6A77">
        <w:rPr>
          <w:rFonts w:eastAsia="Calibri"/>
          <w:lang w:eastAsia="en-US"/>
        </w:rPr>
        <w:t>verwacht</w:t>
      </w:r>
      <w:r w:rsidRPr="003F32F5" w:rsidR="00E55FF0">
        <w:rPr>
          <w:rFonts w:eastAsia="Calibri"/>
          <w:lang w:eastAsia="en-US"/>
        </w:rPr>
        <w:t>en</w:t>
      </w:r>
      <w:r w:rsidRPr="003F32F5" w:rsidR="000F6A77">
        <w:rPr>
          <w:rFonts w:eastAsia="Calibri"/>
          <w:lang w:eastAsia="en-US"/>
        </w:rPr>
        <w:t xml:space="preserve"> dat taakorganisaties zoals de politie en het </w:t>
      </w:r>
      <w:r w:rsidRPr="003F32F5" w:rsidR="00E55FF0">
        <w:rPr>
          <w:rFonts w:eastAsia="Calibri"/>
          <w:lang w:eastAsia="en-US"/>
        </w:rPr>
        <w:t>O</w:t>
      </w:r>
      <w:r w:rsidRPr="003F32F5" w:rsidR="000F6A77">
        <w:rPr>
          <w:rFonts w:eastAsia="Calibri"/>
          <w:lang w:eastAsia="en-US"/>
        </w:rPr>
        <w:t xml:space="preserve">penbaar </w:t>
      </w:r>
      <w:r w:rsidRPr="003F32F5" w:rsidR="00E55FF0">
        <w:rPr>
          <w:rFonts w:eastAsia="Calibri"/>
          <w:lang w:eastAsia="en-US"/>
        </w:rPr>
        <w:t>M</w:t>
      </w:r>
      <w:r w:rsidRPr="003F32F5" w:rsidR="000F6A77">
        <w:rPr>
          <w:rFonts w:eastAsia="Calibri"/>
          <w:lang w:eastAsia="en-US"/>
        </w:rPr>
        <w:t xml:space="preserve">inisterie hier in de eerste helft van </w:t>
      </w:r>
      <w:r w:rsidRPr="003F32F5" w:rsidR="00E55FF0">
        <w:rPr>
          <w:rFonts w:eastAsia="Calibri"/>
          <w:lang w:eastAsia="en-US"/>
        </w:rPr>
        <w:t>2025</w:t>
      </w:r>
      <w:r w:rsidRPr="003F32F5" w:rsidR="000F6A77">
        <w:rPr>
          <w:rFonts w:eastAsia="Calibri"/>
          <w:lang w:eastAsia="en-US"/>
        </w:rPr>
        <w:t xml:space="preserve"> een eerste beeld over kunnen geven</w:t>
      </w:r>
      <w:r w:rsidRPr="003F32F5" w:rsidR="00A10C06">
        <w:rPr>
          <w:rFonts w:eastAsia="Calibri"/>
          <w:lang w:eastAsia="en-US"/>
        </w:rPr>
        <w:t>.</w:t>
      </w:r>
      <w:r w:rsidR="00A10C06">
        <w:rPr>
          <w:rFonts w:eastAsia="Calibri"/>
          <w:lang w:eastAsia="en-US"/>
        </w:rPr>
        <w:t xml:space="preserve"> </w:t>
      </w:r>
    </w:p>
    <w:p w:rsidR="003B30FE" w:rsidP="003B30FE" w:rsidRDefault="003B30FE" w14:paraId="33A836F9" w14:textId="77777777">
      <w:pPr>
        <w:pStyle w:val="broodtekst"/>
        <w:rPr>
          <w:rFonts w:eastAsia="Calibri"/>
          <w:lang w:eastAsia="en-US"/>
        </w:rPr>
      </w:pPr>
    </w:p>
    <w:p w:rsidR="00E61D7C" w:rsidP="004E6887" w:rsidRDefault="008F3864" w14:paraId="056ADC3A" w14:textId="0BCF9146">
      <w:pPr>
        <w:pStyle w:val="broodtekst"/>
        <w:rPr>
          <w:rFonts w:eastAsia="Calibri"/>
          <w:lang w:eastAsia="en-US"/>
        </w:rPr>
      </w:pPr>
      <w:r w:rsidRPr="008F3864">
        <w:rPr>
          <w:rFonts w:eastAsia="Calibri"/>
          <w:lang w:eastAsia="en-US"/>
        </w:rPr>
        <w:t>Inmiddels zijn de eerste veroordelingen naar aanleiding van de nieuwe strafbaarstelling van seksuele intimidatie</w:t>
      </w:r>
      <w:r w:rsidRPr="00B66961" w:rsidR="00B66961">
        <w:rPr>
          <w:rFonts w:eastAsia="Calibri"/>
          <w:lang w:eastAsia="en-US"/>
        </w:rPr>
        <w:t xml:space="preserve"> </w:t>
      </w:r>
      <w:r w:rsidRPr="008F3864" w:rsidR="00B66961">
        <w:rPr>
          <w:rFonts w:eastAsia="Calibri"/>
          <w:lang w:eastAsia="en-US"/>
        </w:rPr>
        <w:t>in het openbaar</w:t>
      </w:r>
      <w:r w:rsidRPr="008F3864">
        <w:rPr>
          <w:rFonts w:eastAsia="Calibri"/>
          <w:lang w:eastAsia="en-US"/>
        </w:rPr>
        <w:t xml:space="preserve">, artikel 429ter van het Wetboek van Strafrecht, </w:t>
      </w:r>
      <w:r w:rsidR="00B66961">
        <w:rPr>
          <w:rFonts w:eastAsia="Calibri"/>
          <w:lang w:eastAsia="en-US"/>
        </w:rPr>
        <w:t>uitgesproken</w:t>
      </w:r>
      <w:r w:rsidRPr="008F3864">
        <w:rPr>
          <w:rFonts w:eastAsia="Calibri"/>
          <w:lang w:eastAsia="en-US"/>
        </w:rPr>
        <w:t>. Met de andere nieuwe strafbaarstellingen</w:t>
      </w:r>
      <w:r w:rsidR="00B66961">
        <w:rPr>
          <w:rFonts w:eastAsia="Calibri"/>
          <w:lang w:eastAsia="en-US"/>
        </w:rPr>
        <w:t>,</w:t>
      </w:r>
      <w:r w:rsidRPr="008F3864">
        <w:rPr>
          <w:rFonts w:eastAsia="Calibri"/>
          <w:lang w:eastAsia="en-US"/>
        </w:rPr>
        <w:t xml:space="preserve"> zoals de schuldvarianten van aanranding en verkrachting</w:t>
      </w:r>
      <w:r w:rsidR="00B66961">
        <w:rPr>
          <w:rFonts w:eastAsia="Calibri"/>
          <w:lang w:eastAsia="en-US"/>
        </w:rPr>
        <w:t xml:space="preserve"> (</w:t>
      </w:r>
      <w:r w:rsidRPr="008F3864">
        <w:rPr>
          <w:rFonts w:eastAsia="Calibri"/>
          <w:lang w:eastAsia="en-US"/>
        </w:rPr>
        <w:t>artikelen 240 en 242 van het Wetboek van Strafrecht</w:t>
      </w:r>
      <w:r w:rsidR="00B66961">
        <w:rPr>
          <w:rFonts w:eastAsia="Calibri"/>
          <w:lang w:eastAsia="en-US"/>
        </w:rPr>
        <w:t xml:space="preserve">) </w:t>
      </w:r>
      <w:r w:rsidRPr="008F3864">
        <w:rPr>
          <w:rFonts w:eastAsia="Calibri"/>
          <w:lang w:eastAsia="en-US"/>
        </w:rPr>
        <w:t>en met sexchatting</w:t>
      </w:r>
      <w:r w:rsidR="00B66961">
        <w:rPr>
          <w:rFonts w:eastAsia="Calibri"/>
          <w:lang w:eastAsia="en-US"/>
        </w:rPr>
        <w:t xml:space="preserve"> (</w:t>
      </w:r>
      <w:r w:rsidRPr="008F3864">
        <w:rPr>
          <w:rFonts w:eastAsia="Calibri"/>
          <w:lang w:eastAsia="en-US"/>
        </w:rPr>
        <w:t>artikel 251 lid 1 onder a en lid 2 van het Wetboek van Strafrecht</w:t>
      </w:r>
      <w:r w:rsidR="00B66961">
        <w:rPr>
          <w:rFonts w:eastAsia="Calibri"/>
          <w:lang w:eastAsia="en-US"/>
        </w:rPr>
        <w:t>)</w:t>
      </w:r>
      <w:r w:rsidRPr="008F3864">
        <w:rPr>
          <w:rFonts w:eastAsia="Calibri"/>
          <w:lang w:eastAsia="en-US"/>
        </w:rPr>
        <w:t xml:space="preserve"> is vooralsnog minder ervaring opgedaan. De schuldvarianten van aanranding en verkrachting worden vooral als subsidiair feit aangebracht. </w:t>
      </w:r>
      <w:r w:rsidR="00210D6D">
        <w:rPr>
          <w:rFonts w:eastAsia="Calibri"/>
          <w:lang w:eastAsia="en-US"/>
        </w:rPr>
        <w:t>Van</w:t>
      </w:r>
      <w:r w:rsidRPr="008F3864" w:rsidR="00210D6D">
        <w:rPr>
          <w:rFonts w:eastAsia="Calibri"/>
          <w:lang w:eastAsia="en-US"/>
        </w:rPr>
        <w:t xml:space="preserve"> </w:t>
      </w:r>
      <w:r w:rsidRPr="008F3864">
        <w:rPr>
          <w:rFonts w:eastAsia="Calibri"/>
          <w:lang w:eastAsia="en-US"/>
        </w:rPr>
        <w:t xml:space="preserve">het delict sexchatting wordt nog </w:t>
      </w:r>
      <w:r w:rsidR="00210D6D">
        <w:rPr>
          <w:rFonts w:eastAsia="Calibri"/>
          <w:lang w:eastAsia="en-US"/>
        </w:rPr>
        <w:t>weinig</w:t>
      </w:r>
      <w:r w:rsidRPr="008F3864" w:rsidR="00210D6D">
        <w:rPr>
          <w:rFonts w:eastAsia="Calibri"/>
          <w:lang w:eastAsia="en-US"/>
        </w:rPr>
        <w:t xml:space="preserve"> </w:t>
      </w:r>
      <w:r w:rsidR="00A10C06">
        <w:rPr>
          <w:rFonts w:eastAsia="Calibri"/>
          <w:lang w:eastAsia="en-US"/>
        </w:rPr>
        <w:t>instroom gezien.</w:t>
      </w:r>
      <w:r w:rsidRPr="008F3864">
        <w:rPr>
          <w:rFonts w:eastAsia="Calibri"/>
          <w:lang w:eastAsia="en-US"/>
        </w:rPr>
        <w:t xml:space="preserve"> Dit </w:t>
      </w:r>
      <w:r w:rsidR="00E55FF0">
        <w:rPr>
          <w:rFonts w:eastAsia="Calibri"/>
          <w:lang w:eastAsia="en-US"/>
        </w:rPr>
        <w:t>past binnen de verwachtingen</w:t>
      </w:r>
      <w:r w:rsidRPr="008F3864">
        <w:rPr>
          <w:rFonts w:eastAsia="Calibri"/>
          <w:lang w:eastAsia="en-US"/>
        </w:rPr>
        <w:t xml:space="preserve">, nu de Wet seksuele misdrijven alleen van toepassing is op feiten die na de inwerkingtreding op 1 juli </w:t>
      </w:r>
      <w:r w:rsidR="0037551C">
        <w:rPr>
          <w:rFonts w:eastAsia="Calibri"/>
          <w:lang w:eastAsia="en-US"/>
        </w:rPr>
        <w:t>2024</w:t>
      </w:r>
      <w:r w:rsidRPr="008F3864">
        <w:rPr>
          <w:rFonts w:eastAsia="Calibri"/>
          <w:lang w:eastAsia="en-US"/>
        </w:rPr>
        <w:t xml:space="preserve"> hebben plaatsgevonden en de ervaring leert dat slachtoffers van dergelijke feiten soms pas na langere tijd aangifte doen.</w:t>
      </w:r>
      <w:r w:rsidR="00564ED1">
        <w:rPr>
          <w:rFonts w:eastAsia="Calibri"/>
          <w:lang w:eastAsia="en-US"/>
        </w:rPr>
        <w:t xml:space="preserve"> </w:t>
      </w:r>
      <w:r w:rsidRPr="003F32F5">
        <w:rPr>
          <w:rFonts w:eastAsia="Calibri"/>
          <w:lang w:eastAsia="en-US"/>
        </w:rPr>
        <w:t xml:space="preserve">Verder heeft, zoals ook nader </w:t>
      </w:r>
      <w:r w:rsidRPr="003F32F5" w:rsidR="009869FE">
        <w:rPr>
          <w:rFonts w:eastAsia="Calibri"/>
          <w:lang w:eastAsia="en-US"/>
        </w:rPr>
        <w:t xml:space="preserve">wordt </w:t>
      </w:r>
      <w:r w:rsidRPr="003F32F5">
        <w:rPr>
          <w:rFonts w:eastAsia="Calibri"/>
          <w:lang w:eastAsia="en-US"/>
        </w:rPr>
        <w:t xml:space="preserve">toegelicht in deze brief, de landelijke </w:t>
      </w:r>
      <w:r w:rsidRPr="003F32F5">
        <w:rPr>
          <w:rFonts w:eastAsia="Calibri"/>
        </w:rPr>
        <w:t>publiekscampagne</w:t>
      </w:r>
      <w:r w:rsidRPr="003F32F5">
        <w:rPr>
          <w:rFonts w:eastAsia="Calibri"/>
          <w:lang w:eastAsia="en-US"/>
        </w:rPr>
        <w:t xml:space="preserve"> over de invoering van de wet, die op 1 juli </w:t>
      </w:r>
      <w:r w:rsidRPr="003F32F5" w:rsidR="00EC1D90">
        <w:rPr>
          <w:rFonts w:eastAsia="Calibri"/>
          <w:lang w:eastAsia="en-US"/>
        </w:rPr>
        <w:t xml:space="preserve">2024 </w:t>
      </w:r>
      <w:r w:rsidRPr="003F32F5">
        <w:rPr>
          <w:rFonts w:eastAsia="Calibri"/>
          <w:lang w:eastAsia="en-US"/>
        </w:rPr>
        <w:t>is gestart</w:t>
      </w:r>
      <w:r w:rsidRPr="003F32F5" w:rsidR="00EC1D90">
        <w:rPr>
          <w:rFonts w:eastAsia="Calibri"/>
          <w:lang w:eastAsia="en-US"/>
        </w:rPr>
        <w:t>,</w:t>
      </w:r>
      <w:r w:rsidRPr="003F32F5">
        <w:rPr>
          <w:rFonts w:eastAsia="Calibri"/>
          <w:lang w:eastAsia="en-US"/>
        </w:rPr>
        <w:t xml:space="preserve"> positieve resultaten opgeleverd. Met de campagne is een bijdrage geleverd aan het bevorderen van de bewustwording over en het verankeren van de maatschappelijke norm achter de wet.</w:t>
      </w:r>
      <w:r w:rsidRPr="008F3864">
        <w:rPr>
          <w:rFonts w:eastAsia="Calibri"/>
          <w:lang w:eastAsia="en-US"/>
        </w:rPr>
        <w:t xml:space="preserve">  </w:t>
      </w:r>
    </w:p>
    <w:p w:rsidRPr="002029FD" w:rsidR="003B30FE" w:rsidP="003B30FE" w:rsidRDefault="003B30FE" w14:paraId="1B7F33A0" w14:textId="77777777">
      <w:pPr>
        <w:pStyle w:val="broodtekst"/>
        <w:rPr>
          <w:rFonts w:eastAsiaTheme="minorHAnsi" w:cstheme="minorBidi"/>
          <w:lang w:eastAsia="en-US"/>
        </w:rPr>
      </w:pPr>
    </w:p>
    <w:p w:rsidRPr="00EA59BF" w:rsidR="00E61D7C" w:rsidP="00E55FF0" w:rsidRDefault="00E61D7C" w14:paraId="36B7B385" w14:textId="5EF094AC">
      <w:pPr>
        <w:pStyle w:val="Lijstalinea"/>
        <w:numPr>
          <w:ilvl w:val="0"/>
          <w:numId w:val="23"/>
        </w:numPr>
        <w:autoSpaceDN/>
        <w:spacing w:line="240" w:lineRule="auto"/>
        <w:ind w:left="284" w:hanging="284"/>
        <w:textAlignment w:val="auto"/>
        <w:rPr>
          <w:rFonts w:eastAsia="Calibri" w:cs="Calibri"/>
          <w:b/>
          <w:color w:val="auto"/>
          <w:kern w:val="2"/>
          <w:lang w:eastAsia="en-US"/>
          <w14:ligatures w14:val="standardContextual"/>
        </w:rPr>
      </w:pPr>
      <w:r w:rsidRPr="00EA59BF">
        <w:rPr>
          <w:rFonts w:cs="Calibri"/>
          <w:b/>
        </w:rPr>
        <w:t xml:space="preserve">Afbakening seksuele intimidatie en aanranding </w:t>
      </w:r>
    </w:p>
    <w:p w:rsidRPr="003F32F5" w:rsidR="00210D6D" w:rsidP="003B30FE" w:rsidRDefault="00E61D7C" w14:paraId="2C570E19" w14:textId="5A72DDBE">
      <w:pPr>
        <w:pStyle w:val="broodtekst"/>
      </w:pPr>
      <w:r w:rsidRPr="00D32AEE">
        <w:t>Tijdens het commissiedebat zeden</w:t>
      </w:r>
      <w:r w:rsidRPr="004F0F65">
        <w:t xml:space="preserve"> en (on)veiligheid van vrouwen van 16 oktober </w:t>
      </w:r>
      <w:r w:rsidR="001B6DE1">
        <w:t>2024</w:t>
      </w:r>
      <w:r w:rsidRPr="004F0F65">
        <w:t xml:space="preserve"> gaven de leden Mutluer (GL-PvdA) en Van Nispen (SP) aan dat van slachtoffers het signaal </w:t>
      </w:r>
      <w:r w:rsidR="00E0544D">
        <w:t>is</w:t>
      </w:r>
      <w:r w:rsidRPr="004F0F65">
        <w:t xml:space="preserve"> ontvangen dat</w:t>
      </w:r>
      <w:r>
        <w:t>,</w:t>
      </w:r>
      <w:r w:rsidRPr="004F0F65">
        <w:t xml:space="preserve"> </w:t>
      </w:r>
      <w:r>
        <w:t xml:space="preserve">omwille van de snelheid, </w:t>
      </w:r>
      <w:r w:rsidRPr="004F0F65">
        <w:t xml:space="preserve">de strafbaarstelling van seksuele intimidatie, </w:t>
      </w:r>
      <w:r w:rsidR="00B66961">
        <w:t xml:space="preserve">opgenomen in </w:t>
      </w:r>
      <w:r w:rsidRPr="004F0F65">
        <w:t xml:space="preserve">artikel 429ter van het Wetboek van Strafrecht, gebruikt wordt in zaken waar </w:t>
      </w:r>
      <w:r>
        <w:t xml:space="preserve">(ook) vervolging zou kunnen plaatsvinden wegens </w:t>
      </w:r>
      <w:r w:rsidRPr="004F0F65">
        <w:t xml:space="preserve">het zwaardere </w:t>
      </w:r>
      <w:r w:rsidR="00B66961">
        <w:t>delict</w:t>
      </w:r>
      <w:r w:rsidRPr="004F0F65">
        <w:t xml:space="preserve"> </w:t>
      </w:r>
      <w:r w:rsidRPr="003F32F5">
        <w:t xml:space="preserve">aanranding. Zoals tijdens het debat door de </w:t>
      </w:r>
      <w:r w:rsidRPr="003F32F5" w:rsidR="00E55FF0">
        <w:t>s</w:t>
      </w:r>
      <w:r w:rsidRPr="003F32F5">
        <w:t xml:space="preserve">taatssecretaris van Justitie en Veiligheid </w:t>
      </w:r>
      <w:r w:rsidRPr="003F32F5" w:rsidR="00F112B2">
        <w:t>met uw Kamer is afgesproken,</w:t>
      </w:r>
      <w:r w:rsidRPr="003F32F5" w:rsidR="004D307F">
        <w:t xml:space="preserve"> </w:t>
      </w:r>
      <w:r w:rsidRPr="003F32F5">
        <w:t xml:space="preserve">is dit signaal inmiddels meegenomen in de gesprekken die met de politie en het </w:t>
      </w:r>
      <w:r w:rsidRPr="003F32F5" w:rsidR="00E55FF0">
        <w:t>O</w:t>
      </w:r>
      <w:r w:rsidRPr="003F32F5">
        <w:t>penbaar</w:t>
      </w:r>
      <w:r w:rsidRPr="003F32F5" w:rsidR="00E55FF0">
        <w:t xml:space="preserve"> M</w:t>
      </w:r>
      <w:r w:rsidRPr="003F32F5">
        <w:t>inisterie over de werking van de Wet Seksuele misdrijven worden gevoerd.</w:t>
      </w:r>
      <w:r w:rsidRPr="003F32F5">
        <w:rPr>
          <w:rStyle w:val="Voetnootmarkering"/>
        </w:rPr>
        <w:footnoteReference w:id="4"/>
      </w:r>
    </w:p>
    <w:p w:rsidRPr="003F32F5" w:rsidR="003B30FE" w:rsidP="003B30FE" w:rsidRDefault="003B30FE" w14:paraId="0F0040B5" w14:textId="77777777">
      <w:pPr>
        <w:pStyle w:val="broodtekst"/>
        <w:rPr>
          <w:rFonts w:eastAsia="Calibri" w:cs="Calibri"/>
          <w:bCs/>
          <w:kern w:val="2"/>
          <w:u w:val="single"/>
          <w:lang w:eastAsia="en-US"/>
          <w14:ligatures w14:val="standardContextual"/>
        </w:rPr>
      </w:pPr>
    </w:p>
    <w:p w:rsidR="00E61D7C" w:rsidP="004E6887" w:rsidRDefault="00E61D7C" w14:paraId="0B6C7B12" w14:textId="04FE8C8C">
      <w:pPr>
        <w:pStyle w:val="broodtekst"/>
        <w:rPr>
          <w:rFonts w:cs="Calibri"/>
          <w:bCs/>
        </w:rPr>
      </w:pPr>
      <w:r w:rsidRPr="003F32F5">
        <w:t xml:space="preserve">Het genoemde signaal wordt </w:t>
      </w:r>
      <w:r w:rsidRPr="003F32F5" w:rsidR="00E0544D">
        <w:t xml:space="preserve">door deze partijen </w:t>
      </w:r>
      <w:r w:rsidRPr="003F32F5">
        <w:t xml:space="preserve">niet herkend. Benadrukt wordt dat niet de snelheid </w:t>
      </w:r>
      <w:r w:rsidRPr="003F32F5" w:rsidR="00E55FF0">
        <w:t>waarmee een zaak kan worden afgedaan bepaalt waarvoor iemand wordt vervolgd en welk(e) feit(en) ten laste wordt gelegd</w:t>
      </w:r>
      <w:r w:rsidRPr="003F32F5">
        <w:t>, maar de feiten en omstandigheden van het geval. In</w:t>
      </w:r>
      <w:r w:rsidRPr="003F32F5">
        <w:rPr>
          <w:rFonts w:cs="Calibri"/>
          <w:bCs/>
        </w:rPr>
        <w:t xml:space="preserve"> het algemeen en zoals tijdens voornoemd debat toegelicht, kunnen zwaardere variante</w:t>
      </w:r>
      <w:r w:rsidRPr="00E61D7C">
        <w:rPr>
          <w:rFonts w:cs="Calibri"/>
          <w:bCs/>
        </w:rPr>
        <w:t xml:space="preserve">n van fysieke seksuele intimidatie en lichtere varianten van </w:t>
      </w:r>
      <w:r w:rsidRPr="004E6887">
        <w:t>aanranding</w:t>
      </w:r>
      <w:r w:rsidRPr="00E61D7C">
        <w:rPr>
          <w:rFonts w:cs="Calibri"/>
          <w:bCs/>
        </w:rPr>
        <w:t xml:space="preserve"> dicht bij elkaar liggen. De politie en het </w:t>
      </w:r>
      <w:r w:rsidR="00E55FF0">
        <w:rPr>
          <w:rFonts w:cs="Calibri"/>
          <w:bCs/>
        </w:rPr>
        <w:t>O</w:t>
      </w:r>
      <w:r w:rsidRPr="00E61D7C">
        <w:rPr>
          <w:rFonts w:cs="Calibri"/>
          <w:bCs/>
        </w:rPr>
        <w:t xml:space="preserve">penbaar </w:t>
      </w:r>
      <w:r w:rsidR="00E55FF0">
        <w:rPr>
          <w:rFonts w:cs="Calibri"/>
          <w:bCs/>
        </w:rPr>
        <w:t>M</w:t>
      </w:r>
      <w:r w:rsidRPr="00E61D7C">
        <w:rPr>
          <w:rFonts w:cs="Calibri"/>
          <w:bCs/>
        </w:rPr>
        <w:t>inisterie</w:t>
      </w:r>
      <w:r w:rsidR="00B66961">
        <w:rPr>
          <w:rFonts w:cs="Calibri"/>
          <w:bCs/>
        </w:rPr>
        <w:t xml:space="preserve"> hebben</w:t>
      </w:r>
      <w:r w:rsidRPr="00E61D7C">
        <w:rPr>
          <w:rFonts w:cs="Calibri"/>
          <w:bCs/>
        </w:rPr>
        <w:t>, evenals de gemeenten die aan de pilot voor handhaving van de strafbaarstelling van seksuele intimidatie door boa’s meedoen, hier in de voorbereiding op de inwerkingtreding van de Wet seksuele misdrijven veel aandacht aan besteed. Voor aanranding is vereist dat iemand ‘met een persoon seksuele handelingen verricht’. Daarbij valt te denken aan aanrakingen van seksuele lichaamsdelen, zoals borsten, billen en geslachtsdelen. Van aanranding is in de regel geen sprake als de gedraging kortstondig plaatsvindt en bestaat uit aanrakingen van niet</w:t>
      </w:r>
      <w:r w:rsidR="00B66961">
        <w:rPr>
          <w:rFonts w:cs="Calibri"/>
          <w:bCs/>
        </w:rPr>
        <w:t>-</w:t>
      </w:r>
      <w:r w:rsidRPr="00E61D7C">
        <w:rPr>
          <w:rFonts w:cs="Calibri"/>
          <w:bCs/>
        </w:rPr>
        <w:t>seksuele lichaamsdelen, zoals aanrakingen van een arm of een aai over de bol. Als dit in het openbaar gebeurt</w:t>
      </w:r>
      <w:r w:rsidR="00B66961">
        <w:rPr>
          <w:rFonts w:cs="Calibri"/>
          <w:bCs/>
        </w:rPr>
        <w:t>,</w:t>
      </w:r>
      <w:r w:rsidRPr="00E61D7C">
        <w:rPr>
          <w:rFonts w:cs="Calibri"/>
          <w:bCs/>
        </w:rPr>
        <w:t xml:space="preserve"> kan wel sprake zijn van seksuele intimidatie. </w:t>
      </w:r>
    </w:p>
    <w:p w:rsidR="00B754BC" w:rsidP="00E61D7C" w:rsidRDefault="00B754BC" w14:paraId="12E3E418" w14:textId="77777777">
      <w:pPr>
        <w:spacing w:line="240" w:lineRule="auto"/>
      </w:pPr>
    </w:p>
    <w:p w:rsidR="00E61D7C" w:rsidP="003B30FE" w:rsidRDefault="00E61D7C" w14:paraId="5BBA1085" w14:textId="65A1FFEC">
      <w:pPr>
        <w:pStyle w:val="broodtekst"/>
        <w:rPr>
          <w:rFonts w:cs="Calibri"/>
          <w:bCs/>
        </w:rPr>
      </w:pPr>
      <w:r w:rsidRPr="004F0F65">
        <w:t>De beslissing welke feitelijke gedraging en welk delict in een concrete zaak aan een verdachte ten laste wordt gelegd is vervolgens aan de officier van justitie. Bij die beslissing wordt</w:t>
      </w:r>
      <w:r w:rsidR="00787280">
        <w:t>,</w:t>
      </w:r>
      <w:r w:rsidRPr="004F0F65">
        <w:t xml:space="preserve"> </w:t>
      </w:r>
      <w:r w:rsidR="00787280">
        <w:t xml:space="preserve">zoals gezegd, </w:t>
      </w:r>
      <w:r w:rsidRPr="004F0F65">
        <w:t>rekening gehouden</w:t>
      </w:r>
      <w:r>
        <w:t xml:space="preserve"> met</w:t>
      </w:r>
      <w:r w:rsidRPr="004F0F65">
        <w:t xml:space="preserve"> </w:t>
      </w:r>
      <w:r w:rsidRPr="00E61D7C">
        <w:rPr>
          <w:rFonts w:cs="Calibri"/>
          <w:bCs/>
        </w:rPr>
        <w:t xml:space="preserve">alle feiten en omstandigheden van het geval. </w:t>
      </w:r>
    </w:p>
    <w:p w:rsidR="0009430F" w:rsidP="00E61D7C" w:rsidRDefault="0009430F" w14:paraId="21D62FD9" w14:textId="77777777">
      <w:pPr>
        <w:spacing w:line="240" w:lineRule="auto"/>
        <w:rPr>
          <w:rFonts w:cs="Calibri"/>
          <w:bCs/>
        </w:rPr>
      </w:pPr>
    </w:p>
    <w:p w:rsidRPr="003464B2" w:rsidR="0009430F" w:rsidP="00E55FF0" w:rsidRDefault="0009430F" w14:paraId="75F2CD81" w14:textId="2EEC713D">
      <w:pPr>
        <w:pStyle w:val="Lijstalinea"/>
        <w:numPr>
          <w:ilvl w:val="0"/>
          <w:numId w:val="23"/>
        </w:numPr>
        <w:spacing w:line="240" w:lineRule="auto"/>
        <w:ind w:left="284" w:hanging="284"/>
        <w:rPr>
          <w:rFonts w:cs="Calibri"/>
          <w:b/>
        </w:rPr>
      </w:pPr>
      <w:r w:rsidRPr="003464B2">
        <w:rPr>
          <w:rFonts w:cs="Calibri"/>
          <w:b/>
        </w:rPr>
        <w:t xml:space="preserve">Daderprofielen seksuele intimidatie </w:t>
      </w:r>
    </w:p>
    <w:p w:rsidR="00870327" w:rsidP="004E6887" w:rsidRDefault="0009430F" w14:paraId="45BB681E" w14:textId="14CAA808">
      <w:pPr>
        <w:pStyle w:val="broodtekst"/>
        <w:rPr>
          <w:rFonts w:eastAsiaTheme="minorHAnsi"/>
          <w:lang w:eastAsia="en-US"/>
        </w:rPr>
      </w:pPr>
      <w:r w:rsidRPr="0009430F">
        <w:rPr>
          <w:rFonts w:eastAsiaTheme="minorHAnsi"/>
          <w:lang w:eastAsia="en-US"/>
        </w:rPr>
        <w:t xml:space="preserve">Tijdens het commissiedebat zeden en (on)veiligheid van vrouwen van 16 oktober </w:t>
      </w:r>
      <w:r w:rsidR="001B6DE1">
        <w:rPr>
          <w:rFonts w:eastAsiaTheme="minorHAnsi"/>
          <w:lang w:eastAsia="en-US"/>
        </w:rPr>
        <w:t>2024</w:t>
      </w:r>
      <w:r w:rsidRPr="0009430F">
        <w:rPr>
          <w:rFonts w:eastAsiaTheme="minorHAnsi"/>
          <w:lang w:eastAsia="en-US"/>
        </w:rPr>
        <w:t xml:space="preserve"> </w:t>
      </w:r>
      <w:r w:rsidR="00870327">
        <w:rPr>
          <w:rFonts w:eastAsiaTheme="minorHAnsi"/>
          <w:lang w:eastAsia="en-US"/>
        </w:rPr>
        <w:t>heeft</w:t>
      </w:r>
      <w:r w:rsidR="005543A8">
        <w:rPr>
          <w:rFonts w:eastAsiaTheme="minorHAnsi"/>
          <w:lang w:eastAsia="en-US"/>
        </w:rPr>
        <w:t xml:space="preserve"> </w:t>
      </w:r>
      <w:r w:rsidRPr="0009430F">
        <w:rPr>
          <w:rFonts w:eastAsiaTheme="minorHAnsi"/>
          <w:lang w:eastAsia="en-US"/>
        </w:rPr>
        <w:t xml:space="preserve">de </w:t>
      </w:r>
      <w:r w:rsidR="00E55FF0">
        <w:rPr>
          <w:rFonts w:eastAsiaTheme="minorHAnsi"/>
          <w:lang w:eastAsia="en-US"/>
        </w:rPr>
        <w:t>s</w:t>
      </w:r>
      <w:r w:rsidRPr="0009430F">
        <w:rPr>
          <w:rFonts w:eastAsiaTheme="minorHAnsi"/>
          <w:lang w:eastAsia="en-US"/>
        </w:rPr>
        <w:t xml:space="preserve">taatssecretaris van Justitie en Veiligheid </w:t>
      </w:r>
      <w:r w:rsidR="00787280">
        <w:rPr>
          <w:rFonts w:eastAsiaTheme="minorHAnsi"/>
          <w:lang w:eastAsia="en-US"/>
        </w:rPr>
        <w:t xml:space="preserve">laten weten </w:t>
      </w:r>
      <w:r w:rsidR="005543A8">
        <w:rPr>
          <w:rFonts w:eastAsiaTheme="minorHAnsi"/>
          <w:lang w:eastAsia="en-US"/>
        </w:rPr>
        <w:t>uw</w:t>
      </w:r>
      <w:r w:rsidRPr="0009430F">
        <w:rPr>
          <w:rFonts w:eastAsiaTheme="minorHAnsi"/>
          <w:lang w:eastAsia="en-US"/>
        </w:rPr>
        <w:t xml:space="preserve"> Kamer rond het einde van het jaar samen met de </w:t>
      </w:r>
      <w:r w:rsidR="00E55FF0">
        <w:rPr>
          <w:rFonts w:eastAsiaTheme="minorHAnsi"/>
          <w:lang w:eastAsia="en-US"/>
        </w:rPr>
        <w:t>s</w:t>
      </w:r>
      <w:r w:rsidRPr="0009430F">
        <w:rPr>
          <w:rFonts w:eastAsiaTheme="minorHAnsi"/>
          <w:lang w:eastAsia="en-US"/>
        </w:rPr>
        <w:t>taatssecretaris</w:t>
      </w:r>
      <w:r w:rsidRPr="00190DD9">
        <w:rPr>
          <w:rFonts w:eastAsiaTheme="minorHAnsi"/>
          <w:lang w:eastAsia="en-US"/>
        </w:rPr>
        <w:t xml:space="preserve"> </w:t>
      </w:r>
      <w:r w:rsidRPr="0009430F">
        <w:rPr>
          <w:rFonts w:eastAsiaTheme="minorHAnsi"/>
          <w:lang w:eastAsia="en-US"/>
        </w:rPr>
        <w:t xml:space="preserve">van Onderwijs, Cultuur en Wetenschap nader te </w:t>
      </w:r>
      <w:r w:rsidRPr="004E6887">
        <w:rPr>
          <w:rFonts w:eastAsiaTheme="minorHAnsi"/>
        </w:rPr>
        <w:t>informeren</w:t>
      </w:r>
      <w:r w:rsidRPr="0009430F">
        <w:rPr>
          <w:rFonts w:eastAsiaTheme="minorHAnsi"/>
          <w:lang w:eastAsia="en-US"/>
        </w:rPr>
        <w:t xml:space="preserve"> over de mogelijkheden om een landelijk onderzoek te doen naar daderprofielen van seksuele intimidatie in </w:t>
      </w:r>
      <w:r w:rsidR="006D0D8A">
        <w:rPr>
          <w:rFonts w:eastAsiaTheme="minorHAnsi"/>
          <w:lang w:eastAsia="en-US"/>
        </w:rPr>
        <w:t>het openbaar</w:t>
      </w:r>
      <w:r w:rsidRPr="0009430F">
        <w:rPr>
          <w:rFonts w:eastAsiaTheme="minorHAnsi"/>
          <w:lang w:eastAsia="en-US"/>
        </w:rPr>
        <w:t>. Dit naar aanleiding van een vraag van Becker</w:t>
      </w:r>
      <w:r w:rsidR="004D307F">
        <w:rPr>
          <w:rFonts w:eastAsiaTheme="minorHAnsi"/>
          <w:lang w:eastAsia="en-US"/>
        </w:rPr>
        <w:t xml:space="preserve"> (VVD)</w:t>
      </w:r>
      <w:r w:rsidR="00A76C6D">
        <w:rPr>
          <w:rFonts w:eastAsiaTheme="minorHAnsi"/>
          <w:lang w:eastAsia="en-US"/>
        </w:rPr>
        <w:t xml:space="preserve"> over de mogelijkheden om een dergelijk onderzoek,</w:t>
      </w:r>
      <w:r w:rsidRPr="00C5141D" w:rsidR="00C5141D">
        <w:rPr>
          <w:rFonts w:eastAsiaTheme="minorHAnsi"/>
          <w:lang w:eastAsia="en-US"/>
        </w:rPr>
        <w:t xml:space="preserve"> </w:t>
      </w:r>
      <w:r w:rsidR="00C5141D">
        <w:rPr>
          <w:rFonts w:eastAsiaTheme="minorHAnsi"/>
          <w:lang w:eastAsia="en-US"/>
        </w:rPr>
        <w:t xml:space="preserve">vooral gericht op gevallen van seksuele intimidatie in de fysieke </w:t>
      </w:r>
      <w:r w:rsidR="00872B9E">
        <w:rPr>
          <w:rFonts w:eastAsiaTheme="minorHAnsi"/>
          <w:lang w:eastAsia="en-US"/>
        </w:rPr>
        <w:t xml:space="preserve">publieke </w:t>
      </w:r>
      <w:r w:rsidR="00C5141D">
        <w:rPr>
          <w:rFonts w:eastAsiaTheme="minorHAnsi"/>
          <w:lang w:eastAsia="en-US"/>
        </w:rPr>
        <w:t>ruimte</w:t>
      </w:r>
      <w:r w:rsidR="00A76C6D">
        <w:rPr>
          <w:rFonts w:eastAsiaTheme="minorHAnsi"/>
          <w:lang w:eastAsia="en-US"/>
        </w:rPr>
        <w:t>, te verrichten</w:t>
      </w:r>
      <w:r w:rsidRPr="0009430F">
        <w:rPr>
          <w:rFonts w:eastAsiaTheme="minorHAnsi"/>
          <w:lang w:eastAsia="en-US"/>
        </w:rPr>
        <w:t>.</w:t>
      </w:r>
      <w:r w:rsidR="002029FD">
        <w:rPr>
          <w:rFonts w:eastAsiaTheme="minorHAnsi"/>
          <w:lang w:eastAsia="en-US"/>
        </w:rPr>
        <w:t xml:space="preserve"> </w:t>
      </w:r>
    </w:p>
    <w:p w:rsidR="00E55FF0" w:rsidP="00E55FF0" w:rsidRDefault="00E55FF0" w14:paraId="31ACB912" w14:textId="77777777">
      <w:pPr>
        <w:pStyle w:val="broodtekst"/>
        <w:rPr>
          <w:rFonts w:eastAsiaTheme="minorHAnsi"/>
          <w:lang w:eastAsia="en-US"/>
        </w:rPr>
      </w:pPr>
    </w:p>
    <w:p w:rsidRPr="003F32F5" w:rsidR="0027048C" w:rsidP="003B30FE" w:rsidRDefault="0009430F" w14:paraId="5ECE5C78" w14:textId="31A98E8D">
      <w:pPr>
        <w:pStyle w:val="broodtekst"/>
        <w:rPr>
          <w:rFonts w:eastAsiaTheme="minorHAnsi"/>
          <w:lang w:eastAsia="en-US"/>
        </w:rPr>
      </w:pPr>
      <w:r w:rsidRPr="003F32F5">
        <w:rPr>
          <w:rFonts w:eastAsiaTheme="minorHAnsi"/>
          <w:lang w:eastAsia="en-US"/>
        </w:rPr>
        <w:t>De mogelijkheden om een onderzoek naar daderprofielen van seksuele intimidatie te verrichten zijn eerder</w:t>
      </w:r>
      <w:r w:rsidRPr="003F32F5" w:rsidR="00870327">
        <w:rPr>
          <w:rFonts w:eastAsiaTheme="minorHAnsi"/>
          <w:lang w:eastAsia="en-US"/>
        </w:rPr>
        <w:t xml:space="preserve"> verkend</w:t>
      </w:r>
      <w:r w:rsidRPr="003F32F5">
        <w:rPr>
          <w:rFonts w:eastAsiaTheme="minorHAnsi"/>
          <w:lang w:eastAsia="en-US"/>
        </w:rPr>
        <w:t xml:space="preserve"> naar aanleiding van een motie van Van der Woude</w:t>
      </w:r>
      <w:r w:rsidRPr="003F32F5" w:rsidR="006E53D1">
        <w:rPr>
          <w:rFonts w:eastAsiaTheme="minorHAnsi"/>
          <w:lang w:eastAsia="en-US"/>
        </w:rPr>
        <w:t xml:space="preserve"> (VVD)</w:t>
      </w:r>
      <w:r w:rsidRPr="003F32F5">
        <w:rPr>
          <w:rFonts w:eastAsiaTheme="minorHAnsi"/>
          <w:lang w:eastAsia="en-US"/>
        </w:rPr>
        <w:t>.</w:t>
      </w:r>
      <w:r w:rsidRPr="003F32F5">
        <w:rPr>
          <w:rFonts w:eastAsiaTheme="minorHAnsi"/>
          <w:vertAlign w:val="superscript"/>
          <w:lang w:eastAsia="en-US"/>
        </w:rPr>
        <w:footnoteReference w:id="5"/>
      </w:r>
      <w:r w:rsidRPr="003F32F5">
        <w:rPr>
          <w:rFonts w:eastAsiaTheme="minorHAnsi"/>
          <w:lang w:eastAsia="en-US"/>
        </w:rPr>
        <w:t xml:space="preserve"> In de voortgangsbrief aanpak online seksueel kindermisbruik en zeden van 5 juli 2023 is toegelicht dat een dergelijk onderzoek destijds niet mogelijk was vanwege het ontbreken van registratiegegevens over daders in de strafrechtelijke context</w:t>
      </w:r>
      <w:r w:rsidRPr="003F32F5" w:rsidR="00E0544D">
        <w:rPr>
          <w:rFonts w:eastAsiaTheme="minorHAnsi"/>
          <w:lang w:eastAsia="en-US"/>
        </w:rPr>
        <w:t>,</w:t>
      </w:r>
      <w:r w:rsidRPr="003F32F5">
        <w:rPr>
          <w:rFonts w:eastAsiaTheme="minorHAnsi"/>
          <w:lang w:eastAsia="en-US"/>
        </w:rPr>
        <w:t xml:space="preserve"> aangezien seksuele intimidatie toen nog niet strafbaar was.</w:t>
      </w:r>
      <w:r w:rsidRPr="003F32F5">
        <w:rPr>
          <w:rFonts w:eastAsiaTheme="minorHAnsi"/>
          <w:vertAlign w:val="superscript"/>
          <w:lang w:eastAsia="en-US"/>
        </w:rPr>
        <w:footnoteReference w:id="6"/>
      </w:r>
      <w:r w:rsidRPr="003F32F5">
        <w:rPr>
          <w:rFonts w:eastAsiaTheme="minorHAnsi"/>
          <w:lang w:eastAsia="en-US"/>
        </w:rPr>
        <w:t xml:space="preserve"> Seksuele intimidatie in het openbaar is sinds 1 juli </w:t>
      </w:r>
      <w:r w:rsidRPr="003F32F5" w:rsidR="00702256">
        <w:rPr>
          <w:rFonts w:eastAsiaTheme="minorHAnsi"/>
          <w:lang w:eastAsia="en-US"/>
        </w:rPr>
        <w:t xml:space="preserve">2024 </w:t>
      </w:r>
      <w:r w:rsidRPr="003F32F5">
        <w:rPr>
          <w:rFonts w:eastAsiaTheme="minorHAnsi"/>
          <w:lang w:eastAsia="en-US"/>
        </w:rPr>
        <w:t>strafbaar en inmiddels zijn de eerste veroordelingen wegens seksuele intimidatie uitgesproken. Echter, een onderzoek naar daderprofielen is nog steeds niet mogelijk. Om een representatief beeld van de daders te schetsen</w:t>
      </w:r>
      <w:r w:rsidRPr="003F32F5" w:rsidR="00AE1935">
        <w:rPr>
          <w:rFonts w:eastAsiaTheme="minorHAnsi"/>
          <w:lang w:eastAsia="en-US"/>
        </w:rPr>
        <w:t>,</w:t>
      </w:r>
      <w:r w:rsidRPr="003F32F5">
        <w:rPr>
          <w:rFonts w:eastAsiaTheme="minorHAnsi"/>
          <w:lang w:eastAsia="en-US"/>
        </w:rPr>
        <w:t xml:space="preserve"> is een aanzienlijk aantal uitspraken nodig. Hoe snel voldoende jurisprudentie beschikbaar komt, is niet te zeggen, maar de verwachting is dat het nog enige tijd zal duren voordat een wetenschappelijk onderzoek naar profielen van daders van seksuele intimidatie kan worden gedaan.</w:t>
      </w:r>
    </w:p>
    <w:p w:rsidRPr="003F32F5" w:rsidR="00E55FF0" w:rsidP="003B30FE" w:rsidRDefault="00E55FF0" w14:paraId="248876DE" w14:textId="77777777">
      <w:pPr>
        <w:pStyle w:val="broodtekst"/>
        <w:rPr>
          <w:rFonts w:eastAsiaTheme="minorHAnsi"/>
          <w:lang w:eastAsia="en-US"/>
        </w:rPr>
      </w:pPr>
    </w:p>
    <w:p w:rsidRPr="003F32F5" w:rsidR="003B30FE" w:rsidP="003B30FE" w:rsidRDefault="0009430F" w14:paraId="02F9D6BB" w14:textId="2244ED5B">
      <w:pPr>
        <w:pStyle w:val="broodtekst"/>
        <w:rPr>
          <w:rFonts w:eastAsiaTheme="minorHAnsi"/>
          <w:lang w:eastAsia="en-US"/>
        </w:rPr>
      </w:pPr>
      <w:r w:rsidRPr="003F32F5">
        <w:rPr>
          <w:rFonts w:eastAsiaTheme="minorHAnsi"/>
          <w:lang w:eastAsia="en-US"/>
        </w:rPr>
        <w:t>Het lid Becker</w:t>
      </w:r>
      <w:r w:rsidRPr="003F32F5" w:rsidR="006E53D1">
        <w:rPr>
          <w:rFonts w:eastAsiaTheme="minorHAnsi"/>
          <w:lang w:eastAsia="en-US"/>
        </w:rPr>
        <w:t xml:space="preserve"> </w:t>
      </w:r>
      <w:r w:rsidRPr="003F32F5">
        <w:rPr>
          <w:rFonts w:eastAsiaTheme="minorHAnsi"/>
          <w:lang w:eastAsia="en-US"/>
        </w:rPr>
        <w:t>heeft eerder verzocht te verkennen of op basis van andere bronnen een duidelijk profiel van plegers van seksuele intimidatie (buiten het strafrechtelijke kader) kan worden geschetst.</w:t>
      </w:r>
      <w:r w:rsidRPr="003F32F5">
        <w:rPr>
          <w:rFonts w:eastAsiaTheme="minorHAnsi"/>
          <w:vertAlign w:val="superscript"/>
          <w:lang w:eastAsia="en-US"/>
        </w:rPr>
        <w:footnoteReference w:id="7"/>
      </w:r>
      <w:r w:rsidRPr="003F32F5">
        <w:rPr>
          <w:rFonts w:eastAsiaTheme="minorHAnsi"/>
          <w:lang w:eastAsia="en-US"/>
        </w:rPr>
        <w:t xml:space="preserve"> In reactie hierop wordt verwezen naar bovengenoemde brief van 5 juli 2023. Daarin is toegelicht dat een </w:t>
      </w:r>
      <w:r w:rsidRPr="003F32F5">
        <w:rPr>
          <w:rFonts w:eastAsiaTheme="minorHAnsi"/>
          <w:i/>
          <w:iCs/>
          <w:lang w:eastAsia="en-US"/>
        </w:rPr>
        <w:t>quickscan</w:t>
      </w:r>
      <w:r w:rsidRPr="003F32F5">
        <w:rPr>
          <w:rFonts w:eastAsiaTheme="minorHAnsi"/>
          <w:lang w:eastAsia="en-US"/>
        </w:rPr>
        <w:t xml:space="preserve"> onder gemeenten naar straatintimidatie is verricht en dat in dat kader expliciet naar informatie over vermeende plegers van seksuele intimidatie is gevraagd. Ook is dit uitgevraagd bij de gemeenten uit het programma Veilige Steden</w:t>
      </w:r>
      <w:r w:rsidRPr="003F32F5" w:rsidR="00AE1935">
        <w:rPr>
          <w:rFonts w:eastAsiaTheme="minorHAnsi"/>
          <w:lang w:eastAsia="en-US"/>
        </w:rPr>
        <w:t>.</w:t>
      </w:r>
      <w:r w:rsidRPr="003F32F5">
        <w:rPr>
          <w:rFonts w:eastAsiaTheme="minorHAnsi"/>
          <w:vertAlign w:val="superscript"/>
          <w:lang w:eastAsia="en-US"/>
        </w:rPr>
        <w:footnoteReference w:id="8"/>
      </w:r>
      <w:r w:rsidRPr="003F32F5">
        <w:rPr>
          <w:rFonts w:eastAsiaTheme="minorHAnsi"/>
          <w:lang w:eastAsia="en-US"/>
        </w:rPr>
        <w:t xml:space="preserve"> Hieruit blijkt dat de plegers meestal (voor het slachtoffer) onbekende mannen zijn. Dit is in lijn met wat in landelijke rapportages</w:t>
      </w:r>
      <w:r w:rsidRPr="003F32F5" w:rsidR="00AE1935">
        <w:rPr>
          <w:rFonts w:eastAsiaTheme="minorHAnsi"/>
          <w:lang w:eastAsia="en-US"/>
        </w:rPr>
        <w:t>,</w:t>
      </w:r>
      <w:r w:rsidRPr="003F32F5">
        <w:rPr>
          <w:rFonts w:eastAsiaTheme="minorHAnsi"/>
          <w:lang w:eastAsia="en-US"/>
        </w:rPr>
        <w:t xml:space="preserve"> zoals de Prevalentiemonitor huiselijk geweld en seksueel grensoverschrijdend gedrag, over plegers van seksuele</w:t>
      </w:r>
      <w:r w:rsidRPr="003F32F5" w:rsidR="00C5141D">
        <w:rPr>
          <w:rFonts w:eastAsiaTheme="minorHAnsi"/>
          <w:lang w:eastAsia="en-US"/>
        </w:rPr>
        <w:t xml:space="preserve"> </w:t>
      </w:r>
      <w:r w:rsidRPr="003F32F5" w:rsidR="006D0D8A">
        <w:rPr>
          <w:rFonts w:eastAsiaTheme="minorHAnsi"/>
          <w:lang w:eastAsia="en-US"/>
        </w:rPr>
        <w:t>intimidatie</w:t>
      </w:r>
      <w:r w:rsidRPr="003F32F5">
        <w:rPr>
          <w:rFonts w:eastAsiaTheme="minorHAnsi"/>
          <w:lang w:eastAsia="en-US"/>
        </w:rPr>
        <w:t xml:space="preserve"> wordt vermeld.</w:t>
      </w:r>
      <w:r w:rsidRPr="003F32F5">
        <w:rPr>
          <w:rFonts w:eastAsiaTheme="minorHAnsi"/>
          <w:vertAlign w:val="superscript"/>
          <w:lang w:eastAsia="en-US"/>
        </w:rPr>
        <w:footnoteReference w:id="9"/>
      </w:r>
      <w:r w:rsidRPr="003F32F5">
        <w:rPr>
          <w:rFonts w:eastAsiaTheme="minorHAnsi"/>
          <w:lang w:eastAsia="en-US"/>
        </w:rPr>
        <w:t xml:space="preserve"> Overige kenmerken van (vermeende) plegers van seksuele intimidatie blijken uit deze bronnen niet.</w:t>
      </w:r>
    </w:p>
    <w:p w:rsidRPr="003F32F5" w:rsidR="003B30FE" w:rsidP="003B30FE" w:rsidRDefault="003B30FE" w14:paraId="0FFB1E59" w14:textId="77777777">
      <w:pPr>
        <w:pStyle w:val="broodtekst"/>
        <w:rPr>
          <w:rFonts w:eastAsiaTheme="minorHAnsi"/>
          <w:lang w:eastAsia="en-US"/>
        </w:rPr>
      </w:pPr>
    </w:p>
    <w:p w:rsidR="0009430F" w:rsidP="003B30FE" w:rsidRDefault="0009430F" w14:paraId="66B2CB51" w14:textId="76D0DE73">
      <w:pPr>
        <w:pStyle w:val="broodtekst"/>
        <w:rPr>
          <w:rFonts w:eastAsiaTheme="minorHAnsi"/>
          <w:lang w:eastAsia="en-US"/>
        </w:rPr>
      </w:pPr>
      <w:r w:rsidRPr="003F32F5">
        <w:rPr>
          <w:rFonts w:eastAsiaTheme="minorHAnsi"/>
          <w:lang w:eastAsia="en-US"/>
        </w:rPr>
        <w:t xml:space="preserve">De wens om zo snel mogelijk onderzoek naar daderprofielen van seksuele intimidatie te doen is begrijpelijk, maar </w:t>
      </w:r>
      <w:r w:rsidRPr="003F32F5" w:rsidR="00C5141D">
        <w:rPr>
          <w:rFonts w:eastAsiaTheme="minorHAnsi"/>
          <w:lang w:eastAsia="en-US"/>
        </w:rPr>
        <w:t>een dergelijk onderzoek is op dit moment niet uitvoerbaar</w:t>
      </w:r>
      <w:r w:rsidRPr="003F32F5">
        <w:rPr>
          <w:rFonts w:eastAsiaTheme="minorHAnsi"/>
          <w:lang w:eastAsia="en-US"/>
        </w:rPr>
        <w:t>.</w:t>
      </w:r>
      <w:r w:rsidRPr="003F32F5" w:rsidR="009F49BD">
        <w:rPr>
          <w:rFonts w:eastAsiaTheme="minorHAnsi"/>
          <w:lang w:eastAsia="en-US"/>
        </w:rPr>
        <w:t xml:space="preserve"> Wij blijven de </w:t>
      </w:r>
      <w:r w:rsidRPr="003F32F5" w:rsidR="009F49BD">
        <w:rPr>
          <w:rFonts w:eastAsiaTheme="minorHAnsi"/>
        </w:rPr>
        <w:t>ontwikkelingen</w:t>
      </w:r>
      <w:r w:rsidRPr="003F32F5" w:rsidR="009F49BD">
        <w:rPr>
          <w:rFonts w:eastAsiaTheme="minorHAnsi"/>
          <w:lang w:eastAsia="en-US"/>
        </w:rPr>
        <w:t xml:space="preserve"> monitoren en zullen over een tijd, bijvoorbeeld </w:t>
      </w:r>
      <w:r w:rsidRPr="003F32F5" w:rsidR="00DE4CC3">
        <w:rPr>
          <w:rFonts w:eastAsiaTheme="minorHAnsi"/>
          <w:lang w:eastAsia="en-US"/>
        </w:rPr>
        <w:t xml:space="preserve">als de effectiviteit van de handhaving van de strafbaarstelling van seksuele intimidatie </w:t>
      </w:r>
      <w:r w:rsidRPr="003F32F5" w:rsidR="00374D76">
        <w:rPr>
          <w:rFonts w:eastAsiaTheme="minorHAnsi"/>
          <w:lang w:eastAsia="en-US"/>
        </w:rPr>
        <w:t xml:space="preserve">in het openbaar </w:t>
      </w:r>
      <w:r w:rsidRPr="003F32F5" w:rsidR="00DE4CC3">
        <w:rPr>
          <w:rFonts w:eastAsiaTheme="minorHAnsi"/>
          <w:lang w:eastAsia="en-US"/>
        </w:rPr>
        <w:t>is geëvalueerd, opnieuw nagaan of een dergelijk onderzoek dan uitvoerbaar is.</w:t>
      </w:r>
      <w:r w:rsidRPr="003F32F5" w:rsidR="00DE4CC3">
        <w:rPr>
          <w:rStyle w:val="Voetnootmarkering"/>
          <w:rFonts w:eastAsiaTheme="minorHAnsi" w:cstheme="minorBidi"/>
          <w:kern w:val="2"/>
          <w:lang w:eastAsia="en-US"/>
          <w14:ligatures w14:val="standardContextual"/>
        </w:rPr>
        <w:footnoteReference w:id="10"/>
      </w:r>
    </w:p>
    <w:p w:rsidRPr="0009430F" w:rsidR="003B30FE" w:rsidP="003B30FE" w:rsidRDefault="003B30FE" w14:paraId="7670D53B" w14:textId="77777777">
      <w:pPr>
        <w:pStyle w:val="broodtekst"/>
        <w:rPr>
          <w:rFonts w:eastAsiaTheme="minorHAnsi"/>
          <w:lang w:eastAsia="en-US"/>
        </w:rPr>
      </w:pPr>
    </w:p>
    <w:p w:rsidRPr="003464B2" w:rsidR="00307FEE" w:rsidP="00E55FF0" w:rsidRDefault="004E6887" w14:paraId="11D3F386" w14:textId="290D9E76">
      <w:pPr>
        <w:pStyle w:val="Lijstalinea"/>
        <w:numPr>
          <w:ilvl w:val="0"/>
          <w:numId w:val="23"/>
        </w:numPr>
        <w:spacing w:line="240" w:lineRule="auto"/>
        <w:ind w:left="284" w:hanging="284"/>
        <w:rPr>
          <w:b/>
          <w:bCs/>
        </w:rPr>
      </w:pPr>
      <w:r>
        <w:rPr>
          <w:b/>
          <w:bCs/>
        </w:rPr>
        <w:t>B</w:t>
      </w:r>
      <w:r w:rsidR="00DA2F6E">
        <w:rPr>
          <w:b/>
          <w:bCs/>
        </w:rPr>
        <w:t>etrekken van de</w:t>
      </w:r>
      <w:r w:rsidRPr="003464B2" w:rsidR="00006A29">
        <w:rPr>
          <w:b/>
          <w:bCs/>
        </w:rPr>
        <w:t xml:space="preserve"> landelijke publiekscampagne </w:t>
      </w:r>
      <w:r w:rsidR="00DA2F6E">
        <w:rPr>
          <w:b/>
          <w:bCs/>
        </w:rPr>
        <w:t xml:space="preserve">over de </w:t>
      </w:r>
      <w:r w:rsidRPr="003464B2" w:rsidR="00006A29">
        <w:rPr>
          <w:b/>
          <w:bCs/>
        </w:rPr>
        <w:t>Wet seksuele misdrijven</w:t>
      </w:r>
      <w:r w:rsidR="00DA2F6E">
        <w:rPr>
          <w:b/>
          <w:bCs/>
        </w:rPr>
        <w:t xml:space="preserve"> bij de evaluatie </w:t>
      </w:r>
    </w:p>
    <w:p w:rsidR="00006A29" w:rsidP="003B30FE" w:rsidRDefault="00990FF1" w14:paraId="1E27A024" w14:textId="1027EAAB">
      <w:pPr>
        <w:pStyle w:val="broodtekst"/>
      </w:pPr>
      <w:r w:rsidRPr="00DA2F6E">
        <w:t xml:space="preserve">Tijdens de </w:t>
      </w:r>
      <w:r w:rsidR="006E5C65">
        <w:t xml:space="preserve">plenaire </w:t>
      </w:r>
      <w:r w:rsidRPr="00DA2F6E">
        <w:t xml:space="preserve">behandeling van </w:t>
      </w:r>
      <w:r w:rsidRPr="00DA2F6E" w:rsidR="00EF3D11">
        <w:t>het Wetsvoorstel</w:t>
      </w:r>
      <w:r w:rsidRPr="00DA2F6E">
        <w:t xml:space="preserve"> seksuele misdrijven </w:t>
      </w:r>
      <w:r w:rsidR="00870327">
        <w:t>in</w:t>
      </w:r>
      <w:r w:rsidR="0055057F">
        <w:t xml:space="preserve"> </w:t>
      </w:r>
      <w:r w:rsidRPr="00DA2F6E">
        <w:t>de Eerste Kamer</w:t>
      </w:r>
      <w:r w:rsidRPr="00DA2F6E" w:rsidR="001B6DE1">
        <w:t xml:space="preserve"> op 19 maart 2024,</w:t>
      </w:r>
      <w:r w:rsidRPr="00DA2F6E">
        <w:t xml:space="preserve"> heeft de voormalig </w:t>
      </w:r>
      <w:r w:rsidR="00E55FF0">
        <w:t>m</w:t>
      </w:r>
      <w:r w:rsidRPr="00DA2F6E">
        <w:t xml:space="preserve">inister van </w:t>
      </w:r>
      <w:r w:rsidR="00870327">
        <w:t>J</w:t>
      </w:r>
      <w:r w:rsidRPr="00DA2F6E">
        <w:t>ustitie en Veiligheid toegezegd om d</w:t>
      </w:r>
      <w:r w:rsidRPr="00DA2F6E" w:rsidR="00EF3D11">
        <w:t>e</w:t>
      </w:r>
      <w:r w:rsidRPr="00DA2F6E">
        <w:t xml:space="preserve"> landelijke publiekscampagne</w:t>
      </w:r>
      <w:r w:rsidRPr="00DA2F6E" w:rsidR="001B6DE1">
        <w:t xml:space="preserve"> over de Wet seksuele misdrijven</w:t>
      </w:r>
      <w:r w:rsidRPr="00DA2F6E">
        <w:t xml:space="preserve"> mee te nemen</w:t>
      </w:r>
      <w:r w:rsidRPr="00DA2F6E" w:rsidR="00EF3D11">
        <w:t xml:space="preserve"> bij</w:t>
      </w:r>
      <w:r w:rsidRPr="00DA2F6E">
        <w:t xml:space="preserve"> de evaluatie</w:t>
      </w:r>
      <w:r w:rsidRPr="00DA2F6E" w:rsidR="00EF3D11">
        <w:t xml:space="preserve"> van de wet</w:t>
      </w:r>
      <w:r w:rsidRPr="00DA2F6E">
        <w:t>. Hierbij wordt deze toezegging gestand gedaan.</w:t>
      </w:r>
      <w:r w:rsidR="003B30FE">
        <w:rPr>
          <w:rStyle w:val="Voetnootmarkering"/>
        </w:rPr>
        <w:footnoteReference w:id="11"/>
      </w:r>
      <w:r>
        <w:t xml:space="preserve">  </w:t>
      </w:r>
    </w:p>
    <w:p w:rsidR="00870327" w:rsidP="00006A29" w:rsidRDefault="00870327" w14:paraId="6AAB7CAB" w14:textId="77777777">
      <w:pPr>
        <w:pStyle w:val="Geenafstand"/>
        <w:rPr>
          <w:rFonts w:ascii="Verdana" w:hAnsi="Verdana"/>
          <w:sz w:val="18"/>
          <w:szCs w:val="18"/>
        </w:rPr>
      </w:pPr>
    </w:p>
    <w:p w:rsidR="00006A29" w:rsidP="003B30FE" w:rsidRDefault="00006A29" w14:paraId="41C96080" w14:textId="274B3728">
      <w:pPr>
        <w:pStyle w:val="broodtekst"/>
      </w:pPr>
      <w:r w:rsidRPr="00006A29">
        <w:t>De landelijke publiekscampagne rond de invoering van de W</w:t>
      </w:r>
      <w:r>
        <w:t>et seksuele misdrijven</w:t>
      </w:r>
      <w:r w:rsidRPr="00006A29">
        <w:t>, gestart op 1 juli</w:t>
      </w:r>
      <w:r>
        <w:t xml:space="preserve"> 2024</w:t>
      </w:r>
      <w:r w:rsidRPr="00006A29">
        <w:t xml:space="preserve">, had als doel te informeren </w:t>
      </w:r>
      <w:r>
        <w:t>over deze wet</w:t>
      </w:r>
      <w:r w:rsidRPr="00006A29">
        <w:t xml:space="preserve"> die </w:t>
      </w:r>
      <w:r>
        <w:t>op diezelfde dag</w:t>
      </w:r>
      <w:r w:rsidRPr="00006A29">
        <w:t xml:space="preserve"> in werking is </w:t>
      </w:r>
      <w:r w:rsidRPr="00290152">
        <w:t xml:space="preserve">getreden. Het </w:t>
      </w:r>
      <w:r w:rsidRPr="003F32F5">
        <w:t>campagne-effectonderzoek</w:t>
      </w:r>
      <w:r w:rsidRPr="00006A29">
        <w:t xml:space="preserve"> wijst </w:t>
      </w:r>
      <w:r w:rsidR="00341883">
        <w:t>er</w:t>
      </w:r>
      <w:r w:rsidRPr="00006A29">
        <w:t xml:space="preserve">op </w:t>
      </w:r>
      <w:r w:rsidR="00341883">
        <w:t>dat de campagne goed is ontvangen</w:t>
      </w:r>
      <w:r w:rsidRPr="00006A29">
        <w:t>.</w:t>
      </w:r>
      <w:r w:rsidR="003F32F5">
        <w:rPr>
          <w:rStyle w:val="Voetnootmarkering"/>
        </w:rPr>
        <w:footnoteReference w:id="12"/>
      </w:r>
      <w:r w:rsidRPr="00006A29">
        <w:t xml:space="preserve"> De onderzoekscijfers laten zien dat de campagne goed wordt onthouden, zeer goed gewaardeerd wordt en een sterke boodschapoverdracht heeft. </w:t>
      </w:r>
    </w:p>
    <w:p w:rsidR="003B30FE" w:rsidP="003B30FE" w:rsidRDefault="003B30FE" w14:paraId="0B39BBD6" w14:textId="77777777">
      <w:pPr>
        <w:pStyle w:val="broodtekst"/>
      </w:pPr>
    </w:p>
    <w:p w:rsidR="00F77F26" w:rsidP="003B30FE" w:rsidRDefault="00006A29" w14:paraId="1DB24B34" w14:textId="6549C273">
      <w:pPr>
        <w:pStyle w:val="broodtekst"/>
      </w:pPr>
      <w:r w:rsidRPr="00006A29">
        <w:t xml:space="preserve">De campagne, waarvoor </w:t>
      </w:r>
      <w:r>
        <w:t xml:space="preserve">het </w:t>
      </w:r>
      <w:r w:rsidR="00E55FF0">
        <w:t>m</w:t>
      </w:r>
      <w:r>
        <w:t>inisterie van Justitie en Veiligheid</w:t>
      </w:r>
      <w:r w:rsidRPr="00006A29">
        <w:t xml:space="preserve"> ruim een miljoen euro h</w:t>
      </w:r>
      <w:r>
        <w:t xml:space="preserve">ad </w:t>
      </w:r>
      <w:r w:rsidRPr="00006A29">
        <w:t>vrijgemaakt, was primair gericht op de doelgroep 18-30 jaar. Via diverse mediakanalen werd de doelgroep geïnformeerd, zowel online als offline. Er werden vier seksueel grensoverschrijdende situaties geschetst die duidelijk strafbaar zijn.</w:t>
      </w:r>
      <w:r w:rsidR="002029FD">
        <w:t xml:space="preserve"> </w:t>
      </w:r>
      <w:r w:rsidRPr="00006A29">
        <w:t xml:space="preserve">Als videoformat vormden deze vier voorbeelden van ‘seksuele intimidatie’ en ‘consent bij seks’ de kern van de campagne, met als </w:t>
      </w:r>
      <w:r w:rsidR="00341883">
        <w:t>slogan</w:t>
      </w:r>
      <w:r w:rsidR="00A10C06">
        <w:t>:</w:t>
      </w:r>
      <w:r w:rsidRPr="00006A29">
        <w:t xml:space="preserve"> </w:t>
      </w:r>
      <w:r w:rsidRPr="00006A29">
        <w:rPr>
          <w:i/>
          <w:iCs/>
        </w:rPr>
        <w:t>‘We vonden het al niet oké. En vanaf nu is het ook strafbaar. Logisch toch?</w:t>
      </w:r>
      <w:r w:rsidRPr="00006A29">
        <w:t xml:space="preserve">’ </w:t>
      </w:r>
      <w:r w:rsidRPr="00006A29">
        <w:br/>
      </w:r>
    </w:p>
    <w:p w:rsidR="00006A29" w:rsidP="003B30FE" w:rsidRDefault="00006A29" w14:paraId="11D9C8CB" w14:textId="5BB7F130">
      <w:pPr>
        <w:pStyle w:val="broodtekst"/>
        <w:rPr>
          <w:rFonts w:cstheme="minorHAnsi"/>
          <w:color w:val="000000"/>
        </w:rPr>
      </w:pPr>
      <w:r w:rsidRPr="00006A29">
        <w:t xml:space="preserve">De korte video’s zijn </w:t>
      </w:r>
      <w:r w:rsidR="00F454DE">
        <w:t>online als advertentie ingezet</w:t>
      </w:r>
      <w:r w:rsidRPr="00006A29">
        <w:t>. Ook zijn er twee digitale radiospots ontwikkeld. Via grote abri-posters was de campagne in het straatbeeld te zien</w:t>
      </w:r>
      <w:r w:rsidR="00F454DE">
        <w:t xml:space="preserve"> </w:t>
      </w:r>
      <w:r w:rsidRPr="00006A29">
        <w:t xml:space="preserve">rondom diverse festivals en in het uitgaansleven. Verdiepende content in de vorm van artikelen in online magazines en </w:t>
      </w:r>
      <w:r w:rsidR="00F77F26">
        <w:t xml:space="preserve">op </w:t>
      </w:r>
      <w:r w:rsidRPr="00006A29">
        <w:t>online platformen maakte ook onderdeel uit van de media-inzet. Aanvullend op de betaalde mediacampagne</w:t>
      </w:r>
      <w:r w:rsidR="004874B1">
        <w:t xml:space="preserve"> is het brede publiek geïnformeerd via algemene nieuwskanalen. Zo zijn de persberichten rond inwerkingtreding van de wet breed opgepakt</w:t>
      </w:r>
      <w:r w:rsidR="004874B1">
        <w:rPr>
          <w:i/>
          <w:iCs/>
        </w:rPr>
        <w:t xml:space="preserve">. </w:t>
      </w:r>
      <w:r w:rsidR="004874B1">
        <w:t xml:space="preserve">Ook hebben de communicatieactiviteiten tijdens de introductieweken voor studenten een positief resultaat gebracht. Met studenten is </w:t>
      </w:r>
      <w:r w:rsidRPr="003B30FE" w:rsidR="004874B1">
        <w:t>het</w:t>
      </w:r>
      <w:r w:rsidR="004874B1">
        <w:t xml:space="preserve"> gesprek aangegaan over het belang van consent en de nieuwe wet. </w:t>
      </w:r>
      <w:r w:rsidRPr="00006A29">
        <w:t xml:space="preserve">De nieuwsberichtgeving heeft geresulteerd in </w:t>
      </w:r>
      <w:r w:rsidR="004874B1">
        <w:t>meer dan 600</w:t>
      </w:r>
      <w:r w:rsidRPr="00006A29">
        <w:t xml:space="preserve"> publicaties over de Wet seksuele misdrijven. Voor de herkenbaarheid is de campagne gevoerd onder de overkoepelende regel ‘met elkaar trekken we de grens’. </w:t>
      </w:r>
      <w:r w:rsidRPr="00006A29">
        <w:rPr>
          <w:rFonts w:cstheme="minorHAnsi"/>
          <w:color w:val="000000"/>
        </w:rPr>
        <w:t xml:space="preserve">Deze regel verbindt alle publiekscommunicatie van </w:t>
      </w:r>
      <w:r w:rsidRPr="00126601">
        <w:rPr>
          <w:rFonts w:cstheme="minorHAnsi"/>
          <w:color w:val="000000"/>
        </w:rPr>
        <w:t>de Rijksoverheid over seksueel grensoverschrijdend gedrag en seksueel geweld.</w:t>
      </w:r>
    </w:p>
    <w:p w:rsidRPr="00126601" w:rsidR="00F77F26" w:rsidP="00126601" w:rsidRDefault="00F77F26" w14:paraId="2E900ECE" w14:textId="77777777">
      <w:pPr>
        <w:pStyle w:val="Geenafstand"/>
        <w:rPr>
          <w:rFonts w:ascii="Verdana" w:hAnsi="Verdana"/>
          <w:sz w:val="18"/>
          <w:szCs w:val="18"/>
        </w:rPr>
      </w:pPr>
    </w:p>
    <w:p w:rsidR="009821CB" w:rsidP="003B30FE" w:rsidRDefault="00006A29" w14:paraId="3F54715C" w14:textId="77777777">
      <w:pPr>
        <w:pStyle w:val="broodtekst"/>
        <w:rPr>
          <w:color w:val="000000"/>
        </w:rPr>
      </w:pPr>
      <w:r w:rsidRPr="00126601">
        <w:t>De overheid blijft zich inspannen om bewustwording over de normen en waarden achter de Wet seksuele misdrijven te bevordere</w:t>
      </w:r>
      <w:r w:rsidRPr="00126601" w:rsidR="003A2F54">
        <w:t>n</w:t>
      </w:r>
      <w:r w:rsidRPr="00126601">
        <w:rPr>
          <w:color w:val="000000"/>
        </w:rPr>
        <w:t xml:space="preserve">. </w:t>
      </w:r>
      <w:r w:rsidRPr="009821CB" w:rsidR="003A2F54">
        <w:rPr>
          <w:color w:val="000000"/>
        </w:rPr>
        <w:t>Zo is deze maand</w:t>
      </w:r>
      <w:r w:rsidRPr="00126601">
        <w:rPr>
          <w:color w:val="000000"/>
        </w:rPr>
        <w:t xml:space="preserve"> </w:t>
      </w:r>
      <w:r w:rsidRPr="00126601" w:rsidR="003A2F54">
        <w:t xml:space="preserve">in het kader </w:t>
      </w:r>
      <w:r w:rsidRPr="00126601" w:rsidR="003A2F54">
        <w:rPr>
          <w:color w:val="000000"/>
        </w:rPr>
        <w:t>van het Nationaal Actieprogramma aanpak seksueel grensoverschrijdend gedrag en seksueel geweld</w:t>
      </w:r>
      <w:r w:rsidRPr="00126601">
        <w:rPr>
          <w:color w:val="000000"/>
        </w:rPr>
        <w:t xml:space="preserve"> een bewustwordingscampagne gelanceerd waarbij de nadruk lag op grenzen en gewenste omgangsvormen: hoe willen we wél met elkaar </w:t>
      </w:r>
      <w:r w:rsidRPr="004E6887">
        <w:rPr>
          <w:color w:val="000000"/>
        </w:rPr>
        <w:t>omgaan.</w:t>
      </w:r>
      <w:r w:rsidR="009821CB">
        <w:rPr>
          <w:rStyle w:val="Voetnootmarkering"/>
          <w:color w:val="000000"/>
        </w:rPr>
        <w:footnoteReference w:id="13"/>
      </w:r>
      <w:r w:rsidRPr="004E6887">
        <w:rPr>
          <w:color w:val="000000"/>
        </w:rPr>
        <w:t xml:space="preserve"> In 2025 wordt hier een vervolg aan gegeven.</w:t>
      </w:r>
    </w:p>
    <w:p w:rsidRPr="00126601" w:rsidR="00006A29" w:rsidP="003B30FE" w:rsidRDefault="00006A29" w14:paraId="3E5395FB" w14:textId="7FC4E364">
      <w:pPr>
        <w:pStyle w:val="broodtekst"/>
        <w:rPr>
          <w:color w:val="000000"/>
        </w:rPr>
      </w:pPr>
      <w:r w:rsidRPr="00126601">
        <w:rPr>
          <w:color w:val="000000"/>
        </w:rPr>
        <w:t xml:space="preserve"> </w:t>
      </w:r>
    </w:p>
    <w:p w:rsidRPr="00126601" w:rsidR="00DD1B68" w:rsidP="00126601" w:rsidRDefault="00DD1B68" w14:paraId="38C2D042" w14:textId="77777777">
      <w:pPr>
        <w:pStyle w:val="Geenafstand"/>
        <w:rPr>
          <w:rFonts w:ascii="Verdana" w:hAnsi="Verdana" w:cstheme="minorHAnsi"/>
          <w:color w:val="000000"/>
          <w:sz w:val="18"/>
          <w:szCs w:val="18"/>
        </w:rPr>
      </w:pPr>
    </w:p>
    <w:p w:rsidR="00126601" w:rsidP="00E55FF0" w:rsidRDefault="00126601" w14:paraId="78851AA4" w14:textId="04452A48">
      <w:pPr>
        <w:pStyle w:val="Geenafstand"/>
        <w:numPr>
          <w:ilvl w:val="0"/>
          <w:numId w:val="23"/>
        </w:numPr>
        <w:ind w:left="284" w:hanging="284"/>
        <w:rPr>
          <w:rFonts w:ascii="Verdana" w:hAnsi="Verdana"/>
          <w:b/>
          <w:bCs/>
          <w:sz w:val="18"/>
          <w:szCs w:val="18"/>
        </w:rPr>
      </w:pPr>
      <w:r w:rsidRPr="000B6F27">
        <w:rPr>
          <w:rFonts w:ascii="Verdana" w:hAnsi="Verdana"/>
          <w:b/>
          <w:bCs/>
          <w:sz w:val="18"/>
          <w:szCs w:val="18"/>
        </w:rPr>
        <w:t>Stand van zaken Actieplan versterken ketenaanpak zedenzaken</w:t>
      </w:r>
    </w:p>
    <w:p w:rsidR="0042248B" w:rsidP="003B30FE" w:rsidRDefault="0042248B" w14:paraId="07023584" w14:textId="71DACD39">
      <w:pPr>
        <w:pStyle w:val="broodtekst"/>
      </w:pPr>
      <w:r>
        <w:t xml:space="preserve">In de </w:t>
      </w:r>
      <w:r w:rsidR="0004335A">
        <w:t xml:space="preserve">eerder genoemde </w:t>
      </w:r>
      <w:r>
        <w:t xml:space="preserve">voortgangsbrief aanpak seksuele misdrijven van 19 juni 2024 is uw Kamer uitgebreid over de inhoud en stand van zaken van het Actieplan versterken ketenaanpak zedenzaken (hierna: het actieplan) geïnformeerd. Zoals bekend is het actieplan, dat in 2022 is gestart, bedoeld om de aanpak van zedenzaken door de organisaties uit de strafrechtketen te verbeteren en verder te professionaliseren, waaronder het verkorten van de doorlooptijden in zedenzaken. Hier wordt via vier actielijnen </w:t>
      </w:r>
      <w:r w:rsidR="00F77F26">
        <w:t xml:space="preserve">aan </w:t>
      </w:r>
      <w:r>
        <w:t>gewerkt:</w:t>
      </w:r>
    </w:p>
    <w:p w:rsidRPr="0042248B" w:rsidR="00F77F26" w:rsidP="002029FD" w:rsidRDefault="00F77F26" w14:paraId="7D2329A9" w14:textId="77777777">
      <w:pPr>
        <w:autoSpaceDE w:val="0"/>
        <w:spacing w:line="240" w:lineRule="auto"/>
        <w:rPr>
          <w:color w:val="auto"/>
        </w:rPr>
      </w:pPr>
    </w:p>
    <w:p w:rsidR="0042248B" w:rsidP="00E55FF0" w:rsidRDefault="0042248B" w14:paraId="7ACBB469" w14:textId="3ADAD599">
      <w:pPr>
        <w:pStyle w:val="Lijstalinea"/>
        <w:numPr>
          <w:ilvl w:val="0"/>
          <w:numId w:val="29"/>
        </w:numPr>
        <w:autoSpaceDE w:val="0"/>
        <w:spacing w:line="240" w:lineRule="auto"/>
        <w:ind w:left="426" w:hanging="284"/>
      </w:pPr>
      <w:r>
        <w:t xml:space="preserve">het inzetten op betekenisvolle interventies; </w:t>
      </w:r>
    </w:p>
    <w:p w:rsidR="0042248B" w:rsidP="00E55FF0" w:rsidRDefault="0042248B" w14:paraId="73D50778" w14:textId="33FB7B71">
      <w:pPr>
        <w:pStyle w:val="Lijstalinea"/>
        <w:numPr>
          <w:ilvl w:val="0"/>
          <w:numId w:val="29"/>
        </w:numPr>
        <w:autoSpaceDE w:val="0"/>
        <w:spacing w:line="240" w:lineRule="auto"/>
        <w:ind w:left="426" w:hanging="284"/>
      </w:pPr>
      <w:r>
        <w:t xml:space="preserve">het optimaliseren van de werkprocessen binnen en tussen de betrokken organisaties; </w:t>
      </w:r>
    </w:p>
    <w:p w:rsidR="0042248B" w:rsidP="00E55FF0" w:rsidRDefault="0042248B" w14:paraId="4E8C7304" w14:textId="51BB7AE3">
      <w:pPr>
        <w:pStyle w:val="Lijstalinea"/>
        <w:numPr>
          <w:ilvl w:val="0"/>
          <w:numId w:val="29"/>
        </w:numPr>
        <w:autoSpaceDE w:val="0"/>
        <w:spacing w:line="240" w:lineRule="auto"/>
        <w:ind w:left="426" w:hanging="284"/>
      </w:pPr>
      <w:r>
        <w:t xml:space="preserve">het verbeteren van de sturing op capaciteit en prioriteit; en </w:t>
      </w:r>
    </w:p>
    <w:p w:rsidR="0042248B" w:rsidP="00E55FF0" w:rsidRDefault="0042248B" w14:paraId="7D2533FF" w14:textId="20663254">
      <w:pPr>
        <w:pStyle w:val="Lijstalinea"/>
        <w:numPr>
          <w:ilvl w:val="0"/>
          <w:numId w:val="29"/>
        </w:numPr>
        <w:autoSpaceDE w:val="0"/>
        <w:spacing w:line="240" w:lineRule="auto"/>
        <w:ind w:left="426" w:hanging="284"/>
      </w:pPr>
      <w:r>
        <w:t>het maken van afspraken over de communicatie over zedenzaken naar de samenleving.</w:t>
      </w:r>
    </w:p>
    <w:p w:rsidR="00F77F26" w:rsidP="002029FD" w:rsidRDefault="00F77F26" w14:paraId="4D4A20A1" w14:textId="77777777">
      <w:pPr>
        <w:pStyle w:val="Lijstalinea"/>
        <w:autoSpaceDE w:val="0"/>
        <w:spacing w:line="240" w:lineRule="auto"/>
      </w:pPr>
    </w:p>
    <w:p w:rsidR="0042248B" w:rsidP="003B30FE" w:rsidRDefault="0042248B" w14:paraId="583E65C6" w14:textId="7DA806FA">
      <w:pPr>
        <w:pStyle w:val="broodtekst"/>
      </w:pPr>
      <w:r w:rsidRPr="009821CB">
        <w:t xml:space="preserve">Voor het verkorten van de doorlooptijden bestaat, zeker in zedenzaken, geen </w:t>
      </w:r>
      <w:r w:rsidRPr="009821CB" w:rsidR="00F77F26">
        <w:t>eenvoudige</w:t>
      </w:r>
      <w:r w:rsidRPr="009821CB" w:rsidR="00F77F26">
        <w:rPr>
          <w:i/>
          <w:iCs/>
        </w:rPr>
        <w:t xml:space="preserve"> </w:t>
      </w:r>
      <w:r w:rsidRPr="009821CB" w:rsidR="0020505E">
        <w:t>oplossing</w:t>
      </w:r>
      <w:r w:rsidRPr="009821CB">
        <w:t xml:space="preserve">. Het gaat </w:t>
      </w:r>
      <w:r w:rsidRPr="009821CB" w:rsidR="00F77F26">
        <w:t xml:space="preserve">doorgaans </w:t>
      </w:r>
      <w:r w:rsidRPr="009821CB">
        <w:t xml:space="preserve">om complexe zaken, die zorgvuldigheid </w:t>
      </w:r>
      <w:r w:rsidRPr="009821CB" w:rsidR="008E7C87">
        <w:t xml:space="preserve">vergen </w:t>
      </w:r>
      <w:r w:rsidRPr="009821CB">
        <w:t xml:space="preserve">en dus tijd kosten. </w:t>
      </w:r>
      <w:r w:rsidRPr="009821CB" w:rsidR="008E7C87">
        <w:t>De</w:t>
      </w:r>
      <w:r w:rsidRPr="009821CB">
        <w:t xml:space="preserve"> gezamenlijke inspanning die de strafrechtketen via het actieplan verricht</w:t>
      </w:r>
      <w:r w:rsidRPr="009821CB" w:rsidR="00F77F26">
        <w:t>,</w:t>
      </w:r>
      <w:r w:rsidRPr="009821CB">
        <w:t xml:space="preserve"> begint resultaten </w:t>
      </w:r>
      <w:r w:rsidRPr="009821CB" w:rsidR="00F77F26">
        <w:t xml:space="preserve">op </w:t>
      </w:r>
      <w:r w:rsidRPr="009821CB">
        <w:t xml:space="preserve">te leveren. Er zijn inmiddels tekenen van verbetering van de doorlooptijden. </w:t>
      </w:r>
      <w:r w:rsidRPr="009821CB" w:rsidR="00B015B9">
        <w:t>Concrete cijfermatige informatie hierover zal worden opgenomen</w:t>
      </w:r>
      <w:r w:rsidRPr="009821CB">
        <w:t xml:space="preserve"> in de eerstvolgende strafrechtketenmonitor, die in het voorjaar van 2025 verschijnt. Daarnaast zijn, zoals in de voortgangsbrief van 19 juni 2024</w:t>
      </w:r>
      <w:r w:rsidRPr="009821CB" w:rsidR="00146690">
        <w:t xml:space="preserve"> </w:t>
      </w:r>
      <w:r w:rsidRPr="009821CB">
        <w:t>is toegelicht, maatregelen genomen onder andere om de communicatie aan slachtoffers en verdachten tijdens het strafproces en de inzet van herstelrechtvoorzieningen te verbeteren. Er wordt ook gewerkt aan effectievere multidisciplinaire samenwerking tussen ketenpartners. Om de voortgang te waarborgen en de behaalde resultaten verder te versterken heeft het Bestuurlijk Ketenberaad besloten het oorspronkelijk tot eind 2024 geldende actieplan met een jaar te verlengen, tot eind 2025.</w:t>
      </w:r>
    </w:p>
    <w:p w:rsidR="00045CCD" w:rsidP="0042248B" w:rsidRDefault="00045CCD" w14:paraId="5F957EEF" w14:textId="77777777">
      <w:pPr>
        <w:pStyle w:val="Geenafstand"/>
        <w:rPr>
          <w:rFonts w:ascii="Verdana" w:hAnsi="Verdana"/>
          <w:b/>
          <w:bCs/>
          <w:sz w:val="18"/>
          <w:szCs w:val="18"/>
          <w:highlight w:val="red"/>
        </w:rPr>
      </w:pPr>
    </w:p>
    <w:p w:rsidR="00126601" w:rsidP="00E55FF0" w:rsidRDefault="00126601" w14:paraId="1211A634" w14:textId="360C0CD8">
      <w:pPr>
        <w:pStyle w:val="Geenafstand"/>
        <w:numPr>
          <w:ilvl w:val="0"/>
          <w:numId w:val="23"/>
        </w:numPr>
        <w:ind w:left="284" w:hanging="284"/>
        <w:rPr>
          <w:rFonts w:ascii="Verdana" w:hAnsi="Verdana"/>
          <w:b/>
          <w:bCs/>
          <w:sz w:val="18"/>
          <w:szCs w:val="18"/>
        </w:rPr>
      </w:pPr>
      <w:r w:rsidRPr="00126601">
        <w:rPr>
          <w:rFonts w:ascii="Verdana" w:hAnsi="Verdana"/>
          <w:b/>
          <w:bCs/>
          <w:sz w:val="18"/>
          <w:szCs w:val="18"/>
        </w:rPr>
        <w:t xml:space="preserve">Toezegging over </w:t>
      </w:r>
      <w:r>
        <w:rPr>
          <w:rFonts w:ascii="Verdana" w:hAnsi="Verdana"/>
          <w:b/>
          <w:bCs/>
          <w:sz w:val="18"/>
          <w:szCs w:val="18"/>
        </w:rPr>
        <w:t>rechterstekort</w:t>
      </w:r>
      <w:r w:rsidRPr="00126601">
        <w:rPr>
          <w:rFonts w:ascii="Verdana" w:hAnsi="Verdana"/>
          <w:b/>
          <w:bCs/>
          <w:sz w:val="18"/>
          <w:szCs w:val="18"/>
        </w:rPr>
        <w:t xml:space="preserve">  </w:t>
      </w:r>
    </w:p>
    <w:p w:rsidR="00126601" w:rsidP="003B30FE" w:rsidRDefault="00126601" w14:paraId="67A0A39C" w14:textId="4A07CA98">
      <w:pPr>
        <w:pStyle w:val="broodtekst"/>
        <w:rPr>
          <w:shd w:val="clear" w:color="auto" w:fill="FEFEFE"/>
        </w:rPr>
      </w:pPr>
      <w:r w:rsidRPr="00126601">
        <w:rPr>
          <w:shd w:val="clear" w:color="auto" w:fill="FEFEFE"/>
        </w:rPr>
        <w:t xml:space="preserve">Tijdens de </w:t>
      </w:r>
      <w:r w:rsidR="008A203A">
        <w:rPr>
          <w:shd w:val="clear" w:color="auto" w:fill="FEFEFE"/>
        </w:rPr>
        <w:t xml:space="preserve">plenaire </w:t>
      </w:r>
      <w:r w:rsidRPr="00126601">
        <w:rPr>
          <w:shd w:val="clear" w:color="auto" w:fill="FEFEFE"/>
        </w:rPr>
        <w:t xml:space="preserve">behandeling van het </w:t>
      </w:r>
      <w:r>
        <w:rPr>
          <w:shd w:val="clear" w:color="auto" w:fill="FEFEFE"/>
        </w:rPr>
        <w:t>W</w:t>
      </w:r>
      <w:r w:rsidRPr="00126601">
        <w:rPr>
          <w:shd w:val="clear" w:color="auto" w:fill="FEFEFE"/>
        </w:rPr>
        <w:t xml:space="preserve">etsvoorstel seksuele misdrijven </w:t>
      </w:r>
      <w:r w:rsidR="00F77F26">
        <w:rPr>
          <w:shd w:val="clear" w:color="auto" w:fill="FEFEFE"/>
        </w:rPr>
        <w:t>in</w:t>
      </w:r>
      <w:r w:rsidRPr="00126601" w:rsidR="00F77F26">
        <w:rPr>
          <w:shd w:val="clear" w:color="auto" w:fill="FEFEFE"/>
        </w:rPr>
        <w:t xml:space="preserve"> </w:t>
      </w:r>
      <w:r w:rsidRPr="00126601">
        <w:rPr>
          <w:shd w:val="clear" w:color="auto" w:fill="FEFEFE"/>
        </w:rPr>
        <w:t>de Eerste Kamer</w:t>
      </w:r>
      <w:r>
        <w:rPr>
          <w:shd w:val="clear" w:color="auto" w:fill="FEFEFE"/>
        </w:rPr>
        <w:t xml:space="preserve"> op 19 maart 2024</w:t>
      </w:r>
      <w:r w:rsidR="00255F12">
        <w:rPr>
          <w:shd w:val="clear" w:color="auto" w:fill="FEFEFE"/>
        </w:rPr>
        <w:t xml:space="preserve">, </w:t>
      </w:r>
      <w:r w:rsidRPr="00126601">
        <w:rPr>
          <w:shd w:val="clear" w:color="auto" w:fill="FEFEFE"/>
        </w:rPr>
        <w:t xml:space="preserve">heeft het lid Marquart Scholtz (BBB) gevraagd hoe groot het rechterstekort is en of er aanleiding is om de </w:t>
      </w:r>
      <w:r w:rsidR="00F77F26">
        <w:rPr>
          <w:shd w:val="clear" w:color="auto" w:fill="FEFEFE"/>
        </w:rPr>
        <w:t>R</w:t>
      </w:r>
      <w:r w:rsidRPr="00126601">
        <w:rPr>
          <w:shd w:val="clear" w:color="auto" w:fill="FEFEFE"/>
        </w:rPr>
        <w:t>aio</w:t>
      </w:r>
      <w:r w:rsidR="00F77F26">
        <w:rPr>
          <w:shd w:val="clear" w:color="auto" w:fill="FEFEFE"/>
        </w:rPr>
        <w:t>-</w:t>
      </w:r>
      <w:r w:rsidRPr="00126601">
        <w:rPr>
          <w:shd w:val="clear" w:color="auto" w:fill="FEFEFE"/>
        </w:rPr>
        <w:t>opleiding te herinvoeren</w:t>
      </w:r>
      <w:r w:rsidR="009C1A29">
        <w:rPr>
          <w:shd w:val="clear" w:color="auto" w:fill="FEFEFE"/>
        </w:rPr>
        <w:t>.</w:t>
      </w:r>
      <w:r w:rsidR="009C1A29">
        <w:rPr>
          <w:rStyle w:val="Voetnootmarkering"/>
          <w:rFonts w:cs="Open Sans"/>
          <w:color w:val="0A0A0A"/>
          <w:shd w:val="clear" w:color="auto" w:fill="FEFEFE"/>
        </w:rPr>
        <w:footnoteReference w:id="14"/>
      </w:r>
      <w:r>
        <w:rPr>
          <w:shd w:val="clear" w:color="auto" w:fill="FEFEFE"/>
        </w:rPr>
        <w:t xml:space="preserve"> </w:t>
      </w:r>
      <w:bookmarkStart w:name="_Hlk183788746" w:id="2"/>
      <w:r w:rsidRPr="00126601">
        <w:rPr>
          <w:shd w:val="clear" w:color="auto" w:fill="FEFEFE"/>
        </w:rPr>
        <w:t xml:space="preserve">De </w:t>
      </w:r>
      <w:r w:rsidR="005543A8">
        <w:rPr>
          <w:shd w:val="clear" w:color="auto" w:fill="FEFEFE"/>
        </w:rPr>
        <w:t>voormalig</w:t>
      </w:r>
      <w:r w:rsidRPr="00126601">
        <w:rPr>
          <w:shd w:val="clear" w:color="auto" w:fill="FEFEFE"/>
        </w:rPr>
        <w:t xml:space="preserve"> </w:t>
      </w:r>
      <w:r w:rsidR="00596CEB">
        <w:rPr>
          <w:shd w:val="clear" w:color="auto" w:fill="FEFEFE"/>
        </w:rPr>
        <w:t>m</w:t>
      </w:r>
      <w:r w:rsidRPr="00126601">
        <w:rPr>
          <w:shd w:val="clear" w:color="auto" w:fill="FEFEFE"/>
        </w:rPr>
        <w:t xml:space="preserve">inister van Justitie en Veiligheid heeft toegezegd deze vraag voor beantwoording door te geleiden naar de toenmalige </w:t>
      </w:r>
      <w:r w:rsidR="00596CEB">
        <w:rPr>
          <w:shd w:val="clear" w:color="auto" w:fill="FEFEFE"/>
        </w:rPr>
        <w:t>m</w:t>
      </w:r>
      <w:r w:rsidRPr="00126601">
        <w:rPr>
          <w:shd w:val="clear" w:color="auto" w:fill="FEFEFE"/>
        </w:rPr>
        <w:t>inister voor Rechtsbescherming</w:t>
      </w:r>
      <w:bookmarkEnd w:id="2"/>
      <w:r w:rsidRPr="00126601">
        <w:rPr>
          <w:shd w:val="clear" w:color="auto" w:fill="FEFEFE"/>
        </w:rPr>
        <w:t>. Met de beantwoording van de gestelde vragen in deze brief wordt deze toezegging gestand gedaan.</w:t>
      </w:r>
      <w:r w:rsidR="003B30FE">
        <w:rPr>
          <w:rStyle w:val="Voetnootmarkering"/>
          <w:shd w:val="clear" w:color="auto" w:fill="FEFEFE"/>
        </w:rPr>
        <w:footnoteReference w:id="15"/>
      </w:r>
      <w:r w:rsidRPr="00126601">
        <w:rPr>
          <w:shd w:val="clear" w:color="auto" w:fill="FEFEFE"/>
        </w:rPr>
        <w:t xml:space="preserve"> </w:t>
      </w:r>
    </w:p>
    <w:p w:rsidRPr="00126601" w:rsidR="00F77F26" w:rsidP="00126601" w:rsidRDefault="00F77F26" w14:paraId="21314571" w14:textId="77777777">
      <w:pPr>
        <w:spacing w:line="240" w:lineRule="auto"/>
        <w:rPr>
          <w:rFonts w:cs="Open Sans"/>
          <w:color w:val="0A0A0A"/>
          <w:shd w:val="clear" w:color="auto" w:fill="FEFEFE"/>
        </w:rPr>
      </w:pPr>
    </w:p>
    <w:p w:rsidRPr="00596CEB" w:rsidR="007D52A6" w:rsidP="003B30FE" w:rsidRDefault="00126601" w14:paraId="4CB0836F" w14:textId="0DC1DA48">
      <w:pPr>
        <w:pStyle w:val="broodtekst"/>
        <w:rPr>
          <w:rFonts w:cs="Open Sans"/>
          <w:color w:val="0A0A0A"/>
          <w:shd w:val="clear" w:color="auto" w:fill="FEFEFE"/>
        </w:rPr>
      </w:pPr>
      <w:r w:rsidRPr="00126601">
        <w:rPr>
          <w:rFonts w:cs="Open Sans"/>
          <w:color w:val="0A0A0A"/>
          <w:shd w:val="clear" w:color="auto" w:fill="FEFEFE"/>
        </w:rPr>
        <w:t xml:space="preserve">De Raad voor de rechtspraak </w:t>
      </w:r>
      <w:r w:rsidR="00CD4A01">
        <w:rPr>
          <w:rFonts w:cs="Open Sans"/>
          <w:color w:val="0A0A0A"/>
          <w:shd w:val="clear" w:color="auto" w:fill="FEFEFE"/>
        </w:rPr>
        <w:t xml:space="preserve">heeft </w:t>
      </w:r>
      <w:r w:rsidR="002D5C09">
        <w:rPr>
          <w:rFonts w:cs="Open Sans"/>
          <w:color w:val="0A0A0A"/>
          <w:shd w:val="clear" w:color="auto" w:fill="FEFEFE"/>
        </w:rPr>
        <w:t xml:space="preserve">eerder </w:t>
      </w:r>
      <w:r w:rsidR="0008148B">
        <w:rPr>
          <w:rFonts w:cs="Open Sans"/>
          <w:color w:val="0A0A0A"/>
          <w:shd w:val="clear" w:color="auto" w:fill="FEFEFE"/>
        </w:rPr>
        <w:t>de omvang van het tekort aan rechters en raadsheren geschat op ongeveer 200 fte.</w:t>
      </w:r>
      <w:r w:rsidR="007D52A6">
        <w:rPr>
          <w:rStyle w:val="Voetnootmarkering"/>
          <w:rFonts w:cs="Open Sans"/>
          <w:color w:val="0A0A0A"/>
          <w:shd w:val="clear" w:color="auto" w:fill="FEFEFE"/>
        </w:rPr>
        <w:footnoteReference w:id="16"/>
      </w:r>
      <w:r w:rsidR="00CD4A01">
        <w:rPr>
          <w:rFonts w:cs="Open Sans"/>
          <w:color w:val="0A0A0A"/>
          <w:shd w:val="clear" w:color="auto" w:fill="FEFEFE"/>
        </w:rPr>
        <w:t xml:space="preserve"> </w:t>
      </w:r>
      <w:r w:rsidR="0008148B">
        <w:t xml:space="preserve">Het tekort wordt mede beïnvloed door verschillende factoren die kunnen fluctueren, zoals de instroom van zaken, de complexiteit daarvan en de impact van nieuwe wetgeving, zoals </w:t>
      </w:r>
      <w:r w:rsidRPr="00126601">
        <w:rPr>
          <w:rFonts w:cs="Open Sans"/>
          <w:color w:val="0A0A0A"/>
          <w:shd w:val="clear" w:color="auto" w:fill="FEFEFE"/>
        </w:rPr>
        <w:t xml:space="preserve">de Wet seksuele misdrijven. </w:t>
      </w:r>
      <w:r w:rsidRPr="00126601">
        <w:rPr>
          <w:shd w:val="clear" w:color="auto" w:fill="FEFEFE"/>
        </w:rPr>
        <w:t xml:space="preserve">De belangrijkste maatregel die is genomen om het tekort aan rechters terug te dringen, is het verhogen van de opleidingscapaciteit. Waar tot 2020 jaarlijks 80 opleidingsplaatsen beschikbaar waren, is dit aantal sindsdien stapsgewijs verhoogd naar 140 plaatsen in 2024. Daarmee zal het tekort </w:t>
      </w:r>
      <w:r w:rsidR="002946E0">
        <w:rPr>
          <w:shd w:val="clear" w:color="auto" w:fill="FEFEFE"/>
        </w:rPr>
        <w:t xml:space="preserve">naar verwachting </w:t>
      </w:r>
      <w:r w:rsidRPr="00126601">
        <w:rPr>
          <w:shd w:val="clear" w:color="auto" w:fill="FEFEFE"/>
        </w:rPr>
        <w:t xml:space="preserve">geleidelijk worden ingelopen. </w:t>
      </w:r>
    </w:p>
    <w:p w:rsidR="003B30FE" w:rsidP="003B30FE" w:rsidRDefault="003B30FE" w14:paraId="0552C4A3" w14:textId="77777777">
      <w:pPr>
        <w:pStyle w:val="broodtekst"/>
        <w:rPr>
          <w:shd w:val="clear" w:color="auto" w:fill="FEFEFE"/>
        </w:rPr>
      </w:pPr>
    </w:p>
    <w:p w:rsidR="007D52A6" w:rsidP="003B30FE" w:rsidRDefault="00CD4A01" w14:paraId="3B40B576" w14:textId="590F9081">
      <w:pPr>
        <w:pStyle w:val="broodtekst"/>
        <w:rPr>
          <w:shd w:val="clear" w:color="auto" w:fill="FEFEFE"/>
        </w:rPr>
      </w:pPr>
      <w:r w:rsidRPr="004C520A">
        <w:rPr>
          <w:shd w:val="clear" w:color="auto" w:fill="FEFEFE"/>
        </w:rPr>
        <w:t xml:space="preserve">Voor herintroductie van de </w:t>
      </w:r>
      <w:r w:rsidR="007D52A6">
        <w:rPr>
          <w:shd w:val="clear" w:color="auto" w:fill="FEFEFE"/>
        </w:rPr>
        <w:t>R</w:t>
      </w:r>
      <w:r w:rsidRPr="004C520A">
        <w:rPr>
          <w:shd w:val="clear" w:color="auto" w:fill="FEFEFE"/>
        </w:rPr>
        <w:t xml:space="preserve">aio-opleiding, als oplossing van het capaciteitsprobleem binnen de rechterlijke macht, zijn volgens de </w:t>
      </w:r>
      <w:r w:rsidR="002D5C09">
        <w:rPr>
          <w:shd w:val="clear" w:color="auto" w:fill="FEFEFE"/>
        </w:rPr>
        <w:t>Raad voor de rechtspraak</w:t>
      </w:r>
      <w:r w:rsidRPr="004C520A">
        <w:rPr>
          <w:shd w:val="clear" w:color="auto" w:fill="FEFEFE"/>
        </w:rPr>
        <w:t xml:space="preserve"> vooralsnog geen aanknopingspunten. </w:t>
      </w:r>
      <w:r w:rsidR="004C520A">
        <w:rPr>
          <w:shd w:val="clear" w:color="auto" w:fill="FEFEFE"/>
        </w:rPr>
        <w:t>De voormalig minister voor Rechtsbescherming heeft</w:t>
      </w:r>
      <w:r w:rsidRPr="004C520A">
        <w:rPr>
          <w:shd w:val="clear" w:color="auto" w:fill="FEFEFE"/>
        </w:rPr>
        <w:t xml:space="preserve"> uw Kamer hierover geïnformeerd in de Kamerbrief van 27 juni 2023.</w:t>
      </w:r>
      <w:r w:rsidR="007D52A6">
        <w:rPr>
          <w:rStyle w:val="Voetnootmarkering"/>
          <w:rFonts w:cs="Open Sans"/>
          <w:color w:val="0A0A0A"/>
          <w:shd w:val="clear" w:color="auto" w:fill="FEFEFE"/>
        </w:rPr>
        <w:footnoteReference w:id="17"/>
      </w:r>
      <w:r w:rsidR="004C520A">
        <w:rPr>
          <w:shd w:val="clear" w:color="auto" w:fill="FEFEFE"/>
        </w:rPr>
        <w:t xml:space="preserve"> D</w:t>
      </w:r>
      <w:r w:rsidR="007D52A6">
        <w:rPr>
          <w:shd w:val="clear" w:color="auto" w:fill="FEFEFE"/>
        </w:rPr>
        <w:t>e</w:t>
      </w:r>
      <w:r w:rsidRPr="00126601" w:rsidR="007D52A6">
        <w:rPr>
          <w:shd w:val="clear" w:color="auto" w:fill="FEFEFE"/>
        </w:rPr>
        <w:t xml:space="preserve"> </w:t>
      </w:r>
      <w:r w:rsidRPr="00126601" w:rsidR="00126601">
        <w:rPr>
          <w:shd w:val="clear" w:color="auto" w:fill="FEFEFE"/>
        </w:rPr>
        <w:t xml:space="preserve">opleiding voor rechters en raadsheren </w:t>
      </w:r>
      <w:r w:rsidR="004C520A">
        <w:rPr>
          <w:shd w:val="clear" w:color="auto" w:fill="FEFEFE"/>
        </w:rPr>
        <w:t xml:space="preserve">wordt </w:t>
      </w:r>
      <w:r w:rsidRPr="00126601" w:rsidR="00126601">
        <w:rPr>
          <w:shd w:val="clear" w:color="auto" w:fill="FEFEFE"/>
        </w:rPr>
        <w:t>momenteel geëvalueerd en de uitkomsten hiervan worden rond januari 2025 verwacht.</w:t>
      </w:r>
      <w:r w:rsidRPr="00126601" w:rsidDel="003B5C32" w:rsidR="00126601">
        <w:rPr>
          <w:shd w:val="clear" w:color="auto" w:fill="FEFEFE"/>
        </w:rPr>
        <w:t xml:space="preserve"> </w:t>
      </w:r>
      <w:r w:rsidRPr="00126601" w:rsidR="00126601">
        <w:rPr>
          <w:shd w:val="clear" w:color="auto" w:fill="FEFEFE"/>
        </w:rPr>
        <w:t xml:space="preserve">Ook is de rechtspraak aan de slag met de aanbevelingen van het rapport Verkenning Werkdruk. Deze aanbevelingen en de evaluatie van de opleiding richten zich </w:t>
      </w:r>
      <w:r w:rsidR="00F77F26">
        <w:rPr>
          <w:shd w:val="clear" w:color="auto" w:fill="FEFEFE"/>
        </w:rPr>
        <w:t>onder meer</w:t>
      </w:r>
      <w:r w:rsidRPr="00126601" w:rsidR="00F77F26">
        <w:rPr>
          <w:shd w:val="clear" w:color="auto" w:fill="FEFEFE"/>
        </w:rPr>
        <w:t xml:space="preserve"> </w:t>
      </w:r>
      <w:r w:rsidRPr="00126601" w:rsidR="00126601">
        <w:rPr>
          <w:shd w:val="clear" w:color="auto" w:fill="FEFEFE"/>
        </w:rPr>
        <w:t>op het verminderen van het tekort aan rechters.</w:t>
      </w:r>
      <w:r w:rsidR="00C30772">
        <w:rPr>
          <w:shd w:val="clear" w:color="auto" w:fill="FEFEFE"/>
        </w:rPr>
        <w:t xml:space="preserve"> </w:t>
      </w:r>
    </w:p>
    <w:p w:rsidRPr="00126601" w:rsidR="003B30FE" w:rsidP="003B30FE" w:rsidRDefault="003B30FE" w14:paraId="14E7E776" w14:textId="77777777">
      <w:pPr>
        <w:pStyle w:val="broodtekst"/>
        <w:rPr>
          <w:shd w:val="clear" w:color="auto" w:fill="FEFEFE"/>
        </w:rPr>
      </w:pPr>
    </w:p>
    <w:p w:rsidR="00126601" w:rsidP="003B30FE" w:rsidRDefault="00126601" w14:paraId="4203F3D3" w14:textId="5DC50ABC">
      <w:pPr>
        <w:pStyle w:val="broodtekst"/>
        <w:rPr>
          <w:shd w:val="clear" w:color="auto" w:fill="FEFEFE"/>
        </w:rPr>
      </w:pPr>
      <w:r w:rsidRPr="00126601">
        <w:rPr>
          <w:shd w:val="clear" w:color="auto" w:fill="FEFEFE"/>
        </w:rPr>
        <w:t>Om de capaciteit tijdelijk op te hogen is</w:t>
      </w:r>
      <w:r w:rsidR="007D52A6">
        <w:rPr>
          <w:shd w:val="clear" w:color="auto" w:fill="FEFEFE"/>
        </w:rPr>
        <w:t xml:space="preserve"> </w:t>
      </w:r>
      <w:r w:rsidRPr="00126601">
        <w:rPr>
          <w:shd w:val="clear" w:color="auto" w:fill="FEFEFE"/>
        </w:rPr>
        <w:t>een tijdelijke wet in werking getreden die het mogelijk maakt om rechters en raadsheren van zeventig jaar en ouder in te zetten tot de leeftijd van drieënzeventig jaar.</w:t>
      </w:r>
      <w:r w:rsidRPr="00126601">
        <w:rPr>
          <w:rStyle w:val="Voetnootmarkering"/>
          <w:rFonts w:cs="Open Sans"/>
          <w:color w:val="0A0A0A"/>
          <w:shd w:val="clear" w:color="auto" w:fill="FEFEFE"/>
        </w:rPr>
        <w:footnoteReference w:id="18"/>
      </w:r>
      <w:r w:rsidRPr="00126601">
        <w:rPr>
          <w:shd w:val="clear" w:color="auto" w:fill="FEFEFE"/>
        </w:rPr>
        <w:t xml:space="preserve"> Deze wet heeft een looptijd van drie jaar. </w:t>
      </w:r>
    </w:p>
    <w:p w:rsidR="00126601" w:rsidP="00126601" w:rsidRDefault="00126601" w14:paraId="1C477BF3" w14:textId="77777777">
      <w:pPr>
        <w:pStyle w:val="Geenafstand"/>
        <w:rPr>
          <w:rFonts w:ascii="Verdana" w:hAnsi="Verdana"/>
          <w:b/>
          <w:bCs/>
          <w:sz w:val="18"/>
          <w:szCs w:val="18"/>
        </w:rPr>
      </w:pPr>
    </w:p>
    <w:p w:rsidRPr="00126601" w:rsidR="00DD1B68" w:rsidP="00B449B6" w:rsidRDefault="00DD1B68" w14:paraId="682D0F25" w14:textId="6C8D8215">
      <w:pPr>
        <w:pStyle w:val="Geenafstand"/>
        <w:numPr>
          <w:ilvl w:val="0"/>
          <w:numId w:val="23"/>
        </w:numPr>
        <w:ind w:left="284" w:hanging="284"/>
        <w:rPr>
          <w:rFonts w:ascii="Verdana" w:hAnsi="Verdana"/>
          <w:b/>
          <w:bCs/>
          <w:sz w:val="18"/>
          <w:szCs w:val="18"/>
        </w:rPr>
      </w:pPr>
      <w:r w:rsidRPr="00126601">
        <w:rPr>
          <w:rFonts w:ascii="Verdana" w:hAnsi="Verdana" w:cstheme="minorHAnsi"/>
          <w:b/>
          <w:bCs/>
          <w:color w:val="000000"/>
          <w:sz w:val="18"/>
          <w:szCs w:val="18"/>
        </w:rPr>
        <w:t xml:space="preserve">Stand van zaken </w:t>
      </w:r>
      <w:r w:rsidR="008334C5">
        <w:rPr>
          <w:rFonts w:ascii="Verdana" w:hAnsi="Verdana" w:cstheme="minorHAnsi"/>
          <w:b/>
          <w:bCs/>
          <w:color w:val="000000"/>
          <w:sz w:val="18"/>
          <w:szCs w:val="18"/>
        </w:rPr>
        <w:t>EU-</w:t>
      </w:r>
      <w:r w:rsidRPr="00126601">
        <w:rPr>
          <w:rFonts w:ascii="Verdana" w:hAnsi="Verdana" w:cstheme="minorHAnsi"/>
          <w:b/>
          <w:bCs/>
          <w:color w:val="000000"/>
          <w:sz w:val="18"/>
          <w:szCs w:val="18"/>
        </w:rPr>
        <w:t>Richtlijn ter bestrijding van seksueel misbruik van kinderen</w:t>
      </w:r>
    </w:p>
    <w:p w:rsidRPr="008132C8" w:rsidR="00DD1B68" w:rsidP="003B30FE" w:rsidRDefault="00DD1B68" w14:paraId="5DC0B45D" w14:textId="313179DC">
      <w:pPr>
        <w:pStyle w:val="broodtekst"/>
      </w:pPr>
      <w:r w:rsidRPr="00126601">
        <w:t>In de voortgangsbrief aanpak seksuele misdrijven van 19 juni 2024 is toegelicht dat de Europese Commissie in het kader van de Europese strategie voor een meer effectieve strijd tegen seksueel misbruik van kinderen op een samenstel van initiatieven</w:t>
      </w:r>
      <w:r w:rsidR="007A5C8E">
        <w:t xml:space="preserve"> inzet</w:t>
      </w:r>
      <w:r w:rsidRPr="00126601">
        <w:t>, waaronder de herziening van de</w:t>
      </w:r>
      <w:r w:rsidR="00325E26">
        <w:t xml:space="preserve"> EU-Richtlijn ter </w:t>
      </w:r>
      <w:r w:rsidRPr="008132C8" w:rsidR="00325E26">
        <w:t xml:space="preserve">bestrijding van seksueel misbruik en seksuele uitbuiting </w:t>
      </w:r>
      <w:r w:rsidRPr="008132C8" w:rsidR="008132C8">
        <w:t>en van materiaal van seksueel misbruik van kinderen</w:t>
      </w:r>
      <w:r w:rsidRPr="008132C8" w:rsidR="0015185A">
        <w:t>.</w:t>
      </w:r>
      <w:r w:rsidRPr="008132C8" w:rsidR="00325E26">
        <w:t xml:space="preserve"> </w:t>
      </w:r>
    </w:p>
    <w:p w:rsidRPr="008132C8" w:rsidR="003B30FE" w:rsidP="00126601" w:rsidRDefault="003B30FE" w14:paraId="68AD547C" w14:textId="77777777">
      <w:pPr>
        <w:autoSpaceDN/>
        <w:spacing w:line="240" w:lineRule="auto"/>
        <w:textAlignment w:val="auto"/>
        <w:rPr>
          <w:rFonts w:cs="Calibri" w:eastAsiaTheme="minorHAnsi"/>
          <w:color w:val="auto"/>
          <w:lang w:eastAsia="en-US"/>
          <w14:ligatures w14:val="standardContextual"/>
        </w:rPr>
      </w:pPr>
    </w:p>
    <w:p w:rsidRPr="008132C8" w:rsidR="00E909A1" w:rsidP="003B30FE" w:rsidRDefault="00E909A1" w14:paraId="78F10AC5" w14:textId="67C59FF8">
      <w:pPr>
        <w:pStyle w:val="broodtekst"/>
        <w:rPr>
          <w:rFonts w:eastAsiaTheme="minorHAnsi"/>
          <w:lang w:eastAsia="en-US"/>
        </w:rPr>
      </w:pPr>
      <w:r w:rsidRPr="008132C8">
        <w:rPr>
          <w:rFonts w:eastAsiaTheme="minorHAnsi"/>
          <w:lang w:eastAsia="en-US"/>
        </w:rPr>
        <w:t xml:space="preserve">Inmiddels </w:t>
      </w:r>
      <w:r w:rsidRPr="008132C8" w:rsidR="0004335A">
        <w:rPr>
          <w:rFonts w:eastAsiaTheme="minorHAnsi"/>
          <w:lang w:eastAsia="en-US"/>
        </w:rPr>
        <w:t xml:space="preserve">heeft </w:t>
      </w:r>
      <w:r w:rsidRPr="008132C8">
        <w:rPr>
          <w:rFonts w:eastAsiaTheme="minorHAnsi"/>
          <w:lang w:eastAsia="en-US"/>
        </w:rPr>
        <w:t xml:space="preserve">de </w:t>
      </w:r>
      <w:r w:rsidRPr="008132C8" w:rsidR="00664239">
        <w:rPr>
          <w:rFonts w:eastAsiaTheme="minorHAnsi"/>
          <w:lang w:eastAsia="en-US"/>
        </w:rPr>
        <w:t>Raad Justitie en Binnenlandse Zaken (</w:t>
      </w:r>
      <w:r w:rsidRPr="008132C8">
        <w:rPr>
          <w:rFonts w:eastAsiaTheme="minorHAnsi"/>
          <w:lang w:eastAsia="en-US"/>
        </w:rPr>
        <w:t>JBZ-Raad</w:t>
      </w:r>
      <w:r w:rsidRPr="008132C8" w:rsidR="00664239">
        <w:rPr>
          <w:rFonts w:eastAsiaTheme="minorHAnsi"/>
          <w:lang w:eastAsia="en-US"/>
        </w:rPr>
        <w:t>)</w:t>
      </w:r>
      <w:r w:rsidRPr="008132C8" w:rsidR="00401B9A">
        <w:rPr>
          <w:rFonts w:eastAsiaTheme="minorHAnsi"/>
          <w:lang w:eastAsia="en-US"/>
        </w:rPr>
        <w:t xml:space="preserve"> op </w:t>
      </w:r>
      <w:r w:rsidRPr="008132C8">
        <w:rPr>
          <w:rFonts w:eastAsiaTheme="minorHAnsi"/>
          <w:lang w:eastAsia="en-US"/>
        </w:rPr>
        <w:t xml:space="preserve">13 december </w:t>
      </w:r>
      <w:r w:rsidRPr="008132C8" w:rsidR="004E6887">
        <w:rPr>
          <w:rFonts w:eastAsiaTheme="minorHAnsi"/>
          <w:lang w:eastAsia="en-US"/>
        </w:rPr>
        <w:t>j</w:t>
      </w:r>
      <w:r w:rsidRPr="008132C8" w:rsidR="008132C8">
        <w:rPr>
          <w:rFonts w:eastAsiaTheme="minorHAnsi"/>
          <w:lang w:eastAsia="en-US"/>
        </w:rPr>
        <w:t>ongstleden</w:t>
      </w:r>
      <w:r w:rsidRPr="008132C8">
        <w:rPr>
          <w:rFonts w:eastAsiaTheme="minorHAnsi"/>
          <w:lang w:eastAsia="en-US"/>
        </w:rPr>
        <w:t xml:space="preserve"> een politiek akkoord op het voorstel voor de richtlijn, een zogenaamde algemene oriëntatie</w:t>
      </w:r>
      <w:r w:rsidRPr="008132C8" w:rsidR="0051315F">
        <w:rPr>
          <w:rFonts w:eastAsiaTheme="minorHAnsi"/>
          <w:lang w:eastAsia="en-US"/>
        </w:rPr>
        <w:t>,</w:t>
      </w:r>
      <w:r w:rsidRPr="008132C8">
        <w:rPr>
          <w:rFonts w:eastAsiaTheme="minorHAnsi"/>
          <w:lang w:eastAsia="en-US"/>
        </w:rPr>
        <w:t xml:space="preserve"> bereikt</w:t>
      </w:r>
      <w:r w:rsidRPr="008132C8" w:rsidR="00401B9A">
        <w:rPr>
          <w:rFonts w:eastAsiaTheme="minorHAnsi"/>
          <w:lang w:eastAsia="en-US"/>
        </w:rPr>
        <w:t>.</w:t>
      </w:r>
      <w:r w:rsidRPr="008132C8" w:rsidR="0004335A">
        <w:rPr>
          <w:rStyle w:val="Voetnootmarkering"/>
          <w:rFonts w:eastAsiaTheme="minorHAnsi"/>
          <w:lang w:eastAsia="en-US"/>
        </w:rPr>
        <w:footnoteReference w:id="19"/>
      </w:r>
      <w:r w:rsidRPr="008132C8" w:rsidR="00401B9A">
        <w:rPr>
          <w:rFonts w:eastAsiaTheme="minorHAnsi"/>
          <w:lang w:eastAsia="en-US"/>
        </w:rPr>
        <w:t xml:space="preserve"> </w:t>
      </w:r>
      <w:r w:rsidRPr="008132C8">
        <w:rPr>
          <w:rFonts w:eastAsiaTheme="minorHAnsi"/>
          <w:lang w:eastAsia="en-US"/>
        </w:rPr>
        <w:t xml:space="preserve">Dit in afwachting van het standpunt van het Europees Parlement op het voorstel.  </w:t>
      </w:r>
    </w:p>
    <w:p w:rsidRPr="00E909A1" w:rsidR="003B30FE" w:rsidP="003B30FE" w:rsidRDefault="003B30FE" w14:paraId="3E24E731" w14:textId="77777777">
      <w:pPr>
        <w:pStyle w:val="broodtekst"/>
        <w:rPr>
          <w:rFonts w:eastAsiaTheme="minorHAnsi"/>
          <w:lang w:eastAsia="en-US"/>
        </w:rPr>
      </w:pPr>
    </w:p>
    <w:p w:rsidRPr="008132C8" w:rsidR="00E909A1" w:rsidP="00126601" w:rsidRDefault="00E909A1" w14:paraId="6CCB7E3F" w14:textId="373E2ADE">
      <w:pPr>
        <w:autoSpaceDN/>
        <w:spacing w:line="240" w:lineRule="auto"/>
        <w:textAlignment w:val="auto"/>
        <w:rPr>
          <w:rFonts w:cs="Calibri" w:eastAsiaTheme="minorHAnsi"/>
          <w:color w:val="auto"/>
          <w:vertAlign w:val="superscript"/>
          <w:lang w:eastAsia="en-US"/>
          <w14:ligatures w14:val="standardContextual"/>
        </w:rPr>
      </w:pPr>
      <w:r w:rsidRPr="008132C8">
        <w:rPr>
          <w:rFonts w:cs="Calibri" w:eastAsiaTheme="minorHAnsi"/>
          <w:color w:val="auto"/>
          <w:lang w:eastAsia="en-US"/>
          <w14:ligatures w14:val="standardContextual"/>
        </w:rPr>
        <w:t xml:space="preserve">Het voorstel richt zich op de strafbaarstelling van seksueel misbruik, de opsporing en vervolging daarvan en versterking van preventie en ondersteuning aan slachtoffers. Uw Kamer is </w:t>
      </w:r>
      <w:r w:rsidRPr="008132C8" w:rsidR="008E7C87">
        <w:rPr>
          <w:rFonts w:cs="Calibri" w:eastAsiaTheme="minorHAnsi"/>
          <w:color w:val="auto"/>
          <w:lang w:eastAsia="en-US"/>
          <w14:ligatures w14:val="standardContextual"/>
        </w:rPr>
        <w:t>in</w:t>
      </w:r>
      <w:r w:rsidRPr="008132C8">
        <w:rPr>
          <w:rFonts w:cs="Calibri" w:eastAsiaTheme="minorHAnsi"/>
          <w:color w:val="auto"/>
          <w:lang w:eastAsia="en-US"/>
          <w14:ligatures w14:val="standardContextual"/>
        </w:rPr>
        <w:t xml:space="preserve"> </w:t>
      </w:r>
      <w:r w:rsidRPr="008132C8" w:rsidR="008E7C87">
        <w:rPr>
          <w:rFonts w:cs="Calibri" w:eastAsiaTheme="minorHAnsi"/>
          <w:color w:val="auto"/>
          <w:lang w:eastAsia="en-US"/>
          <w14:ligatures w14:val="standardContextual"/>
        </w:rPr>
        <w:t>het</w:t>
      </w:r>
      <w:r w:rsidRPr="008132C8">
        <w:rPr>
          <w:rFonts w:cs="Calibri" w:eastAsiaTheme="minorHAnsi"/>
          <w:color w:val="auto"/>
          <w:lang w:eastAsia="en-US"/>
          <w14:ligatures w14:val="standardContextual"/>
        </w:rPr>
        <w:t xml:space="preserve"> BNC-fiche geïnformeerd over het voorstel.</w:t>
      </w:r>
      <w:r w:rsidRPr="008132C8" w:rsidR="002858C4">
        <w:rPr>
          <w:rStyle w:val="Voetnootmarkering"/>
          <w:rFonts w:cs="Calibri" w:eastAsiaTheme="minorHAnsi"/>
          <w:color w:val="auto"/>
          <w:lang w:eastAsia="en-US"/>
          <w14:ligatures w14:val="standardContextual"/>
        </w:rPr>
        <w:footnoteReference w:id="20"/>
      </w:r>
    </w:p>
    <w:p w:rsidR="00E909A1" w:rsidP="003B30FE" w:rsidRDefault="00E909A1" w14:paraId="6D56C6BA" w14:textId="5A019C18">
      <w:pPr>
        <w:pStyle w:val="broodtekst"/>
        <w:rPr>
          <w:rFonts w:eastAsiaTheme="minorHAnsi"/>
          <w:lang w:val="nl-BE" w:eastAsia="en-US"/>
        </w:rPr>
      </w:pPr>
      <w:r w:rsidRPr="008132C8">
        <w:rPr>
          <w:rFonts w:eastAsiaTheme="minorHAnsi"/>
          <w:lang w:eastAsia="en-US"/>
        </w:rPr>
        <w:t xml:space="preserve">Het kabinet steunt een EU-aanpak van (online) seksueel kindermisbruik en seksuele uitbuiting. </w:t>
      </w:r>
      <w:r w:rsidRPr="008132C8">
        <w:rPr>
          <w:rFonts w:eastAsiaTheme="minorHAnsi"/>
          <w:lang w:val="nl-BE" w:eastAsia="en-US"/>
        </w:rPr>
        <w:t xml:space="preserve">Een gezamenlijke aanpak is gezien het </w:t>
      </w:r>
      <w:r w:rsidRPr="008132C8" w:rsidR="00B015B9">
        <w:rPr>
          <w:rFonts w:eastAsiaTheme="minorHAnsi"/>
          <w:lang w:val="nl-BE" w:eastAsia="en-US"/>
        </w:rPr>
        <w:t>grens</w:t>
      </w:r>
      <w:r w:rsidRPr="008132C8">
        <w:rPr>
          <w:rFonts w:eastAsiaTheme="minorHAnsi"/>
          <w:lang w:val="nl-BE" w:eastAsia="en-US"/>
        </w:rPr>
        <w:t>overschrijdende karakter ervan, essentieel voor een effectieve bestrijding hiervan. Het kabinet verwelkomt daarom het voorstel tot herziening van de richtlijn. Nieuwe technologische ontwikkelingen volgen elkaar in een rap tempo op en het kabinet acht het aanpassen van de huidige wetgeving van belang in het licht van deze ontwikkelingen.</w:t>
      </w:r>
      <w:r w:rsidRPr="00E909A1">
        <w:rPr>
          <w:rFonts w:eastAsiaTheme="minorHAnsi"/>
          <w:lang w:val="nl-BE" w:eastAsia="en-US"/>
        </w:rPr>
        <w:t xml:space="preserve"> </w:t>
      </w:r>
    </w:p>
    <w:p w:rsidRPr="00E909A1" w:rsidR="001846DB" w:rsidP="00126601" w:rsidRDefault="001846DB" w14:paraId="43E6FF65" w14:textId="77777777">
      <w:pPr>
        <w:autoSpaceDN/>
        <w:spacing w:line="240" w:lineRule="auto"/>
        <w:textAlignment w:val="auto"/>
        <w:rPr>
          <w:rFonts w:cs="Calibri" w:eastAsiaTheme="minorHAnsi"/>
          <w:color w:val="auto"/>
          <w:lang w:val="nl-BE" w:eastAsia="en-US"/>
          <w14:ligatures w14:val="standardContextual"/>
        </w:rPr>
      </w:pPr>
    </w:p>
    <w:p w:rsidR="00E909A1" w:rsidP="003B30FE" w:rsidRDefault="00E909A1" w14:paraId="1D14FB35" w14:textId="075D3285">
      <w:pPr>
        <w:pStyle w:val="broodtekst"/>
        <w:rPr>
          <w:rFonts w:eastAsiaTheme="minorHAnsi"/>
          <w:lang w:eastAsia="en-US"/>
        </w:rPr>
      </w:pPr>
      <w:r w:rsidRPr="00E909A1">
        <w:rPr>
          <w:rFonts w:eastAsiaTheme="minorHAnsi"/>
          <w:lang w:eastAsia="en-US"/>
        </w:rPr>
        <w:t xml:space="preserve">Op enkele punten </w:t>
      </w:r>
      <w:r w:rsidR="00596CEB">
        <w:rPr>
          <w:rFonts w:eastAsiaTheme="minorHAnsi"/>
          <w:lang w:eastAsia="en-US"/>
        </w:rPr>
        <w:t>was</w:t>
      </w:r>
      <w:r w:rsidRPr="00E909A1" w:rsidR="00596CEB">
        <w:rPr>
          <w:rFonts w:eastAsiaTheme="minorHAnsi"/>
          <w:lang w:eastAsia="en-US"/>
        </w:rPr>
        <w:t xml:space="preserve"> </w:t>
      </w:r>
      <w:r w:rsidRPr="00E909A1">
        <w:rPr>
          <w:rFonts w:eastAsiaTheme="minorHAnsi"/>
          <w:lang w:eastAsia="en-US"/>
        </w:rPr>
        <w:t xml:space="preserve">het kabinet </w:t>
      </w:r>
      <w:r w:rsidRPr="00E909A1" w:rsidR="00596CEB">
        <w:rPr>
          <w:rFonts w:eastAsiaTheme="minorHAnsi"/>
          <w:lang w:eastAsia="en-US"/>
        </w:rPr>
        <w:t xml:space="preserve">kritisch </w:t>
      </w:r>
      <w:r w:rsidR="00596CEB">
        <w:rPr>
          <w:rFonts w:eastAsiaTheme="minorHAnsi"/>
          <w:lang w:eastAsia="en-US"/>
        </w:rPr>
        <w:t xml:space="preserve">op </w:t>
      </w:r>
      <w:r w:rsidRPr="00E909A1">
        <w:rPr>
          <w:rFonts w:eastAsiaTheme="minorHAnsi"/>
          <w:lang w:eastAsia="en-US"/>
        </w:rPr>
        <w:t>het voorstel. Het kabinet heeft zich onder andere ingezet voor heldere afbakeningen van de strafbaarstellingen, zodat bepalingen niet verder gaan dan noodzakelijk om het doel van de richtlijn te verwezenlijken en inpasbaar zijn in het Nederlandse stelsel van strafbaarstellingen. Daarnaast had het kabinet – zoals ook in het BNC-fiche aangegeven – aarzelingen bij de bepaling over de voorgestelde verplichting voor werkgevers en vrijwilligersorganisaties om informatie op te vragen over het bestaan van strafrechtelijke veroordelingen</w:t>
      </w:r>
      <w:r w:rsidR="008E7C87">
        <w:rPr>
          <w:rFonts w:eastAsiaTheme="minorHAnsi"/>
          <w:lang w:eastAsia="en-US"/>
        </w:rPr>
        <w:t>, gezien de bestaande</w:t>
      </w:r>
      <w:r w:rsidRPr="00E909A1">
        <w:rPr>
          <w:rFonts w:eastAsiaTheme="minorHAnsi"/>
          <w:lang w:eastAsia="en-US"/>
        </w:rPr>
        <w:t xml:space="preserve"> Nederlandse VOG-systematiek. Ook was het kabinet kritisch over de voorgestelde aangifteplicht, omdat deze een drempel kan opwerpen voor kinderen om hulp te zoeken en zo een averechts effect kan hebben. Nederland wilde ruimte behouden voor de huidige werkwijze, onder andere op basis van de bestaande meldcode</w:t>
      </w:r>
      <w:r w:rsidRPr="008132C8" w:rsidR="008132C8">
        <w:t xml:space="preserve"> </w:t>
      </w:r>
      <w:r w:rsidRPr="008132C8" w:rsidR="008132C8">
        <w:rPr>
          <w:rFonts w:eastAsiaTheme="minorHAnsi"/>
          <w:lang w:eastAsia="en-US"/>
        </w:rPr>
        <w:t>huiselijk geweld en kindermishandeling</w:t>
      </w:r>
      <w:r w:rsidRPr="00E909A1">
        <w:rPr>
          <w:rFonts w:eastAsiaTheme="minorHAnsi"/>
          <w:lang w:eastAsia="en-US"/>
        </w:rPr>
        <w:t>. Verder heeft het kabinet zich positief opgesteld tegenover het meenemen van kindersekspoppen in de richtlijn</w:t>
      </w:r>
      <w:r w:rsidRPr="00126601">
        <w:rPr>
          <w:rFonts w:eastAsiaTheme="minorHAnsi"/>
          <w:lang w:eastAsia="en-US"/>
        </w:rPr>
        <w:t>.</w:t>
      </w:r>
      <w:r w:rsidRPr="00126601">
        <w:rPr>
          <w:rStyle w:val="Voetnootmarkering"/>
          <w:rFonts w:cs="Calibri" w:eastAsiaTheme="minorHAnsi"/>
          <w:lang w:eastAsia="en-US"/>
          <w14:ligatures w14:val="standardContextual"/>
        </w:rPr>
        <w:footnoteReference w:id="21"/>
      </w:r>
    </w:p>
    <w:p w:rsidRPr="00126601" w:rsidR="001846DB" w:rsidP="00126601" w:rsidRDefault="001846DB" w14:paraId="77ABA1B2" w14:textId="77777777">
      <w:pPr>
        <w:autoSpaceDN/>
        <w:spacing w:line="240" w:lineRule="auto"/>
        <w:textAlignment w:val="auto"/>
        <w:rPr>
          <w:rFonts w:cs="Calibri" w:eastAsiaTheme="minorHAnsi"/>
          <w:color w:val="auto"/>
          <w:lang w:eastAsia="en-US"/>
          <w14:ligatures w14:val="standardContextual"/>
        </w:rPr>
      </w:pPr>
    </w:p>
    <w:p w:rsidRPr="00E909A1" w:rsidR="00E909A1" w:rsidP="003B30FE" w:rsidRDefault="00E909A1" w14:paraId="16FB70CE" w14:textId="545970F4">
      <w:pPr>
        <w:pStyle w:val="broodtekst"/>
        <w:rPr>
          <w:rFonts w:eastAsiaTheme="minorHAnsi"/>
          <w:lang w:eastAsia="en-US"/>
        </w:rPr>
      </w:pPr>
      <w:r w:rsidRPr="008132C8">
        <w:rPr>
          <w:rFonts w:eastAsiaTheme="minorHAnsi"/>
          <w:lang w:eastAsia="en-US"/>
        </w:rPr>
        <w:t>De belangrijkste Nederlandse zorgen zijn in het voorstel geadresseerd. Naar het oordeel van het kabinet zijn de strafbaarstellingen duidelijk afgebakend, goed afgestemd op het internationale kader dat van toepassing is en inpasbaar in het Nederlandse stelsel. In verband met het krachtenveld is het onderwerp van de kindersekspoppen geadresseerd in een overweging bij de richtlijn, waarin lidstaten worden aangemoedigd om gedragingen met kindersekspoppen, waaronder de productie daarvan, strafbaar te stellen. Ook laat het voorstel voldoende ruimte voor toepassing van de Nederlandse VOG-systematiek en van de meldcode huiselijk geweld en kindermishandeling.</w:t>
      </w:r>
    </w:p>
    <w:p w:rsidRPr="00126601" w:rsidR="008F3864" w:rsidP="00126601" w:rsidRDefault="008F3864" w14:paraId="0890F032" w14:textId="77777777">
      <w:pPr>
        <w:spacing w:line="240" w:lineRule="auto"/>
      </w:pPr>
    </w:p>
    <w:p w:rsidR="0030213F" w:rsidP="00B449B6" w:rsidRDefault="00AA7821" w14:paraId="1EA70811" w14:textId="71156094">
      <w:pPr>
        <w:pStyle w:val="Lijstalinea"/>
        <w:numPr>
          <w:ilvl w:val="0"/>
          <w:numId w:val="23"/>
        </w:numPr>
        <w:spacing w:line="240" w:lineRule="auto"/>
        <w:ind w:left="284" w:hanging="284"/>
        <w:rPr>
          <w:b/>
          <w:bCs/>
        </w:rPr>
      </w:pPr>
      <w:r w:rsidRPr="00295012">
        <w:rPr>
          <w:b/>
          <w:bCs/>
        </w:rPr>
        <w:t xml:space="preserve">Stand van zaken </w:t>
      </w:r>
      <w:r w:rsidR="0030213F">
        <w:rPr>
          <w:b/>
          <w:bCs/>
        </w:rPr>
        <w:t>EU-</w:t>
      </w:r>
      <w:r w:rsidRPr="00295012">
        <w:rPr>
          <w:b/>
          <w:bCs/>
        </w:rPr>
        <w:t>Verordening</w:t>
      </w:r>
      <w:r w:rsidR="0030213F">
        <w:rPr>
          <w:b/>
          <w:bCs/>
        </w:rPr>
        <w:t xml:space="preserve"> ter bestrijding van online seksueel kindermisbrui</w:t>
      </w:r>
      <w:r w:rsidR="006F3BC2">
        <w:rPr>
          <w:b/>
          <w:bCs/>
        </w:rPr>
        <w:t xml:space="preserve">k </w:t>
      </w:r>
      <w:r w:rsidR="0030213F">
        <w:rPr>
          <w:b/>
          <w:bCs/>
        </w:rPr>
        <w:t xml:space="preserve"> </w:t>
      </w:r>
    </w:p>
    <w:p w:rsidRPr="00DE333D" w:rsidR="00DE333D" w:rsidP="003B30FE" w:rsidRDefault="00DE333D" w14:paraId="5BC39924" w14:textId="18D286B7">
      <w:pPr>
        <w:pStyle w:val="broodtekst"/>
      </w:pPr>
      <w:r w:rsidRPr="00DE333D">
        <w:t>Op 29 november j</w:t>
      </w:r>
      <w:r w:rsidR="002029FD">
        <w:t>ongstleden</w:t>
      </w:r>
      <w:r w:rsidRPr="00DE333D">
        <w:t xml:space="preserve"> </w:t>
      </w:r>
      <w:r w:rsidR="001846DB">
        <w:t xml:space="preserve">heeft de </w:t>
      </w:r>
      <w:r w:rsidR="008D5EBC">
        <w:t>m</w:t>
      </w:r>
      <w:r w:rsidR="001846DB">
        <w:t>inister van Justitie en Veiligheid</w:t>
      </w:r>
      <w:r w:rsidRPr="00DE333D">
        <w:t xml:space="preserve"> uw Kamer een brief toegezonden </w:t>
      </w:r>
      <w:r w:rsidR="00516419">
        <w:t>over</w:t>
      </w:r>
      <w:r w:rsidR="001C02D1">
        <w:t xml:space="preserve"> </w:t>
      </w:r>
      <w:r w:rsidRPr="00DE333D">
        <w:t>de EU-Verordening ter bestrijding van online seksueel kindermisbruik</w:t>
      </w:r>
      <w:r w:rsidR="00A0490C">
        <w:t xml:space="preserve">. </w:t>
      </w:r>
      <w:r w:rsidRPr="00DE333D">
        <w:t xml:space="preserve">De brief </w:t>
      </w:r>
      <w:r w:rsidR="001846DB">
        <w:t>benoemt enkele</w:t>
      </w:r>
      <w:r w:rsidRPr="00DE333D">
        <w:t xml:space="preserve"> uitgangspunten van Nederland voor de onderhandelingen in Brussel, specifiek ten aanzien van het detectiebevel, en besteedt aandacht aan de vragen die daarbij rijzen. De motie van het </w:t>
      </w:r>
      <w:r w:rsidRPr="00BF5AB3">
        <w:t xml:space="preserve">lid Kathmann </w:t>
      </w:r>
      <w:r w:rsidRPr="00BF5AB3" w:rsidR="000A6737">
        <w:t xml:space="preserve">(GL-PvdA) </w:t>
      </w:r>
      <w:r w:rsidRPr="00BF5AB3">
        <w:t xml:space="preserve">c.s. </w:t>
      </w:r>
      <w:r w:rsidRPr="00BF5AB3" w:rsidR="000A6737">
        <w:t>is</w:t>
      </w:r>
      <w:r w:rsidRPr="00BF5AB3">
        <w:t xml:space="preserve"> </w:t>
      </w:r>
      <w:r w:rsidR="001846DB">
        <w:t>met</w:t>
      </w:r>
      <w:r w:rsidRPr="00BF5AB3" w:rsidR="000A6737">
        <w:t xml:space="preserve"> de brief van 29 november</w:t>
      </w:r>
      <w:r w:rsidRPr="00BF5AB3">
        <w:t xml:space="preserve"> afgedaan.</w:t>
      </w:r>
      <w:r w:rsidRPr="00BF5AB3">
        <w:rPr>
          <w:rStyle w:val="Voetnootmarkering"/>
        </w:rPr>
        <w:footnoteReference w:id="22"/>
      </w:r>
    </w:p>
    <w:p w:rsidR="00AA7821" w:rsidP="00AA7821" w:rsidRDefault="00AA7821" w14:paraId="078D121E" w14:textId="77777777">
      <w:pPr>
        <w:pStyle w:val="Lijstalinea"/>
        <w:spacing w:line="240" w:lineRule="auto"/>
        <w:rPr>
          <w:b/>
          <w:bCs/>
        </w:rPr>
      </w:pPr>
    </w:p>
    <w:p w:rsidR="00AA7821" w:rsidP="00B449B6" w:rsidRDefault="00AA7821" w14:paraId="2F8EB994" w14:textId="14253986">
      <w:pPr>
        <w:pStyle w:val="Lijstalinea"/>
        <w:numPr>
          <w:ilvl w:val="0"/>
          <w:numId w:val="23"/>
        </w:numPr>
        <w:spacing w:line="240" w:lineRule="auto"/>
        <w:ind w:left="284" w:hanging="284"/>
        <w:rPr>
          <w:b/>
          <w:bCs/>
        </w:rPr>
      </w:pPr>
      <w:bookmarkStart w:name="_Hlk184036417" w:id="3"/>
      <w:r w:rsidRPr="00295012">
        <w:rPr>
          <w:b/>
          <w:bCs/>
        </w:rPr>
        <w:t xml:space="preserve">Intensivering aanpak </w:t>
      </w:r>
      <w:r w:rsidR="0020505E">
        <w:rPr>
          <w:b/>
          <w:bCs/>
        </w:rPr>
        <w:t xml:space="preserve">seksueel </w:t>
      </w:r>
      <w:r w:rsidRPr="00295012">
        <w:rPr>
          <w:b/>
          <w:bCs/>
        </w:rPr>
        <w:t xml:space="preserve">kindermisbruik </w:t>
      </w:r>
    </w:p>
    <w:p w:rsidRPr="00605DF3" w:rsidR="0020505E" w:rsidP="00B449B6" w:rsidRDefault="0020505E" w14:paraId="58358DA9" w14:textId="4FF1972D">
      <w:pPr>
        <w:pStyle w:val="broodtekst"/>
      </w:pPr>
      <w:r w:rsidRPr="00605DF3">
        <w:t>Bij brief van 14 november j</w:t>
      </w:r>
      <w:r w:rsidR="0027277F">
        <w:t>ongstleden</w:t>
      </w:r>
      <w:r w:rsidRPr="00605DF3">
        <w:t xml:space="preserve"> </w:t>
      </w:r>
      <w:r w:rsidR="00605DF3">
        <w:t xml:space="preserve">heeft de </w:t>
      </w:r>
      <w:r w:rsidR="008D5EBC">
        <w:t>m</w:t>
      </w:r>
      <w:r w:rsidR="00605DF3">
        <w:t>inister van Justitie en Veiligheid</w:t>
      </w:r>
      <w:r w:rsidRPr="00605DF3">
        <w:t xml:space="preserve"> uw Kamer geïnformeerd </w:t>
      </w:r>
      <w:r w:rsidR="001846DB">
        <w:t>dat</w:t>
      </w:r>
      <w:r w:rsidRPr="00605DF3">
        <w:t xml:space="preserve"> het kabinet </w:t>
      </w:r>
      <w:r w:rsidR="001846DB">
        <w:t xml:space="preserve">7,5 miljoen euro </w:t>
      </w:r>
      <w:r w:rsidR="00605DF3">
        <w:t xml:space="preserve">extra </w:t>
      </w:r>
      <w:r w:rsidRPr="00605DF3">
        <w:t xml:space="preserve">beschikbaar </w:t>
      </w:r>
      <w:r w:rsidR="001846DB">
        <w:t>heeft</w:t>
      </w:r>
      <w:r w:rsidRPr="00605DF3" w:rsidR="001846DB">
        <w:t xml:space="preserve"> </w:t>
      </w:r>
      <w:r w:rsidRPr="00605DF3">
        <w:t xml:space="preserve">gesteld voor de aanpak van </w:t>
      </w:r>
      <w:r w:rsidRPr="00B449B6">
        <w:t>seksueel</w:t>
      </w:r>
      <w:r w:rsidRPr="00605DF3">
        <w:t xml:space="preserve"> kindermisbruik</w:t>
      </w:r>
      <w:r w:rsidRPr="00605DF3" w:rsidR="00605DF3">
        <w:t xml:space="preserve"> en, voor een klein deel, mensenhandel</w:t>
      </w:r>
      <w:r w:rsidRPr="00605DF3">
        <w:t>.</w:t>
      </w:r>
      <w:r w:rsidR="006D165E">
        <w:rPr>
          <w:rStyle w:val="Voetnootmarkering"/>
        </w:rPr>
        <w:footnoteReference w:id="23"/>
      </w:r>
      <w:r w:rsidRPr="00605DF3">
        <w:t xml:space="preserve"> De capaciteit van </w:t>
      </w:r>
      <w:r w:rsidRPr="00605DF3" w:rsidR="00605DF3">
        <w:t xml:space="preserve">de </w:t>
      </w:r>
      <w:r w:rsidRPr="00605DF3">
        <w:t>opsporingsteams</w:t>
      </w:r>
      <w:r w:rsidRPr="00605DF3" w:rsidR="00605DF3">
        <w:t xml:space="preserve"> die zich met de bestrijding van seksueel kindermisbruik bezighouden,</w:t>
      </w:r>
      <w:r w:rsidRPr="00605DF3">
        <w:t xml:space="preserve"> wordt </w:t>
      </w:r>
      <w:r w:rsidR="001846DB">
        <w:t xml:space="preserve">hiermee </w:t>
      </w:r>
      <w:r w:rsidRPr="00605DF3">
        <w:t>versterkt</w:t>
      </w:r>
      <w:r w:rsidRPr="00605DF3" w:rsidR="00605DF3">
        <w:t xml:space="preserve">. Met behulp hiervan </w:t>
      </w:r>
      <w:r w:rsidRPr="00605DF3">
        <w:t>wordt het opsporingsvermogen versterkt via onder andere de</w:t>
      </w:r>
      <w:r w:rsidR="001846DB">
        <w:t xml:space="preserve"> </w:t>
      </w:r>
      <w:r w:rsidRPr="00605DF3">
        <w:t>ontwikkeling van specifieke tooling en de inzet van artificiële intelligentie.</w:t>
      </w:r>
      <w:r w:rsidRPr="00605DF3" w:rsidR="00605DF3">
        <w:t xml:space="preserve"> </w:t>
      </w:r>
      <w:r w:rsidRPr="00605DF3">
        <w:t>Verder maakt het kabinet middelen vrij voor de implementatie van de herziening van de EU-richtlijn mensenhandel en wordt geanticipeerd op de grote uitdagingen die nieuwe EU-wet- en regelgeving op het gebied van (online) seksueel kindermisbruik naar verwachting met zich mee gaat brengen</w:t>
      </w:r>
      <w:r w:rsidRPr="00605DF3" w:rsidR="00605DF3">
        <w:t xml:space="preserve"> (zie onder 7 en 8). </w:t>
      </w:r>
    </w:p>
    <w:bookmarkEnd w:id="3"/>
    <w:p w:rsidRPr="00AA7821" w:rsidR="00AA7821" w:rsidP="00AA7821" w:rsidRDefault="00AA7821" w14:paraId="2C0D7819" w14:textId="77777777">
      <w:pPr>
        <w:spacing w:line="240" w:lineRule="auto"/>
        <w:rPr>
          <w:b/>
          <w:bCs/>
        </w:rPr>
      </w:pPr>
    </w:p>
    <w:p w:rsidRPr="00126601" w:rsidR="003464B2" w:rsidP="00B449B6" w:rsidRDefault="00AA7821" w14:paraId="3D526373" w14:textId="689B08CB">
      <w:pPr>
        <w:pStyle w:val="Lijstalinea"/>
        <w:numPr>
          <w:ilvl w:val="0"/>
          <w:numId w:val="23"/>
        </w:numPr>
        <w:spacing w:line="240" w:lineRule="auto"/>
        <w:ind w:left="426" w:hanging="426"/>
        <w:rPr>
          <w:b/>
          <w:bCs/>
        </w:rPr>
      </w:pPr>
      <w:r>
        <w:rPr>
          <w:b/>
          <w:bCs/>
        </w:rPr>
        <w:t xml:space="preserve">Invoeringstoets </w:t>
      </w:r>
      <w:r w:rsidRPr="00126601" w:rsidR="00E7201F">
        <w:rPr>
          <w:b/>
          <w:bCs/>
        </w:rPr>
        <w:t>ATKM</w:t>
      </w:r>
    </w:p>
    <w:p w:rsidR="00E7201F" w:rsidP="00B449B6" w:rsidRDefault="00E7201F" w14:paraId="6A45FFA6" w14:textId="4F589C93">
      <w:pPr>
        <w:pStyle w:val="broodtekst"/>
      </w:pPr>
      <w:r w:rsidRPr="00126601">
        <w:t xml:space="preserve">Vanaf 1 juli 2024 is de wet bestuursrechtelijke aanpak online kinderpornografisch materiaal in werking getreden waarmee de ATKM bevoegdheden heeft verkregen voor </w:t>
      </w:r>
      <w:r w:rsidR="001846DB">
        <w:t xml:space="preserve">de handhaving ten aanzien van </w:t>
      </w:r>
      <w:r w:rsidRPr="00126601">
        <w:t>kinderpornografisc</w:t>
      </w:r>
      <w:r w:rsidRPr="00AC5CD9">
        <w:t xml:space="preserve">h materiaal. Deze wet regelt onder meer de </w:t>
      </w:r>
      <w:r w:rsidRPr="00B449B6">
        <w:t>bevoegdhed</w:t>
      </w:r>
      <w:r w:rsidRPr="00B449B6" w:rsidR="001846DB">
        <w:t>en</w:t>
      </w:r>
      <w:r w:rsidRPr="00AC5CD9">
        <w:t xml:space="preserve"> voor de ATKM om aanbieders van hostingdiensten en aanbieders van communicatiediensten te verplichten online kinderpornografisch materiaal ontoegankelijk te maken en bestuursrechtelijk te handhaven wanneer zij dat niet doen.</w:t>
      </w:r>
      <w:r>
        <w:t xml:space="preserve"> </w:t>
      </w:r>
      <w:r w:rsidRPr="00AC5CD9">
        <w:t>Aanbieders van hostingdiensten die weigeren verwijderverzoeken van het Meldpunt Kinderporno (onderdeel van Offlimits) op te volgen kunnen binnenkort handhavende maatregelen ondervinden op last van de ATKM. De ATKM en Offlimits leggen thans de laatste hand aan samenwerkingsafspraken om dit in de praktijk te effectueren.</w:t>
      </w:r>
      <w:r>
        <w:t xml:space="preserve"> Om de ATKM daarmee sluitstuk te laten zijn van de zelfregulering, zullen burgers in eerste instantie gestimuleerd worden om eerst </w:t>
      </w:r>
      <w:r w:rsidR="00516419">
        <w:t>melding te doen</w:t>
      </w:r>
      <w:r>
        <w:t xml:space="preserve"> bij Offlimits. Zoals eerder gecommuniceerd aan uw Kamer zal een invoeringstoets worden </w:t>
      </w:r>
      <w:r w:rsidR="00516419">
        <w:t>uitgevoerd</w:t>
      </w:r>
      <w:r w:rsidR="001846DB">
        <w:t>,</w:t>
      </w:r>
      <w:r>
        <w:t xml:space="preserve"> waarbij in het bijzonder de samenwerking tussen het Meldpunt Kinderporno en de ATKM mee zal worden genomen</w:t>
      </w:r>
      <w:r w:rsidR="00516419">
        <w:t xml:space="preserve">. Daarin wordt aandacht besteed aan het </w:t>
      </w:r>
      <w:r>
        <w:t xml:space="preserve">bestaan van twee meldpunten waar burgers kinderpornografisch materiaal zouden kunnen melden, </w:t>
      </w:r>
      <w:r w:rsidRPr="00AC5CD9">
        <w:t>conform de aangenomen motie</w:t>
      </w:r>
      <w:r w:rsidR="008302E6">
        <w:t xml:space="preserve"> van de leden</w:t>
      </w:r>
      <w:r w:rsidRPr="00AC5CD9">
        <w:t xml:space="preserve"> Mutluer</w:t>
      </w:r>
      <w:r>
        <w:t xml:space="preserve"> (GL-PvdA)</w:t>
      </w:r>
      <w:r w:rsidR="008302E6">
        <w:t xml:space="preserve"> en </w:t>
      </w:r>
      <w:r w:rsidRPr="00AC5CD9">
        <w:t>Kathma</w:t>
      </w:r>
      <w:r>
        <w:t>nn (GL-Pvda).</w:t>
      </w:r>
      <w:r>
        <w:rPr>
          <w:rStyle w:val="Voetnootmarkering"/>
        </w:rPr>
        <w:footnoteReference w:id="24"/>
      </w:r>
    </w:p>
    <w:p w:rsidR="00165FE1" w:rsidP="00E7201F" w:rsidRDefault="00165FE1" w14:paraId="725C18EC" w14:textId="77777777">
      <w:pPr>
        <w:spacing w:line="276" w:lineRule="auto"/>
      </w:pPr>
    </w:p>
    <w:p w:rsidRPr="00165FE1" w:rsidR="00165FE1" w:rsidP="00B449B6" w:rsidRDefault="00605DF3" w14:paraId="5AB6DD00" w14:textId="00771128">
      <w:pPr>
        <w:pStyle w:val="Lijstalinea"/>
        <w:numPr>
          <w:ilvl w:val="0"/>
          <w:numId w:val="23"/>
        </w:numPr>
        <w:spacing w:line="276" w:lineRule="auto"/>
        <w:ind w:left="426" w:hanging="426"/>
        <w:rPr>
          <w:b/>
          <w:bCs/>
        </w:rPr>
      </w:pPr>
      <w:r>
        <w:rPr>
          <w:b/>
          <w:bCs/>
        </w:rPr>
        <w:t>Overblocking</w:t>
      </w:r>
    </w:p>
    <w:p w:rsidRPr="000133C0" w:rsidR="00165FE1" w:rsidP="003B30FE" w:rsidRDefault="00165FE1" w14:paraId="26F169D5" w14:textId="7F8BC424">
      <w:pPr>
        <w:pStyle w:val="broodtekst"/>
      </w:pPr>
      <w:r w:rsidRPr="00AC5CD9">
        <w:t xml:space="preserve">De </w:t>
      </w:r>
      <w:r>
        <w:t>ATKM</w:t>
      </w:r>
      <w:r w:rsidRPr="00AC5CD9">
        <w:t xml:space="preserve"> treedt met sectorpartijen in </w:t>
      </w:r>
      <w:r>
        <w:t xml:space="preserve">overleg in </w:t>
      </w:r>
      <w:r w:rsidRPr="00AC5CD9">
        <w:t xml:space="preserve">de door hen ingerichte sectorraad waarin de internetsector breed vertegenwoordigd is. In </w:t>
      </w:r>
      <w:r>
        <w:t xml:space="preserve">de sectorraad zal de ATKM bij deze partijen input ophalen om gezamenlijk de zorgen te adresseren die leven ten aanzien van het onderwerp overblocking. </w:t>
      </w:r>
      <w:r w:rsidRPr="003A28E0" w:rsidR="003A28E0">
        <w:t xml:space="preserve">Op basis van de Wet bestuursrechtelijke aanpak kinderpornografisch materiaal kan de ATKM namelijk naast hostingsdiensten eveneens aan internet access providers een bevel tot ontoegankelijkmaking opleggen. Een internet access provider is technisch niet in staat om een afbeelding of video ontoegankelijk te maken maar enkel een website </w:t>
      </w:r>
      <w:r w:rsidRPr="000133C0" w:rsidR="003A28E0">
        <w:t>te blokkeren. Daarom dient de ATKM delicaat om te gaan met een dergelijke bevoegdheid en dient deze enkel in vergaande gevallen ingezet te worden. De visie van de sector over de inzet van deze bevoegdheid en de volgordelijkheid van aanbieders is daarom van groot belang en zal mee worden genomen bij de verdere inrichting van de uitvoeringspraktijk door de ATKM.</w:t>
      </w:r>
    </w:p>
    <w:p w:rsidRPr="000133C0" w:rsidR="003A28E0" w:rsidP="00CF142F" w:rsidRDefault="003A28E0" w14:paraId="386B8263" w14:textId="77777777">
      <w:pPr>
        <w:spacing w:line="240" w:lineRule="auto"/>
      </w:pPr>
    </w:p>
    <w:p w:rsidRPr="000133C0" w:rsidR="0017424B" w:rsidP="00256AC1" w:rsidRDefault="00165FE1" w14:paraId="5FF4F44D" w14:textId="0DBFC764">
      <w:pPr>
        <w:pStyle w:val="broodtekst"/>
      </w:pPr>
      <w:r w:rsidRPr="000133C0">
        <w:t>Hiermee beschouw ik de toezegging om het risico op overblocking te betrekken in het beleid en de doelen van de autoriteit</w:t>
      </w:r>
      <w:r w:rsidRPr="000133C0" w:rsidR="003B30FE">
        <w:t>,</w:t>
      </w:r>
      <w:r w:rsidRPr="000133C0">
        <w:rPr>
          <w:rStyle w:val="Voetnootmarkering"/>
        </w:rPr>
        <w:footnoteReference w:id="25"/>
      </w:r>
      <w:bookmarkStart w:name="_Hlk183785433" w:id="4"/>
      <w:r w:rsidRPr="000133C0" w:rsidR="003B30FE">
        <w:t xml:space="preserve"> </w:t>
      </w:r>
      <w:r w:rsidRPr="000133C0">
        <w:t xml:space="preserve">gedaan tijdens het </w:t>
      </w:r>
      <w:r w:rsidRPr="000133C0" w:rsidR="00256AC1">
        <w:t>w</w:t>
      </w:r>
      <w:r w:rsidRPr="000133C0">
        <w:t>etgevingsoverleg bestuursrechtelijke aanpak online kinderpornografisch materiaal op 16 mei 2024</w:t>
      </w:r>
      <w:bookmarkEnd w:id="4"/>
      <w:r w:rsidRPr="000133C0">
        <w:t xml:space="preserve">, als afgedaan. </w:t>
      </w:r>
    </w:p>
    <w:p w:rsidRPr="000133C0" w:rsidR="00E643D0" w:rsidP="00D44552" w:rsidRDefault="00E643D0" w14:paraId="7234DF25" w14:textId="77777777">
      <w:pPr>
        <w:spacing w:line="240" w:lineRule="auto"/>
        <w:rPr>
          <w:b/>
          <w:bCs/>
        </w:rPr>
      </w:pPr>
    </w:p>
    <w:p w:rsidRPr="000133C0" w:rsidR="001243FC" w:rsidP="00D44552" w:rsidRDefault="007A6E1F" w14:paraId="04A561B5" w14:textId="571F1EFF">
      <w:pPr>
        <w:spacing w:line="240" w:lineRule="auto"/>
        <w:rPr>
          <w:b/>
          <w:bCs/>
        </w:rPr>
      </w:pPr>
      <w:r w:rsidRPr="000133C0">
        <w:rPr>
          <w:b/>
          <w:bCs/>
        </w:rPr>
        <w:t>Tot slot</w:t>
      </w:r>
    </w:p>
    <w:p w:rsidRPr="003123B4" w:rsidR="00230A1E" w:rsidP="003B30FE" w:rsidRDefault="003123B4" w14:paraId="632D950A" w14:textId="4383441D">
      <w:pPr>
        <w:pStyle w:val="broodtekst"/>
      </w:pPr>
      <w:r w:rsidRPr="000133C0">
        <w:t>De cijfers en verhalen van slachtoffers en omstanders laten ons zien dat het van belang is dat we ons nationaal en internationaal onverminderd blijven inzetten in de bestrijding van seksuele intimidatie en seksueel geweld. Over de stappen die worden gezet in de aanpak, zullen wij uw Kamer</w:t>
      </w:r>
      <w:r w:rsidRPr="000133C0" w:rsidR="00DE6DF8">
        <w:t>,</w:t>
      </w:r>
      <w:r w:rsidRPr="000133C0">
        <w:t xml:space="preserve"> m</w:t>
      </w:r>
      <w:r w:rsidRPr="000133C0" w:rsidR="007755EC">
        <w:t>ede door middel van deze voortgangsbrieven</w:t>
      </w:r>
      <w:r w:rsidRPr="000133C0" w:rsidR="00DE6DF8">
        <w:t>,</w:t>
      </w:r>
      <w:r w:rsidRPr="000133C0" w:rsidR="007755EC">
        <w:t xml:space="preserve"> </w:t>
      </w:r>
      <w:r w:rsidRPr="000133C0">
        <w:t>op de hoogte houden</w:t>
      </w:r>
      <w:r w:rsidRPr="000133C0" w:rsidR="007755EC">
        <w:t>.</w:t>
      </w:r>
    </w:p>
    <w:p w:rsidR="0033421D" w:rsidP="00D44552" w:rsidRDefault="0033421D" w14:paraId="7B64B392" w14:textId="77777777">
      <w:pPr>
        <w:spacing w:line="240" w:lineRule="auto"/>
        <w:rPr>
          <w:b/>
          <w:bCs/>
          <w:highlight w:val="yellow"/>
        </w:rPr>
      </w:pPr>
    </w:p>
    <w:p w:rsidRPr="002C39E3" w:rsidR="003B30FE" w:rsidP="00D44552" w:rsidRDefault="003B30FE" w14:paraId="502CE52D" w14:textId="77777777">
      <w:pPr>
        <w:spacing w:line="240" w:lineRule="auto"/>
        <w:rPr>
          <w:b/>
          <w:bCs/>
          <w:highlight w:val="yellow"/>
        </w:rPr>
      </w:pPr>
    </w:p>
    <w:p w:rsidRPr="009A3157" w:rsidR="00182959" w:rsidP="00182959" w:rsidRDefault="00182959" w14:paraId="35C0E891" w14:textId="03CBD718">
      <w:pPr>
        <w:spacing w:line="240" w:lineRule="auto"/>
      </w:pPr>
      <w:r w:rsidRPr="009A3157">
        <w:t>De Minister van Justitie en Veiligheid</w:t>
      </w:r>
      <w:r w:rsidRPr="009A3157" w:rsidR="009A3157">
        <w:t xml:space="preserve">, </w:t>
      </w:r>
    </w:p>
    <w:p w:rsidRPr="009A3157" w:rsidR="009A3157" w:rsidP="00182959" w:rsidRDefault="009A3157" w14:paraId="3BDB28AD" w14:textId="77777777">
      <w:pPr>
        <w:spacing w:line="240" w:lineRule="auto"/>
      </w:pPr>
    </w:p>
    <w:p w:rsidR="009A3157" w:rsidP="00182959" w:rsidRDefault="009A3157" w14:paraId="5A41C9E1" w14:textId="77777777">
      <w:pPr>
        <w:spacing w:line="240" w:lineRule="auto"/>
      </w:pPr>
    </w:p>
    <w:p w:rsidRPr="009A3157" w:rsidR="007062CD" w:rsidP="00182959" w:rsidRDefault="007062CD" w14:paraId="6A50BD6C" w14:textId="77777777">
      <w:pPr>
        <w:spacing w:line="240" w:lineRule="auto"/>
      </w:pPr>
    </w:p>
    <w:p w:rsidRPr="009A3157" w:rsidR="009A3157" w:rsidP="00182959" w:rsidRDefault="009A3157" w14:paraId="4D3D3F4E" w14:textId="77777777">
      <w:pPr>
        <w:spacing w:line="240" w:lineRule="auto"/>
      </w:pPr>
    </w:p>
    <w:p w:rsidR="009A3157" w:rsidP="00D44552" w:rsidRDefault="009A3157" w14:paraId="4895B9BF" w14:textId="77777777">
      <w:pPr>
        <w:spacing w:line="240" w:lineRule="auto"/>
      </w:pPr>
      <w:r w:rsidRPr="009A3157">
        <w:t xml:space="preserve">D.M. van Weel </w:t>
      </w:r>
    </w:p>
    <w:p w:rsidR="0017424B" w:rsidP="00D44552" w:rsidRDefault="0017424B" w14:paraId="51E5F20C" w14:textId="77777777">
      <w:pPr>
        <w:spacing w:line="240" w:lineRule="auto"/>
      </w:pPr>
    </w:p>
    <w:p w:rsidR="0017424B" w:rsidP="00D44552" w:rsidRDefault="0017424B" w14:paraId="3B20279F" w14:textId="77777777">
      <w:pPr>
        <w:spacing w:line="240" w:lineRule="auto"/>
      </w:pPr>
    </w:p>
    <w:p w:rsidR="00347DBD" w:rsidP="00D44552" w:rsidRDefault="00EA59BF" w14:paraId="702112ED" w14:textId="5B9CDF31">
      <w:pPr>
        <w:spacing w:line="240" w:lineRule="auto"/>
      </w:pPr>
      <w:r w:rsidRPr="009A3157">
        <w:t xml:space="preserve">De Staatssecretaris van Justitie en Veiligheid, </w:t>
      </w:r>
    </w:p>
    <w:p w:rsidR="009A3157" w:rsidP="00D44552" w:rsidRDefault="009A3157" w14:paraId="2F53D7D7" w14:textId="77777777">
      <w:pPr>
        <w:spacing w:line="240" w:lineRule="auto"/>
      </w:pPr>
    </w:p>
    <w:p w:rsidR="009A3157" w:rsidP="00D44552" w:rsidRDefault="009A3157" w14:paraId="1E412428" w14:textId="77777777">
      <w:pPr>
        <w:spacing w:line="240" w:lineRule="auto"/>
      </w:pPr>
    </w:p>
    <w:p w:rsidR="007062CD" w:rsidP="00D44552" w:rsidRDefault="007062CD" w14:paraId="61A4D219" w14:textId="77777777">
      <w:pPr>
        <w:spacing w:line="240" w:lineRule="auto"/>
      </w:pPr>
    </w:p>
    <w:p w:rsidR="009A3157" w:rsidP="00D44552" w:rsidRDefault="009A3157" w14:paraId="6BEEAD0B" w14:textId="77777777">
      <w:pPr>
        <w:spacing w:line="240" w:lineRule="auto"/>
      </w:pPr>
    </w:p>
    <w:p w:rsidRPr="00D44552" w:rsidR="000022A8" w:rsidP="00D44552" w:rsidRDefault="009A3157" w14:paraId="77021E0B" w14:textId="08294678">
      <w:pPr>
        <w:spacing w:line="240" w:lineRule="auto"/>
      </w:pPr>
      <w:r>
        <w:t xml:space="preserve">I. Coenradie </w:t>
      </w:r>
    </w:p>
    <w:sectPr w:rsidRPr="00D44552" w:rsidR="000022A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187F0" w14:textId="77777777" w:rsidR="00985819" w:rsidRDefault="00985819">
      <w:pPr>
        <w:spacing w:line="240" w:lineRule="auto"/>
      </w:pPr>
      <w:r>
        <w:separator/>
      </w:r>
    </w:p>
  </w:endnote>
  <w:endnote w:type="continuationSeparator" w:id="0">
    <w:p w14:paraId="5EDA2DA6" w14:textId="77777777" w:rsidR="00985819" w:rsidRDefault="00985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B5C4" w14:textId="77777777" w:rsidR="000022A8" w:rsidRDefault="000022A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2E11" w14:textId="77777777" w:rsidR="00985819" w:rsidRDefault="00985819">
      <w:pPr>
        <w:spacing w:line="240" w:lineRule="auto"/>
      </w:pPr>
      <w:r>
        <w:separator/>
      </w:r>
    </w:p>
  </w:footnote>
  <w:footnote w:type="continuationSeparator" w:id="0">
    <w:p w14:paraId="584EA899" w14:textId="77777777" w:rsidR="00985819" w:rsidRDefault="00985819">
      <w:pPr>
        <w:spacing w:line="240" w:lineRule="auto"/>
      </w:pPr>
      <w:r>
        <w:continuationSeparator/>
      </w:r>
    </w:p>
  </w:footnote>
  <w:footnote w:id="1">
    <w:p w14:paraId="2528B97E" w14:textId="6EBDE0A2" w:rsidR="00CC46C7" w:rsidRPr="003B30FE" w:rsidRDefault="00CC46C7">
      <w:pPr>
        <w:pStyle w:val="Voetnoottekst"/>
        <w:rPr>
          <w:sz w:val="13"/>
          <w:szCs w:val="13"/>
        </w:rPr>
      </w:pPr>
      <w:r w:rsidRPr="003B30FE">
        <w:rPr>
          <w:rStyle w:val="Voetnootmarkering"/>
          <w:sz w:val="13"/>
          <w:szCs w:val="13"/>
        </w:rPr>
        <w:footnoteRef/>
      </w:r>
      <w:r w:rsidRPr="003B30FE">
        <w:rPr>
          <w:sz w:val="13"/>
          <w:szCs w:val="13"/>
        </w:rPr>
        <w:t xml:space="preserve"> </w:t>
      </w:r>
      <w:hyperlink r:id="rId1" w:history="1">
        <w:r w:rsidRPr="003B30FE">
          <w:rPr>
            <w:rStyle w:val="Hyperlink"/>
            <w:sz w:val="13"/>
            <w:szCs w:val="13"/>
          </w:rPr>
          <w:t>Prevalentiemonitor Huiselijk Geweld en Seksueel Grensoverschrijdend Gedrag 2024</w:t>
        </w:r>
      </w:hyperlink>
    </w:p>
  </w:footnote>
  <w:footnote w:id="2">
    <w:p w14:paraId="43CE041F" w14:textId="77777777" w:rsidR="003B30FE" w:rsidRPr="003B30FE" w:rsidRDefault="003B30FE" w:rsidP="003B30FE">
      <w:pPr>
        <w:pStyle w:val="Voetnoottekst"/>
        <w:rPr>
          <w:sz w:val="13"/>
          <w:szCs w:val="13"/>
        </w:rPr>
      </w:pPr>
      <w:r w:rsidRPr="003B30FE">
        <w:rPr>
          <w:rStyle w:val="Voetnootmarkering"/>
          <w:sz w:val="13"/>
          <w:szCs w:val="13"/>
        </w:rPr>
        <w:footnoteRef/>
      </w:r>
      <w:r w:rsidRPr="003B30FE">
        <w:rPr>
          <w:sz w:val="13"/>
          <w:szCs w:val="13"/>
        </w:rPr>
        <w:t xml:space="preserve"> </w:t>
      </w:r>
      <w:hyperlink r:id="rId2" w:history="1">
        <w:r w:rsidRPr="003B30FE">
          <w:rPr>
            <w:rStyle w:val="Hyperlink"/>
            <w:sz w:val="13"/>
            <w:szCs w:val="13"/>
          </w:rPr>
          <w:t>Voortgangsbrief aanpak seksuele misdrijven 19 juni 2024</w:t>
        </w:r>
      </w:hyperlink>
    </w:p>
  </w:footnote>
  <w:footnote w:id="3">
    <w:p w14:paraId="2779B90A" w14:textId="60DDB482" w:rsidR="003B30FE" w:rsidRPr="00FF2520" w:rsidRDefault="003B30FE" w:rsidP="003B30FE">
      <w:pPr>
        <w:pStyle w:val="Voetnoottekst"/>
        <w:ind w:left="142" w:hanging="142"/>
        <w:rPr>
          <w:sz w:val="13"/>
          <w:szCs w:val="13"/>
        </w:rPr>
      </w:pPr>
      <w:r w:rsidRPr="003B30FE">
        <w:rPr>
          <w:rStyle w:val="Voetnootmarkering"/>
          <w:sz w:val="13"/>
          <w:szCs w:val="13"/>
        </w:rPr>
        <w:footnoteRef/>
      </w:r>
      <w:r w:rsidRPr="003B30FE">
        <w:rPr>
          <w:sz w:val="13"/>
          <w:szCs w:val="13"/>
        </w:rPr>
        <w:t xml:space="preserve"> </w:t>
      </w:r>
      <w:hyperlink r:id="rId3" w:history="1">
        <w:r w:rsidRPr="003B30FE">
          <w:rPr>
            <w:rStyle w:val="Hyperlink"/>
            <w:sz w:val="13"/>
            <w:szCs w:val="13"/>
          </w:rPr>
          <w:t>Toezegging gedaan tijdens het Commissiedebat Zeden en (on)veiligheid van vrouwen op 16 oktober 2024</w:t>
        </w:r>
      </w:hyperlink>
    </w:p>
  </w:footnote>
  <w:footnote w:id="4">
    <w:p w14:paraId="2E0614FF" w14:textId="04DF0778" w:rsidR="00D12034" w:rsidRPr="003B30FE" w:rsidRDefault="00E61D7C" w:rsidP="00E61D7C">
      <w:pPr>
        <w:pStyle w:val="Voetnoottekst"/>
        <w:rPr>
          <w:sz w:val="13"/>
          <w:szCs w:val="13"/>
        </w:rPr>
      </w:pPr>
      <w:r w:rsidRPr="003B30FE">
        <w:rPr>
          <w:rStyle w:val="Voetnootmarkering"/>
          <w:sz w:val="13"/>
          <w:szCs w:val="13"/>
        </w:rPr>
        <w:footnoteRef/>
      </w:r>
      <w:r w:rsidRPr="003B30FE">
        <w:rPr>
          <w:sz w:val="13"/>
          <w:szCs w:val="13"/>
        </w:rPr>
        <w:t xml:space="preserve"> </w:t>
      </w:r>
      <w:hyperlink r:id="rId4" w:history="1">
        <w:r w:rsidRPr="003B30FE">
          <w:rPr>
            <w:rStyle w:val="Hyperlink"/>
            <w:sz w:val="13"/>
            <w:szCs w:val="13"/>
          </w:rPr>
          <w:t xml:space="preserve">Verslag van </w:t>
        </w:r>
        <w:r w:rsidR="00EE6AAC" w:rsidRPr="003B30FE">
          <w:rPr>
            <w:rStyle w:val="Hyperlink"/>
            <w:sz w:val="13"/>
            <w:szCs w:val="13"/>
          </w:rPr>
          <w:t>het</w:t>
        </w:r>
        <w:r w:rsidRPr="003B30FE">
          <w:rPr>
            <w:rStyle w:val="Hyperlink"/>
            <w:sz w:val="13"/>
            <w:szCs w:val="13"/>
          </w:rPr>
          <w:t xml:space="preserve"> </w:t>
        </w:r>
        <w:r w:rsidR="00EE6AAC" w:rsidRPr="003B30FE">
          <w:rPr>
            <w:rStyle w:val="Hyperlink"/>
            <w:sz w:val="13"/>
            <w:szCs w:val="13"/>
          </w:rPr>
          <w:t>C</w:t>
        </w:r>
        <w:r w:rsidRPr="003B30FE">
          <w:rPr>
            <w:rStyle w:val="Hyperlink"/>
            <w:sz w:val="13"/>
            <w:szCs w:val="13"/>
          </w:rPr>
          <w:t>ommissiedebat</w:t>
        </w:r>
        <w:r w:rsidR="00EE6AAC" w:rsidRPr="003B30FE">
          <w:rPr>
            <w:rStyle w:val="Hyperlink"/>
            <w:sz w:val="13"/>
            <w:szCs w:val="13"/>
          </w:rPr>
          <w:t xml:space="preserve"> </w:t>
        </w:r>
        <w:r w:rsidRPr="003B30FE">
          <w:rPr>
            <w:rStyle w:val="Hyperlink"/>
            <w:sz w:val="13"/>
            <w:szCs w:val="13"/>
          </w:rPr>
          <w:t>zeden en (on)veiligheid van vrouwen</w:t>
        </w:r>
        <w:r w:rsidR="00EE6AAC" w:rsidRPr="003B30FE">
          <w:rPr>
            <w:rStyle w:val="Hyperlink"/>
            <w:sz w:val="13"/>
            <w:szCs w:val="13"/>
          </w:rPr>
          <w:t xml:space="preserve"> van 16 oktober 2024</w:t>
        </w:r>
      </w:hyperlink>
      <w:r w:rsidR="00D12034" w:rsidRPr="003B30FE">
        <w:rPr>
          <w:sz w:val="13"/>
          <w:szCs w:val="13"/>
        </w:rPr>
        <w:t xml:space="preserve"> </w:t>
      </w:r>
    </w:p>
  </w:footnote>
  <w:footnote w:id="5">
    <w:p w14:paraId="742EC7E0" w14:textId="3395297B" w:rsidR="0009430F" w:rsidRPr="003B30FE" w:rsidRDefault="0009430F" w:rsidP="0009430F">
      <w:pPr>
        <w:pStyle w:val="Voetnoottekst"/>
        <w:rPr>
          <w:b/>
          <w:bCs/>
          <w:sz w:val="13"/>
          <w:szCs w:val="13"/>
        </w:rPr>
      </w:pPr>
      <w:r w:rsidRPr="003B30FE">
        <w:rPr>
          <w:rStyle w:val="Voetnootmarkering"/>
          <w:sz w:val="13"/>
          <w:szCs w:val="13"/>
        </w:rPr>
        <w:footnoteRef/>
      </w:r>
      <w:r w:rsidR="00190DD9" w:rsidRPr="003B30FE">
        <w:rPr>
          <w:sz w:val="13"/>
          <w:szCs w:val="13"/>
        </w:rPr>
        <w:t xml:space="preserve"> </w:t>
      </w:r>
      <w:r w:rsidR="00300C22" w:rsidRPr="003B30FE">
        <w:rPr>
          <w:sz w:val="13"/>
          <w:szCs w:val="13"/>
        </w:rPr>
        <w:t xml:space="preserve"> </w:t>
      </w:r>
      <w:r w:rsidRPr="003B30FE">
        <w:rPr>
          <w:sz w:val="13"/>
          <w:szCs w:val="13"/>
        </w:rPr>
        <w:t>Kamerstukken II 2022</w:t>
      </w:r>
      <w:r w:rsidR="003C638A" w:rsidRPr="003B30FE">
        <w:rPr>
          <w:sz w:val="13"/>
          <w:szCs w:val="13"/>
        </w:rPr>
        <w:t>-20</w:t>
      </w:r>
      <w:r w:rsidRPr="003B30FE">
        <w:rPr>
          <w:sz w:val="13"/>
          <w:szCs w:val="13"/>
        </w:rPr>
        <w:t>23, 36200-VIII, nr. 153</w:t>
      </w:r>
      <w:r w:rsidR="003C638A" w:rsidRPr="003B30FE">
        <w:rPr>
          <w:sz w:val="13"/>
          <w:szCs w:val="13"/>
        </w:rPr>
        <w:t>.</w:t>
      </w:r>
    </w:p>
  </w:footnote>
  <w:footnote w:id="6">
    <w:p w14:paraId="41B6DA54" w14:textId="4BCB61EF" w:rsidR="0009430F" w:rsidRPr="003B30FE" w:rsidRDefault="0009430F" w:rsidP="0009430F">
      <w:pPr>
        <w:pStyle w:val="Voetnoottekst"/>
        <w:rPr>
          <w:sz w:val="13"/>
          <w:szCs w:val="13"/>
        </w:rPr>
      </w:pPr>
      <w:r w:rsidRPr="003B30FE">
        <w:rPr>
          <w:rStyle w:val="Voetnootmarkering"/>
          <w:sz w:val="13"/>
          <w:szCs w:val="13"/>
        </w:rPr>
        <w:footnoteRef/>
      </w:r>
      <w:r w:rsidRPr="003B30FE">
        <w:rPr>
          <w:sz w:val="13"/>
          <w:szCs w:val="13"/>
        </w:rPr>
        <w:t xml:space="preserve"> </w:t>
      </w:r>
      <w:r w:rsidR="00300C22" w:rsidRPr="003B30FE">
        <w:rPr>
          <w:sz w:val="13"/>
          <w:szCs w:val="13"/>
        </w:rPr>
        <w:t xml:space="preserve"> </w:t>
      </w:r>
      <w:r w:rsidR="003F32F5">
        <w:rPr>
          <w:sz w:val="13"/>
          <w:szCs w:val="13"/>
        </w:rPr>
        <w:t>Kamerstukken II, 2022-2023, 34843, nr. 86.</w:t>
      </w:r>
      <w:r w:rsidRPr="003B30FE">
        <w:rPr>
          <w:sz w:val="13"/>
          <w:szCs w:val="13"/>
        </w:rPr>
        <w:t xml:space="preserve">   </w:t>
      </w:r>
    </w:p>
  </w:footnote>
  <w:footnote w:id="7">
    <w:p w14:paraId="1EE2AF65" w14:textId="5478DDC6" w:rsidR="0009430F" w:rsidRPr="003B30FE" w:rsidRDefault="0009430F" w:rsidP="0009430F">
      <w:pPr>
        <w:pStyle w:val="Voetnoottekst"/>
        <w:rPr>
          <w:sz w:val="13"/>
          <w:szCs w:val="13"/>
        </w:rPr>
      </w:pPr>
      <w:r w:rsidRPr="003B30FE">
        <w:rPr>
          <w:rStyle w:val="Voetnootmarkering"/>
          <w:sz w:val="13"/>
          <w:szCs w:val="13"/>
        </w:rPr>
        <w:footnoteRef/>
      </w:r>
      <w:r w:rsidR="00190DD9" w:rsidRPr="003B30FE">
        <w:rPr>
          <w:sz w:val="13"/>
          <w:szCs w:val="13"/>
        </w:rPr>
        <w:t xml:space="preserve"> </w:t>
      </w:r>
      <w:r w:rsidR="003F32F5">
        <w:rPr>
          <w:sz w:val="13"/>
          <w:szCs w:val="13"/>
        </w:rPr>
        <w:t xml:space="preserve"> </w:t>
      </w:r>
      <w:r w:rsidRPr="003B30FE">
        <w:rPr>
          <w:sz w:val="13"/>
          <w:szCs w:val="13"/>
        </w:rPr>
        <w:t>Kamerstukken II</w:t>
      </w:r>
      <w:r w:rsidR="003C638A" w:rsidRPr="003B30FE">
        <w:rPr>
          <w:sz w:val="13"/>
          <w:szCs w:val="13"/>
        </w:rPr>
        <w:t xml:space="preserve"> </w:t>
      </w:r>
      <w:r w:rsidRPr="003B30FE">
        <w:rPr>
          <w:sz w:val="13"/>
          <w:szCs w:val="13"/>
        </w:rPr>
        <w:t>2023</w:t>
      </w:r>
      <w:r w:rsidR="003C638A" w:rsidRPr="003B30FE">
        <w:rPr>
          <w:sz w:val="13"/>
          <w:szCs w:val="13"/>
        </w:rPr>
        <w:t>-</w:t>
      </w:r>
      <w:r w:rsidRPr="003B30FE">
        <w:rPr>
          <w:sz w:val="13"/>
          <w:szCs w:val="13"/>
        </w:rPr>
        <w:t>2024, 30420, nr. 410</w:t>
      </w:r>
      <w:r w:rsidR="003C638A" w:rsidRPr="003B30FE">
        <w:rPr>
          <w:sz w:val="13"/>
          <w:szCs w:val="13"/>
        </w:rPr>
        <w:t>.</w:t>
      </w:r>
    </w:p>
  </w:footnote>
  <w:footnote w:id="8">
    <w:p w14:paraId="796F7839" w14:textId="7D4E551D" w:rsidR="0009430F" w:rsidRPr="003B30FE" w:rsidRDefault="0009430F" w:rsidP="0009430F">
      <w:pPr>
        <w:pStyle w:val="Voetnoottekst"/>
        <w:rPr>
          <w:sz w:val="13"/>
          <w:szCs w:val="13"/>
        </w:rPr>
      </w:pPr>
      <w:r w:rsidRPr="003B30FE">
        <w:rPr>
          <w:rStyle w:val="Voetnootmarkering"/>
          <w:sz w:val="13"/>
          <w:szCs w:val="13"/>
        </w:rPr>
        <w:footnoteRef/>
      </w:r>
      <w:r w:rsidRPr="003B30FE">
        <w:rPr>
          <w:sz w:val="13"/>
          <w:szCs w:val="13"/>
        </w:rPr>
        <w:t xml:space="preserve"> </w:t>
      </w:r>
      <w:hyperlink r:id="rId5" w:history="1">
        <w:r w:rsidRPr="003B30FE">
          <w:rPr>
            <w:rStyle w:val="Hyperlink"/>
            <w:sz w:val="13"/>
            <w:szCs w:val="13"/>
          </w:rPr>
          <w:t>Home - Veilige Steden (programmaveiligesteden.nl)</w:t>
        </w:r>
      </w:hyperlink>
    </w:p>
  </w:footnote>
  <w:footnote w:id="9">
    <w:p w14:paraId="44642E4C" w14:textId="30B97202" w:rsidR="0009430F" w:rsidRPr="003B30FE" w:rsidRDefault="0009430F" w:rsidP="0009430F">
      <w:pPr>
        <w:pStyle w:val="Voetnoottekst"/>
        <w:rPr>
          <w:sz w:val="13"/>
          <w:szCs w:val="13"/>
        </w:rPr>
      </w:pPr>
      <w:r w:rsidRPr="003B30FE">
        <w:rPr>
          <w:rStyle w:val="Voetnootmarkering"/>
          <w:sz w:val="13"/>
          <w:szCs w:val="13"/>
        </w:rPr>
        <w:footnoteRef/>
      </w:r>
      <w:r w:rsidRPr="003B30FE">
        <w:rPr>
          <w:sz w:val="13"/>
          <w:szCs w:val="13"/>
        </w:rPr>
        <w:t xml:space="preserve"> </w:t>
      </w:r>
      <w:hyperlink r:id="rId6" w:history="1"/>
      <w:hyperlink r:id="rId7" w:history="1">
        <w:r w:rsidRPr="003B30FE">
          <w:rPr>
            <w:color w:val="0000FF"/>
            <w:sz w:val="13"/>
            <w:szCs w:val="13"/>
            <w:u w:val="single"/>
          </w:rPr>
          <w:t>Offline seksuele intimidatie | CBS</w:t>
        </w:r>
      </w:hyperlink>
    </w:p>
  </w:footnote>
  <w:footnote w:id="10">
    <w:p w14:paraId="645806DA" w14:textId="1ECCC7DC" w:rsidR="00DE4CC3" w:rsidRPr="003B30FE" w:rsidRDefault="00DE4CC3">
      <w:pPr>
        <w:pStyle w:val="Voetnoottekst"/>
        <w:rPr>
          <w:sz w:val="13"/>
          <w:szCs w:val="13"/>
        </w:rPr>
      </w:pPr>
      <w:r w:rsidRPr="003B30FE">
        <w:rPr>
          <w:rStyle w:val="Voetnootmarkering"/>
          <w:sz w:val="13"/>
          <w:szCs w:val="13"/>
        </w:rPr>
        <w:footnoteRef/>
      </w:r>
      <w:r w:rsidRPr="003B30FE">
        <w:rPr>
          <w:sz w:val="13"/>
          <w:szCs w:val="13"/>
        </w:rPr>
        <w:t xml:space="preserve"> Tweede Kamer, vergaderjaar 2022–2023, 36 222, nr. 39</w:t>
      </w:r>
      <w:r w:rsidR="00256AC1">
        <w:rPr>
          <w:sz w:val="13"/>
          <w:szCs w:val="13"/>
        </w:rPr>
        <w:t>.</w:t>
      </w:r>
    </w:p>
  </w:footnote>
  <w:footnote w:id="11">
    <w:p w14:paraId="66346BA5" w14:textId="1CD2EA39" w:rsidR="003B30FE" w:rsidRPr="00FF2520" w:rsidRDefault="003B30FE">
      <w:pPr>
        <w:pStyle w:val="Voetnoottekst"/>
        <w:rPr>
          <w:sz w:val="13"/>
          <w:szCs w:val="13"/>
        </w:rPr>
      </w:pPr>
      <w:r w:rsidRPr="003B30FE">
        <w:rPr>
          <w:rStyle w:val="Voetnootmarkering"/>
          <w:sz w:val="13"/>
          <w:szCs w:val="13"/>
        </w:rPr>
        <w:footnoteRef/>
      </w:r>
      <w:r w:rsidRPr="003B30FE">
        <w:rPr>
          <w:sz w:val="13"/>
          <w:szCs w:val="13"/>
        </w:rPr>
        <w:t xml:space="preserve"> </w:t>
      </w:r>
      <w:hyperlink r:id="rId8" w:history="1">
        <w:r w:rsidRPr="003B30FE">
          <w:rPr>
            <w:rStyle w:val="Hyperlink"/>
            <w:sz w:val="13"/>
            <w:szCs w:val="13"/>
          </w:rPr>
          <w:t>Toezegging gedaan tijdens de behandeling van het Wetsvoorstel seksuele misdrijven bij de Eerste Kamer op 19 maart 2024</w:t>
        </w:r>
      </w:hyperlink>
    </w:p>
  </w:footnote>
  <w:footnote w:id="12">
    <w:p w14:paraId="0B8FC9C8" w14:textId="5FB74540" w:rsidR="003F32F5" w:rsidRPr="003F32F5" w:rsidRDefault="003F32F5">
      <w:pPr>
        <w:pStyle w:val="Voetnoottekst"/>
        <w:rPr>
          <w:sz w:val="13"/>
          <w:szCs w:val="13"/>
        </w:rPr>
      </w:pPr>
      <w:r w:rsidRPr="003F32F5">
        <w:rPr>
          <w:rStyle w:val="Voetnootmarkering"/>
          <w:sz w:val="13"/>
          <w:szCs w:val="13"/>
        </w:rPr>
        <w:footnoteRef/>
      </w:r>
      <w:r w:rsidRPr="003F32F5">
        <w:rPr>
          <w:sz w:val="13"/>
          <w:szCs w:val="13"/>
        </w:rPr>
        <w:t xml:space="preserve"> </w:t>
      </w:r>
      <w:hyperlink r:id="rId9" w:history="1">
        <w:r w:rsidRPr="003F32F5">
          <w:rPr>
            <w:rStyle w:val="Hyperlink"/>
            <w:sz w:val="13"/>
            <w:szCs w:val="13"/>
          </w:rPr>
          <w:t>Campagne-effectonderzoek Wet Seksuele Misdrijven | Rapport | Rijksoverheid.nl</w:t>
        </w:r>
      </w:hyperlink>
    </w:p>
  </w:footnote>
  <w:footnote w:id="13">
    <w:p w14:paraId="6A313D8F" w14:textId="142138AB" w:rsidR="009821CB" w:rsidRPr="009821CB" w:rsidRDefault="009821CB">
      <w:pPr>
        <w:pStyle w:val="Voetnoottekst"/>
        <w:rPr>
          <w:sz w:val="13"/>
          <w:szCs w:val="13"/>
        </w:rPr>
      </w:pPr>
      <w:r w:rsidRPr="009821CB">
        <w:rPr>
          <w:rStyle w:val="Voetnootmarkering"/>
          <w:sz w:val="13"/>
          <w:szCs w:val="13"/>
        </w:rPr>
        <w:footnoteRef/>
      </w:r>
      <w:r w:rsidRPr="009821CB">
        <w:rPr>
          <w:sz w:val="13"/>
          <w:szCs w:val="13"/>
        </w:rPr>
        <w:t xml:space="preserve"> </w:t>
      </w:r>
      <w:hyperlink r:id="rId10" w:history="1">
        <w:r w:rsidRPr="009821CB">
          <w:rPr>
            <w:rStyle w:val="Hyperlink"/>
            <w:sz w:val="13"/>
            <w:szCs w:val="13"/>
          </w:rPr>
          <w:t>Over deze campagne | Met elkaar trekken we de grens</w:t>
        </w:r>
      </w:hyperlink>
    </w:p>
  </w:footnote>
  <w:footnote w:id="14">
    <w:p w14:paraId="3C08ABE5" w14:textId="65F155CB" w:rsidR="009C1A29" w:rsidRPr="003B30FE" w:rsidRDefault="009C1A29">
      <w:pPr>
        <w:pStyle w:val="Voetnoottekst"/>
        <w:rPr>
          <w:sz w:val="13"/>
          <w:szCs w:val="13"/>
        </w:rPr>
      </w:pPr>
      <w:r w:rsidRPr="003B30FE">
        <w:rPr>
          <w:rStyle w:val="Voetnootmarkering"/>
          <w:sz w:val="13"/>
          <w:szCs w:val="13"/>
        </w:rPr>
        <w:footnoteRef/>
      </w:r>
      <w:r w:rsidRPr="003B30FE">
        <w:rPr>
          <w:sz w:val="13"/>
          <w:szCs w:val="13"/>
        </w:rPr>
        <w:t xml:space="preserve"> </w:t>
      </w:r>
      <w:hyperlink r:id="rId11" w:history="1">
        <w:r w:rsidR="00396F50" w:rsidRPr="003B30FE">
          <w:rPr>
            <w:rStyle w:val="Hyperlink"/>
            <w:sz w:val="13"/>
            <w:szCs w:val="13"/>
          </w:rPr>
          <w:t>Verslag van de behandeling van het Wetsvoorstel seksuele misdrijven bij Eerste Kamer op 19 maart 2024</w:t>
        </w:r>
      </w:hyperlink>
      <w:r w:rsidR="00396F50" w:rsidRPr="003B30FE">
        <w:rPr>
          <w:sz w:val="13"/>
          <w:szCs w:val="13"/>
        </w:rPr>
        <w:t xml:space="preserve"> </w:t>
      </w:r>
    </w:p>
  </w:footnote>
  <w:footnote w:id="15">
    <w:p w14:paraId="52EB64C1" w14:textId="5D98AEA1" w:rsidR="003B30FE" w:rsidRPr="00FF2520" w:rsidRDefault="003B30FE">
      <w:pPr>
        <w:pStyle w:val="Voetnoottekst"/>
        <w:rPr>
          <w:sz w:val="13"/>
          <w:szCs w:val="13"/>
        </w:rPr>
      </w:pPr>
      <w:r w:rsidRPr="003B30FE">
        <w:rPr>
          <w:rStyle w:val="Voetnootmarkering"/>
          <w:sz w:val="13"/>
          <w:szCs w:val="13"/>
        </w:rPr>
        <w:footnoteRef/>
      </w:r>
      <w:r w:rsidRPr="003B30FE">
        <w:rPr>
          <w:sz w:val="13"/>
          <w:szCs w:val="13"/>
        </w:rPr>
        <w:t xml:space="preserve"> </w:t>
      </w:r>
      <w:hyperlink r:id="rId12" w:anchor="p2" w:history="1">
        <w:r w:rsidRPr="003B30FE">
          <w:rPr>
            <w:rStyle w:val="Hyperlink"/>
            <w:sz w:val="13"/>
            <w:szCs w:val="13"/>
          </w:rPr>
          <w:t>Toezegging gedaan tijdens de behandeling van het Wetsvoorstel seksuele misdrijven bij de Eerste Kamer op 19 maart 2024</w:t>
        </w:r>
      </w:hyperlink>
    </w:p>
  </w:footnote>
  <w:footnote w:id="16">
    <w:p w14:paraId="25D2368C" w14:textId="4944394F" w:rsidR="007D52A6" w:rsidRPr="003B30FE" w:rsidRDefault="007D52A6">
      <w:pPr>
        <w:pStyle w:val="Voetnoottekst"/>
        <w:rPr>
          <w:sz w:val="13"/>
          <w:szCs w:val="13"/>
        </w:rPr>
      </w:pPr>
      <w:r w:rsidRPr="003B30FE">
        <w:rPr>
          <w:rStyle w:val="Voetnootmarkering"/>
          <w:sz w:val="13"/>
          <w:szCs w:val="13"/>
        </w:rPr>
        <w:footnoteRef/>
      </w:r>
      <w:r w:rsidR="003B30FE">
        <w:rPr>
          <w:rStyle w:val="Hyperlink"/>
          <w:sz w:val="13"/>
          <w:szCs w:val="13"/>
        </w:rPr>
        <w:t xml:space="preserve"> </w:t>
      </w:r>
      <w:r w:rsidRPr="003B30FE">
        <w:rPr>
          <w:rStyle w:val="Hyperlink"/>
          <w:sz w:val="13"/>
          <w:szCs w:val="13"/>
        </w:rPr>
        <w:t>Kamerstukken II</w:t>
      </w:r>
      <w:r w:rsidR="00256AC1">
        <w:rPr>
          <w:rStyle w:val="Hyperlink"/>
          <w:sz w:val="13"/>
          <w:szCs w:val="13"/>
        </w:rPr>
        <w:t>,</w:t>
      </w:r>
      <w:r w:rsidRPr="003B30FE">
        <w:rPr>
          <w:rStyle w:val="Hyperlink"/>
          <w:sz w:val="13"/>
          <w:szCs w:val="13"/>
        </w:rPr>
        <w:t xml:space="preserve"> 2023–2024,  36 358, nr. 6.</w:t>
      </w:r>
      <w:r w:rsidRPr="003B30FE">
        <w:rPr>
          <w:sz w:val="13"/>
          <w:szCs w:val="13"/>
        </w:rPr>
        <w:t xml:space="preserve"> </w:t>
      </w:r>
    </w:p>
  </w:footnote>
  <w:footnote w:id="17">
    <w:p w14:paraId="5114E97C" w14:textId="62538244" w:rsidR="007D52A6" w:rsidRPr="003B30FE" w:rsidRDefault="007D52A6">
      <w:pPr>
        <w:pStyle w:val="Voetnoottekst"/>
        <w:rPr>
          <w:sz w:val="13"/>
          <w:szCs w:val="13"/>
        </w:rPr>
      </w:pPr>
      <w:r w:rsidRPr="003B30FE">
        <w:rPr>
          <w:rStyle w:val="Voetnootmarkering"/>
          <w:sz w:val="13"/>
          <w:szCs w:val="13"/>
        </w:rPr>
        <w:footnoteRef/>
      </w:r>
      <w:r w:rsidR="003B30FE">
        <w:rPr>
          <w:sz w:val="13"/>
          <w:szCs w:val="13"/>
        </w:rPr>
        <w:t xml:space="preserve"> </w:t>
      </w:r>
      <w:r w:rsidRPr="003B30FE">
        <w:rPr>
          <w:sz w:val="13"/>
          <w:szCs w:val="13"/>
        </w:rPr>
        <w:t>Kamerstukken II</w:t>
      </w:r>
      <w:r w:rsidR="00256AC1">
        <w:rPr>
          <w:sz w:val="13"/>
          <w:szCs w:val="13"/>
        </w:rPr>
        <w:t>,</w:t>
      </w:r>
      <w:r w:rsidRPr="003B30FE">
        <w:rPr>
          <w:sz w:val="13"/>
          <w:szCs w:val="13"/>
        </w:rPr>
        <w:t xml:space="preserve"> 2022-2023, 29 279, nr. 799</w:t>
      </w:r>
      <w:r w:rsidR="00256AC1">
        <w:rPr>
          <w:sz w:val="13"/>
          <w:szCs w:val="13"/>
        </w:rPr>
        <w:t>.</w:t>
      </w:r>
    </w:p>
  </w:footnote>
  <w:footnote w:id="18">
    <w:p w14:paraId="205039AE" w14:textId="0B26B68E" w:rsidR="00126601" w:rsidRPr="00BD5546" w:rsidRDefault="00126601" w:rsidP="00126601">
      <w:pPr>
        <w:pStyle w:val="Voetnoottekst"/>
        <w:rPr>
          <w:sz w:val="13"/>
          <w:szCs w:val="13"/>
          <w:lang w:val="en-US"/>
        </w:rPr>
      </w:pPr>
      <w:r w:rsidRPr="003B30FE">
        <w:rPr>
          <w:rStyle w:val="Voetnootmarkering"/>
          <w:sz w:val="13"/>
          <w:szCs w:val="13"/>
        </w:rPr>
        <w:footnoteRef/>
      </w:r>
      <w:r w:rsidRPr="00BD5546">
        <w:rPr>
          <w:sz w:val="13"/>
          <w:szCs w:val="13"/>
          <w:lang w:val="en-US"/>
        </w:rPr>
        <w:t xml:space="preserve"> Stb. 2023, nr. 410</w:t>
      </w:r>
      <w:r w:rsidR="00256AC1" w:rsidRPr="00BD5546">
        <w:rPr>
          <w:sz w:val="13"/>
          <w:szCs w:val="13"/>
          <w:lang w:val="en-US"/>
        </w:rPr>
        <w:t>.</w:t>
      </w:r>
    </w:p>
  </w:footnote>
  <w:footnote w:id="19">
    <w:p w14:paraId="192FF4B2" w14:textId="50114340" w:rsidR="0004335A" w:rsidRPr="004E6887" w:rsidRDefault="0004335A">
      <w:pPr>
        <w:pStyle w:val="Voetnoottekst"/>
        <w:rPr>
          <w:sz w:val="13"/>
          <w:szCs w:val="13"/>
          <w:lang w:val="en-US"/>
        </w:rPr>
      </w:pPr>
      <w:r w:rsidRPr="004E6887">
        <w:rPr>
          <w:rStyle w:val="Voetnootmarkering"/>
          <w:sz w:val="13"/>
          <w:szCs w:val="13"/>
        </w:rPr>
        <w:footnoteRef/>
      </w:r>
      <w:r w:rsidRPr="004E6887">
        <w:rPr>
          <w:sz w:val="13"/>
          <w:szCs w:val="13"/>
          <w:lang w:val="en-US"/>
        </w:rPr>
        <w:t xml:space="preserve"> </w:t>
      </w:r>
      <w:hyperlink r:id="rId13" w:history="1">
        <w:r w:rsidR="00401B9A" w:rsidRPr="004E6887">
          <w:rPr>
            <w:rStyle w:val="Hyperlink"/>
            <w:sz w:val="13"/>
            <w:szCs w:val="13"/>
            <w:lang w:val="en-US"/>
          </w:rPr>
          <w:t>Combatting child sexual abuse: Council adopts position on strengthened EU criminal law - Consilium (europa.eu)</w:t>
        </w:r>
      </w:hyperlink>
    </w:p>
  </w:footnote>
  <w:footnote w:id="20">
    <w:p w14:paraId="51C852F3" w14:textId="4972F5BC" w:rsidR="002858C4" w:rsidRPr="003B30FE" w:rsidRDefault="002858C4">
      <w:pPr>
        <w:pStyle w:val="Voetnoottekst"/>
        <w:rPr>
          <w:sz w:val="13"/>
          <w:szCs w:val="13"/>
        </w:rPr>
      </w:pPr>
      <w:r w:rsidRPr="003B30FE">
        <w:rPr>
          <w:rStyle w:val="Voetnootmarkering"/>
          <w:sz w:val="13"/>
          <w:szCs w:val="13"/>
        </w:rPr>
        <w:footnoteRef/>
      </w:r>
      <w:r w:rsidRPr="003B30FE">
        <w:rPr>
          <w:sz w:val="13"/>
          <w:szCs w:val="13"/>
        </w:rPr>
        <w:t xml:space="preserve"> Kamerstukken II</w:t>
      </w:r>
      <w:r w:rsidR="00256AC1">
        <w:rPr>
          <w:sz w:val="13"/>
          <w:szCs w:val="13"/>
        </w:rPr>
        <w:t>,</w:t>
      </w:r>
      <w:r w:rsidRPr="003B30FE">
        <w:rPr>
          <w:sz w:val="13"/>
          <w:szCs w:val="13"/>
        </w:rPr>
        <w:t xml:space="preserve"> 2023-2024, 22112, nr. 3918</w:t>
      </w:r>
      <w:r w:rsidR="00256AC1">
        <w:rPr>
          <w:sz w:val="13"/>
          <w:szCs w:val="13"/>
        </w:rPr>
        <w:t>.</w:t>
      </w:r>
    </w:p>
  </w:footnote>
  <w:footnote w:id="21">
    <w:p w14:paraId="684622EA" w14:textId="5A4A0F01" w:rsidR="00E909A1" w:rsidRPr="003B30FE" w:rsidRDefault="00E909A1" w:rsidP="009C1A29">
      <w:pPr>
        <w:autoSpaceDN/>
        <w:spacing w:line="240" w:lineRule="auto"/>
        <w:textAlignment w:val="auto"/>
        <w:rPr>
          <w:rFonts w:eastAsiaTheme="minorHAnsi" w:cs="Calibri"/>
          <w:color w:val="auto"/>
          <w:sz w:val="13"/>
          <w:szCs w:val="13"/>
          <w:lang w:eastAsia="en-US"/>
          <w14:ligatures w14:val="standardContextual"/>
        </w:rPr>
      </w:pPr>
      <w:r w:rsidRPr="003B30FE">
        <w:rPr>
          <w:rStyle w:val="Voetnootmarkering"/>
          <w:sz w:val="13"/>
          <w:szCs w:val="13"/>
        </w:rPr>
        <w:footnoteRef/>
      </w:r>
      <w:r w:rsidRPr="003B30FE">
        <w:rPr>
          <w:sz w:val="13"/>
          <w:szCs w:val="13"/>
        </w:rPr>
        <w:t xml:space="preserve"> </w:t>
      </w:r>
      <w:r w:rsidRPr="003B30FE">
        <w:rPr>
          <w:rFonts w:eastAsiaTheme="minorHAnsi" w:cs="Calibri"/>
          <w:color w:val="auto"/>
          <w:sz w:val="13"/>
          <w:szCs w:val="13"/>
          <w:lang w:eastAsia="en-US"/>
          <w14:ligatures w14:val="standardContextual"/>
        </w:rPr>
        <w:t>Kamerstukken II</w:t>
      </w:r>
      <w:r w:rsidR="00256AC1">
        <w:rPr>
          <w:rFonts w:eastAsiaTheme="minorHAnsi" w:cs="Calibri"/>
          <w:color w:val="auto"/>
          <w:sz w:val="13"/>
          <w:szCs w:val="13"/>
          <w:lang w:eastAsia="en-US"/>
          <w14:ligatures w14:val="standardContextual"/>
        </w:rPr>
        <w:t>,</w:t>
      </w:r>
      <w:r w:rsidRPr="003B30FE">
        <w:rPr>
          <w:rFonts w:eastAsiaTheme="minorHAnsi" w:cs="Calibri"/>
          <w:color w:val="auto"/>
          <w:sz w:val="13"/>
          <w:szCs w:val="13"/>
          <w:lang w:eastAsia="en-US"/>
          <w14:ligatures w14:val="standardContextual"/>
        </w:rPr>
        <w:t xml:space="preserve"> 2023-2024, 22112, nr. 3950</w:t>
      </w:r>
      <w:r w:rsidR="00256AC1">
        <w:rPr>
          <w:rFonts w:eastAsiaTheme="minorHAnsi" w:cs="Calibri"/>
          <w:color w:val="auto"/>
          <w:sz w:val="13"/>
          <w:szCs w:val="13"/>
          <w:lang w:eastAsia="en-US"/>
          <w14:ligatures w14:val="standardContextual"/>
        </w:rPr>
        <w:t>.</w:t>
      </w:r>
    </w:p>
  </w:footnote>
  <w:footnote w:id="22">
    <w:p w14:paraId="55A639A2" w14:textId="4B4CD87D" w:rsidR="00DE333D" w:rsidRPr="003B30FE" w:rsidRDefault="00DE333D">
      <w:pPr>
        <w:pStyle w:val="Voetnoottekst"/>
        <w:rPr>
          <w:sz w:val="13"/>
          <w:szCs w:val="13"/>
        </w:rPr>
      </w:pPr>
      <w:r w:rsidRPr="003B30FE">
        <w:rPr>
          <w:rStyle w:val="Voetnootmarkering"/>
          <w:sz w:val="13"/>
          <w:szCs w:val="13"/>
        </w:rPr>
        <w:footnoteRef/>
      </w:r>
      <w:r w:rsidRPr="003B30FE">
        <w:rPr>
          <w:sz w:val="13"/>
          <w:szCs w:val="13"/>
        </w:rPr>
        <w:t xml:space="preserve"> Kamerstukken II, 2024-2025, 32317, nr. 891.</w:t>
      </w:r>
    </w:p>
  </w:footnote>
  <w:footnote w:id="23">
    <w:p w14:paraId="02416D0C" w14:textId="14BB68F6" w:rsidR="006D165E" w:rsidRPr="006D165E" w:rsidRDefault="006D165E">
      <w:pPr>
        <w:pStyle w:val="Voetnoottekst"/>
      </w:pPr>
      <w:r w:rsidRPr="006D165E">
        <w:rPr>
          <w:rStyle w:val="Voetnootmarkering"/>
          <w:sz w:val="13"/>
          <w:szCs w:val="13"/>
        </w:rPr>
        <w:footnoteRef/>
      </w:r>
      <w:r w:rsidRPr="006D165E">
        <w:rPr>
          <w:sz w:val="13"/>
          <w:szCs w:val="13"/>
        </w:rPr>
        <w:t xml:space="preserve"> Kamerstukken II, 2024-2025, 36600-VI, nr. 32</w:t>
      </w:r>
      <w:r>
        <w:rPr>
          <w:sz w:val="13"/>
          <w:szCs w:val="13"/>
        </w:rPr>
        <w:t>.</w:t>
      </w:r>
    </w:p>
  </w:footnote>
  <w:footnote w:id="24">
    <w:p w14:paraId="1A6D85AF" w14:textId="662E6DCE" w:rsidR="00E7201F" w:rsidRPr="003B30FE" w:rsidRDefault="00E7201F" w:rsidP="00E7201F">
      <w:pPr>
        <w:pStyle w:val="Voetnoottekst"/>
        <w:rPr>
          <w:sz w:val="13"/>
          <w:szCs w:val="13"/>
        </w:rPr>
      </w:pPr>
      <w:r w:rsidRPr="003B30FE">
        <w:rPr>
          <w:rStyle w:val="Voetnootmarkering"/>
          <w:sz w:val="13"/>
          <w:szCs w:val="13"/>
        </w:rPr>
        <w:footnoteRef/>
      </w:r>
      <w:r w:rsidRPr="003B30FE">
        <w:rPr>
          <w:sz w:val="13"/>
          <w:szCs w:val="13"/>
        </w:rPr>
        <w:t xml:space="preserve"> Kamerstukken II, 2023</w:t>
      </w:r>
      <w:r w:rsidR="006441CE" w:rsidRPr="003B30FE">
        <w:rPr>
          <w:sz w:val="13"/>
          <w:szCs w:val="13"/>
        </w:rPr>
        <w:t>-20</w:t>
      </w:r>
      <w:r w:rsidRPr="003B30FE">
        <w:rPr>
          <w:sz w:val="13"/>
          <w:szCs w:val="13"/>
        </w:rPr>
        <w:t>24, 36377, nr. 16</w:t>
      </w:r>
      <w:r w:rsidR="00256AC1">
        <w:rPr>
          <w:sz w:val="13"/>
          <w:szCs w:val="13"/>
        </w:rPr>
        <w:t>.</w:t>
      </w:r>
    </w:p>
  </w:footnote>
  <w:footnote w:id="25">
    <w:p w14:paraId="34A14281" w14:textId="1E376CE0" w:rsidR="00165FE1" w:rsidRPr="003B30FE" w:rsidRDefault="00165FE1" w:rsidP="00165FE1">
      <w:pPr>
        <w:pStyle w:val="Voetnoottekst"/>
        <w:rPr>
          <w:sz w:val="13"/>
          <w:szCs w:val="13"/>
        </w:rPr>
      </w:pPr>
      <w:r w:rsidRPr="003B30FE">
        <w:rPr>
          <w:rStyle w:val="Voetnootmarkering"/>
          <w:sz w:val="13"/>
          <w:szCs w:val="13"/>
        </w:rPr>
        <w:footnoteRef/>
      </w:r>
      <w:r w:rsidRPr="003B30FE">
        <w:rPr>
          <w:sz w:val="13"/>
          <w:szCs w:val="13"/>
        </w:rPr>
        <w:t xml:space="preserve"> Toezegging 124329, Wetgevingsoverleg bestuursrechtelijke aanpak online kinderpornografisch materiaal  16 mei 2024</w:t>
      </w:r>
      <w:r w:rsidR="00256AC1">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B06A" w14:textId="77777777" w:rsidR="000022A8" w:rsidRDefault="0068542B">
    <w:r>
      <w:rPr>
        <w:noProof/>
      </w:rPr>
      <mc:AlternateContent>
        <mc:Choice Requires="wps">
          <w:drawing>
            <wp:anchor distT="0" distB="0" distL="0" distR="0" simplePos="0" relativeHeight="251652608" behindDoc="0" locked="1" layoutInCell="1" allowOverlap="1" wp14:anchorId="20335416" wp14:editId="6C2D8FC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FFAB85" w14:textId="77777777" w:rsidR="000022A8" w:rsidRDefault="0068542B">
                          <w:pPr>
                            <w:pStyle w:val="Referentiegegevensbold"/>
                          </w:pPr>
                          <w:r>
                            <w:t>Directoraat-Generaal Rechtspleging en Rechtshandhaving</w:t>
                          </w:r>
                        </w:p>
                        <w:p w14:paraId="6763E069" w14:textId="77777777" w:rsidR="000022A8" w:rsidRDefault="0068542B">
                          <w:pPr>
                            <w:pStyle w:val="Referentiegegevens"/>
                          </w:pPr>
                          <w:r>
                            <w:t>Directie Rechtshandhaving en Criminaliteitsbestrijding</w:t>
                          </w:r>
                        </w:p>
                        <w:p w14:paraId="7DA506D7" w14:textId="123F3F5F" w:rsidR="000022A8" w:rsidRDefault="008B3899">
                          <w:pPr>
                            <w:pStyle w:val="Referentiegegevens"/>
                          </w:pPr>
                          <w:r>
                            <w:t xml:space="preserve">Afdeling </w:t>
                          </w:r>
                          <w:r w:rsidR="0068542B">
                            <w:t>Cybercrime en zeden</w:t>
                          </w:r>
                        </w:p>
                        <w:p w14:paraId="3F04591F" w14:textId="77777777" w:rsidR="000022A8" w:rsidRDefault="000022A8">
                          <w:pPr>
                            <w:pStyle w:val="WitregelW2"/>
                          </w:pPr>
                        </w:p>
                        <w:p w14:paraId="321D3959" w14:textId="77777777" w:rsidR="000022A8" w:rsidRDefault="000022A8">
                          <w:pPr>
                            <w:pStyle w:val="WitregelW1"/>
                          </w:pPr>
                        </w:p>
                        <w:p w14:paraId="262DDD75" w14:textId="77777777" w:rsidR="000022A8" w:rsidRPr="00992CF5" w:rsidRDefault="0068542B">
                          <w:pPr>
                            <w:pStyle w:val="Referentiegegevensbold"/>
                          </w:pPr>
                          <w:r w:rsidRPr="00992CF5">
                            <w:t>Ons kenmerk</w:t>
                          </w:r>
                        </w:p>
                        <w:p w14:paraId="489587FA" w14:textId="42429D75" w:rsidR="000022A8" w:rsidRDefault="00992CF5">
                          <w:pPr>
                            <w:pStyle w:val="Referentiegegevens"/>
                          </w:pPr>
                          <w:r w:rsidRPr="00992CF5">
                            <w:t>5965452</w:t>
                          </w:r>
                        </w:p>
                      </w:txbxContent>
                    </wps:txbx>
                    <wps:bodyPr vert="horz" wrap="square" lIns="0" tIns="0" rIns="0" bIns="0" anchor="t" anchorCtr="0"/>
                  </wps:wsp>
                </a:graphicData>
              </a:graphic>
            </wp:anchor>
          </w:drawing>
        </mc:Choice>
        <mc:Fallback>
          <w:pict>
            <v:shapetype w14:anchorId="2033541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CFFAB85" w14:textId="77777777" w:rsidR="000022A8" w:rsidRDefault="0068542B">
                    <w:pPr>
                      <w:pStyle w:val="Referentiegegevensbold"/>
                    </w:pPr>
                    <w:r>
                      <w:t>Directoraat-Generaal Rechtspleging en Rechtshandhaving</w:t>
                    </w:r>
                  </w:p>
                  <w:p w14:paraId="6763E069" w14:textId="77777777" w:rsidR="000022A8" w:rsidRDefault="0068542B">
                    <w:pPr>
                      <w:pStyle w:val="Referentiegegevens"/>
                    </w:pPr>
                    <w:r>
                      <w:t>Directie Rechtshandhaving en Criminaliteitsbestrijding</w:t>
                    </w:r>
                  </w:p>
                  <w:p w14:paraId="7DA506D7" w14:textId="123F3F5F" w:rsidR="000022A8" w:rsidRDefault="008B3899">
                    <w:pPr>
                      <w:pStyle w:val="Referentiegegevens"/>
                    </w:pPr>
                    <w:r>
                      <w:t xml:space="preserve">Afdeling </w:t>
                    </w:r>
                    <w:r w:rsidR="0068542B">
                      <w:t>Cybercrime en zeden</w:t>
                    </w:r>
                  </w:p>
                  <w:p w14:paraId="3F04591F" w14:textId="77777777" w:rsidR="000022A8" w:rsidRDefault="000022A8">
                    <w:pPr>
                      <w:pStyle w:val="WitregelW2"/>
                    </w:pPr>
                  </w:p>
                  <w:p w14:paraId="321D3959" w14:textId="77777777" w:rsidR="000022A8" w:rsidRDefault="000022A8">
                    <w:pPr>
                      <w:pStyle w:val="WitregelW1"/>
                    </w:pPr>
                  </w:p>
                  <w:p w14:paraId="262DDD75" w14:textId="77777777" w:rsidR="000022A8" w:rsidRPr="00992CF5" w:rsidRDefault="0068542B">
                    <w:pPr>
                      <w:pStyle w:val="Referentiegegevensbold"/>
                    </w:pPr>
                    <w:r w:rsidRPr="00992CF5">
                      <w:t>Ons kenmerk</w:t>
                    </w:r>
                  </w:p>
                  <w:p w14:paraId="489587FA" w14:textId="42429D75" w:rsidR="000022A8" w:rsidRDefault="00992CF5">
                    <w:pPr>
                      <w:pStyle w:val="Referentiegegevens"/>
                    </w:pPr>
                    <w:r w:rsidRPr="00992CF5">
                      <w:t>5965452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F0CF0F" wp14:editId="7344344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ACD094" w14:textId="77777777" w:rsidR="0068542B" w:rsidRDefault="0068542B"/>
                      </w:txbxContent>
                    </wps:txbx>
                    <wps:bodyPr vert="horz" wrap="square" lIns="0" tIns="0" rIns="0" bIns="0" anchor="t" anchorCtr="0"/>
                  </wps:wsp>
                </a:graphicData>
              </a:graphic>
            </wp:anchor>
          </w:drawing>
        </mc:Choice>
        <mc:Fallback>
          <w:pict>
            <v:shape w14:anchorId="2AF0CF0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FACD094" w14:textId="77777777" w:rsidR="0068542B" w:rsidRDefault="0068542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A97ADF1" wp14:editId="47F8B81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E88360" w14:textId="503D508D" w:rsidR="000022A8" w:rsidRDefault="0068542B">
                          <w:pPr>
                            <w:pStyle w:val="Referentiegegevens"/>
                          </w:pPr>
                          <w:r>
                            <w:t xml:space="preserve">Pagina </w:t>
                          </w:r>
                          <w:r>
                            <w:fldChar w:fldCharType="begin"/>
                          </w:r>
                          <w:r>
                            <w:instrText>PAGE</w:instrText>
                          </w:r>
                          <w:r>
                            <w:fldChar w:fldCharType="separate"/>
                          </w:r>
                          <w:r w:rsidR="008029CD">
                            <w:rPr>
                              <w:noProof/>
                            </w:rPr>
                            <w:t>2</w:t>
                          </w:r>
                          <w:r>
                            <w:fldChar w:fldCharType="end"/>
                          </w:r>
                          <w:r>
                            <w:t xml:space="preserve"> van </w:t>
                          </w:r>
                          <w:r>
                            <w:fldChar w:fldCharType="begin"/>
                          </w:r>
                          <w:r>
                            <w:instrText>NUMPAGES</w:instrText>
                          </w:r>
                          <w:r>
                            <w:fldChar w:fldCharType="separate"/>
                          </w:r>
                          <w:r w:rsidR="00E46BFB">
                            <w:rPr>
                              <w:noProof/>
                            </w:rPr>
                            <w:t>1</w:t>
                          </w:r>
                          <w:r>
                            <w:fldChar w:fldCharType="end"/>
                          </w:r>
                        </w:p>
                      </w:txbxContent>
                    </wps:txbx>
                    <wps:bodyPr vert="horz" wrap="square" lIns="0" tIns="0" rIns="0" bIns="0" anchor="t" anchorCtr="0"/>
                  </wps:wsp>
                </a:graphicData>
              </a:graphic>
            </wp:anchor>
          </w:drawing>
        </mc:Choice>
        <mc:Fallback>
          <w:pict>
            <v:shape w14:anchorId="1A97ADF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8E88360" w14:textId="503D508D" w:rsidR="000022A8" w:rsidRDefault="0068542B">
                    <w:pPr>
                      <w:pStyle w:val="Referentiegegevens"/>
                    </w:pPr>
                    <w:r>
                      <w:t xml:space="preserve">Pagina </w:t>
                    </w:r>
                    <w:r>
                      <w:fldChar w:fldCharType="begin"/>
                    </w:r>
                    <w:r>
                      <w:instrText>PAGE</w:instrText>
                    </w:r>
                    <w:r>
                      <w:fldChar w:fldCharType="separate"/>
                    </w:r>
                    <w:r w:rsidR="008029CD">
                      <w:rPr>
                        <w:noProof/>
                      </w:rPr>
                      <w:t>2</w:t>
                    </w:r>
                    <w:r>
                      <w:fldChar w:fldCharType="end"/>
                    </w:r>
                    <w:r>
                      <w:t xml:space="preserve"> van </w:t>
                    </w:r>
                    <w:r>
                      <w:fldChar w:fldCharType="begin"/>
                    </w:r>
                    <w:r>
                      <w:instrText>NUMPAGES</w:instrText>
                    </w:r>
                    <w:r>
                      <w:fldChar w:fldCharType="separate"/>
                    </w:r>
                    <w:r w:rsidR="00E46BF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AC04" w14:textId="77777777" w:rsidR="000022A8" w:rsidRDefault="0068542B">
    <w:pPr>
      <w:spacing w:after="6377" w:line="14" w:lineRule="exact"/>
    </w:pPr>
    <w:r>
      <w:rPr>
        <w:noProof/>
      </w:rPr>
      <mc:AlternateContent>
        <mc:Choice Requires="wps">
          <w:drawing>
            <wp:anchor distT="0" distB="0" distL="0" distR="0" simplePos="0" relativeHeight="251655680" behindDoc="0" locked="1" layoutInCell="1" allowOverlap="1" wp14:anchorId="2BBC07E7" wp14:editId="6787FAD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20DACF" w14:textId="29D4B028" w:rsidR="000022A8" w:rsidRDefault="0068542B">
                          <w:r>
                            <w:t xml:space="preserve">Aan de Voorzitter van de </w:t>
                          </w:r>
                          <w:r w:rsidRPr="006A70A1">
                            <w:t>Tweede</w:t>
                          </w:r>
                          <w:r>
                            <w:t xml:space="preserve"> Kamer </w:t>
                          </w:r>
                          <w:r w:rsidR="007062CD">
                            <w:br/>
                          </w:r>
                          <w:r>
                            <w:t>der Staten-Generaal</w:t>
                          </w:r>
                        </w:p>
                        <w:p w14:paraId="4B76F9CF" w14:textId="77777777" w:rsidR="000022A8" w:rsidRDefault="0068542B">
                          <w:r>
                            <w:t xml:space="preserve">Postbus 20018 </w:t>
                          </w:r>
                        </w:p>
                        <w:p w14:paraId="2E5A6666" w14:textId="77777777" w:rsidR="000022A8" w:rsidRDefault="0068542B">
                          <w:r>
                            <w:t>2500 EA  DEN HAAG</w:t>
                          </w:r>
                        </w:p>
                      </w:txbxContent>
                    </wps:txbx>
                    <wps:bodyPr vert="horz" wrap="square" lIns="0" tIns="0" rIns="0" bIns="0" anchor="t" anchorCtr="0"/>
                  </wps:wsp>
                </a:graphicData>
              </a:graphic>
            </wp:anchor>
          </w:drawing>
        </mc:Choice>
        <mc:Fallback>
          <w:pict>
            <v:shapetype w14:anchorId="2BBC07E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420DACF" w14:textId="29D4B028" w:rsidR="000022A8" w:rsidRDefault="0068542B">
                    <w:r>
                      <w:t xml:space="preserve">Aan de Voorzitter van de </w:t>
                    </w:r>
                    <w:r w:rsidRPr="006A70A1">
                      <w:t>Tweede</w:t>
                    </w:r>
                    <w:r>
                      <w:t xml:space="preserve"> Kamer </w:t>
                    </w:r>
                    <w:r w:rsidR="007062CD">
                      <w:br/>
                    </w:r>
                    <w:r>
                      <w:t>der Staten-Generaal</w:t>
                    </w:r>
                  </w:p>
                  <w:p w14:paraId="4B76F9CF" w14:textId="77777777" w:rsidR="000022A8" w:rsidRDefault="0068542B">
                    <w:r>
                      <w:t xml:space="preserve">Postbus 20018 </w:t>
                    </w:r>
                  </w:p>
                  <w:p w14:paraId="2E5A6666" w14:textId="77777777" w:rsidR="000022A8" w:rsidRDefault="0068542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ADEBDB" wp14:editId="05EE8C82">
              <wp:simplePos x="0" y="0"/>
              <wp:positionH relativeFrom="margin">
                <wp:align>right</wp:align>
              </wp:positionH>
              <wp:positionV relativeFrom="page">
                <wp:posOffset>3352800</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022A8" w:rsidRPr="002861A9" w14:paraId="1E110E45" w14:textId="77777777">
                            <w:trPr>
                              <w:trHeight w:val="240"/>
                            </w:trPr>
                            <w:tc>
                              <w:tcPr>
                                <w:tcW w:w="1140" w:type="dxa"/>
                              </w:tcPr>
                              <w:p w14:paraId="59A541F0" w14:textId="77777777" w:rsidR="000022A8" w:rsidRPr="002861A9" w:rsidRDefault="0068542B">
                                <w:r w:rsidRPr="002861A9">
                                  <w:t>Datum</w:t>
                                </w:r>
                              </w:p>
                            </w:tc>
                            <w:tc>
                              <w:tcPr>
                                <w:tcW w:w="5918" w:type="dxa"/>
                              </w:tcPr>
                              <w:p w14:paraId="33DF7179" w14:textId="5CB33CE9" w:rsidR="000022A8" w:rsidRPr="002861A9" w:rsidRDefault="00431AAE">
                                <w:sdt>
                                  <w:sdtPr>
                                    <w:id w:val="623583173"/>
                                    <w:date w:fullDate="2024-12-20T00:00:00Z">
                                      <w:dateFormat w:val="d MMMM yyyy"/>
                                      <w:lid w:val="nl"/>
                                      <w:storeMappedDataAs w:val="dateTime"/>
                                      <w:calendar w:val="gregorian"/>
                                    </w:date>
                                  </w:sdtPr>
                                  <w:sdtEndPr/>
                                  <w:sdtContent>
                                    <w:r w:rsidR="009F40C7" w:rsidRPr="002861A9">
                                      <w:rPr>
                                        <w:lang w:val="nl"/>
                                      </w:rPr>
                                      <w:t>20 december 2024</w:t>
                                    </w:r>
                                  </w:sdtContent>
                                </w:sdt>
                              </w:p>
                            </w:tc>
                          </w:tr>
                          <w:tr w:rsidR="000022A8" w14:paraId="7C48A662" w14:textId="77777777">
                            <w:trPr>
                              <w:trHeight w:val="240"/>
                            </w:trPr>
                            <w:tc>
                              <w:tcPr>
                                <w:tcW w:w="1140" w:type="dxa"/>
                              </w:tcPr>
                              <w:p w14:paraId="0F5D2258" w14:textId="77777777" w:rsidR="000022A8" w:rsidRPr="002861A9" w:rsidRDefault="0068542B">
                                <w:r w:rsidRPr="002861A9">
                                  <w:t>Betreft</w:t>
                                </w:r>
                              </w:p>
                            </w:tc>
                            <w:tc>
                              <w:tcPr>
                                <w:tcW w:w="5918" w:type="dxa"/>
                              </w:tcPr>
                              <w:p w14:paraId="02FB4311" w14:textId="0F7A360F" w:rsidR="000022A8" w:rsidRDefault="0068542B">
                                <w:r w:rsidRPr="002861A9">
                                  <w:t xml:space="preserve">Voortgangsbrief aanpak </w:t>
                                </w:r>
                                <w:r w:rsidR="00C80295" w:rsidRPr="002861A9">
                                  <w:t xml:space="preserve">seksuele </w:t>
                                </w:r>
                                <w:r w:rsidR="00A032F7" w:rsidRPr="002861A9">
                                  <w:t>delicten</w:t>
                                </w:r>
                              </w:p>
                            </w:tc>
                          </w:tr>
                        </w:tbl>
                        <w:p w14:paraId="0A23FB30" w14:textId="77777777" w:rsidR="0068542B" w:rsidRDefault="0068542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EBDB" id="46feebd0-aa3c-11ea-a756-beb5f67e67be" o:spid="_x0000_s1030" type="#_x0000_t202" style="position:absolute;margin-left:325.8pt;margin-top:264pt;width:377pt;height:39.7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022A8" w:rsidRPr="002861A9" w14:paraId="1E110E45" w14:textId="77777777">
                      <w:trPr>
                        <w:trHeight w:val="240"/>
                      </w:trPr>
                      <w:tc>
                        <w:tcPr>
                          <w:tcW w:w="1140" w:type="dxa"/>
                        </w:tcPr>
                        <w:p w14:paraId="59A541F0" w14:textId="77777777" w:rsidR="000022A8" w:rsidRPr="002861A9" w:rsidRDefault="0068542B">
                          <w:r w:rsidRPr="002861A9">
                            <w:t>Datum</w:t>
                          </w:r>
                        </w:p>
                      </w:tc>
                      <w:tc>
                        <w:tcPr>
                          <w:tcW w:w="5918" w:type="dxa"/>
                        </w:tcPr>
                        <w:p w14:paraId="33DF7179" w14:textId="5CB33CE9" w:rsidR="000022A8" w:rsidRPr="002861A9" w:rsidRDefault="00431AAE">
                          <w:sdt>
                            <w:sdtPr>
                              <w:id w:val="623583173"/>
                              <w:date w:fullDate="2024-12-20T00:00:00Z">
                                <w:dateFormat w:val="d MMMM yyyy"/>
                                <w:lid w:val="nl"/>
                                <w:storeMappedDataAs w:val="dateTime"/>
                                <w:calendar w:val="gregorian"/>
                              </w:date>
                            </w:sdtPr>
                            <w:sdtEndPr/>
                            <w:sdtContent>
                              <w:r w:rsidR="009F40C7" w:rsidRPr="002861A9">
                                <w:rPr>
                                  <w:lang w:val="nl"/>
                                </w:rPr>
                                <w:t>20 december 2024</w:t>
                              </w:r>
                            </w:sdtContent>
                          </w:sdt>
                        </w:p>
                      </w:tc>
                    </w:tr>
                    <w:tr w:rsidR="000022A8" w14:paraId="7C48A662" w14:textId="77777777">
                      <w:trPr>
                        <w:trHeight w:val="240"/>
                      </w:trPr>
                      <w:tc>
                        <w:tcPr>
                          <w:tcW w:w="1140" w:type="dxa"/>
                        </w:tcPr>
                        <w:p w14:paraId="0F5D2258" w14:textId="77777777" w:rsidR="000022A8" w:rsidRPr="002861A9" w:rsidRDefault="0068542B">
                          <w:r w:rsidRPr="002861A9">
                            <w:t>Betreft</w:t>
                          </w:r>
                        </w:p>
                      </w:tc>
                      <w:tc>
                        <w:tcPr>
                          <w:tcW w:w="5918" w:type="dxa"/>
                        </w:tcPr>
                        <w:p w14:paraId="02FB4311" w14:textId="0F7A360F" w:rsidR="000022A8" w:rsidRDefault="0068542B">
                          <w:r w:rsidRPr="002861A9">
                            <w:t xml:space="preserve">Voortgangsbrief aanpak </w:t>
                          </w:r>
                          <w:r w:rsidR="00C80295" w:rsidRPr="002861A9">
                            <w:t xml:space="preserve">seksuele </w:t>
                          </w:r>
                          <w:r w:rsidR="00A032F7" w:rsidRPr="002861A9">
                            <w:t>delicten</w:t>
                          </w:r>
                        </w:p>
                      </w:tc>
                    </w:tr>
                  </w:tbl>
                  <w:p w14:paraId="0A23FB30" w14:textId="77777777" w:rsidR="0068542B" w:rsidRDefault="0068542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E49A3E6" wp14:editId="0A216FF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FEC79D" w14:textId="77777777" w:rsidR="000022A8" w:rsidRDefault="0068542B">
                          <w:pPr>
                            <w:pStyle w:val="Referentiegegevensbold"/>
                          </w:pPr>
                          <w:r>
                            <w:t>Directoraat-Generaal Rechtspleging en Rechtshandhaving</w:t>
                          </w:r>
                        </w:p>
                        <w:p w14:paraId="393C8FDA" w14:textId="77777777" w:rsidR="000022A8" w:rsidRDefault="0068542B">
                          <w:pPr>
                            <w:pStyle w:val="Referentiegegevens"/>
                          </w:pPr>
                          <w:r>
                            <w:t>Directie Rechtshandhaving en Criminaliteitsbestrijding</w:t>
                          </w:r>
                        </w:p>
                        <w:p w14:paraId="6367726A" w14:textId="33B438EB" w:rsidR="000022A8" w:rsidRDefault="008B3899">
                          <w:pPr>
                            <w:pStyle w:val="Referentiegegevens"/>
                          </w:pPr>
                          <w:r>
                            <w:t xml:space="preserve">Afdeling </w:t>
                          </w:r>
                          <w:r w:rsidR="0068542B">
                            <w:t>Cybercrime en zeden</w:t>
                          </w:r>
                        </w:p>
                        <w:p w14:paraId="129D2CA5" w14:textId="77777777" w:rsidR="000022A8" w:rsidRDefault="000022A8">
                          <w:pPr>
                            <w:pStyle w:val="WitregelW1"/>
                          </w:pPr>
                        </w:p>
                        <w:p w14:paraId="32C66B24" w14:textId="77777777" w:rsidR="000022A8" w:rsidRDefault="0068542B">
                          <w:pPr>
                            <w:pStyle w:val="Referentiegegevens"/>
                          </w:pPr>
                          <w:r>
                            <w:t>Turfmarkt 147</w:t>
                          </w:r>
                        </w:p>
                        <w:p w14:paraId="01091C93" w14:textId="77777777" w:rsidR="000022A8" w:rsidRPr="007371D8" w:rsidRDefault="0068542B">
                          <w:pPr>
                            <w:pStyle w:val="Referentiegegevens"/>
                            <w:rPr>
                              <w:lang w:val="de-DE"/>
                            </w:rPr>
                          </w:pPr>
                          <w:r w:rsidRPr="007371D8">
                            <w:rPr>
                              <w:lang w:val="de-DE"/>
                            </w:rPr>
                            <w:t>2511 DP   Den Haag</w:t>
                          </w:r>
                        </w:p>
                        <w:p w14:paraId="5599D45F" w14:textId="77777777" w:rsidR="000022A8" w:rsidRPr="007371D8" w:rsidRDefault="0068542B">
                          <w:pPr>
                            <w:pStyle w:val="Referentiegegevens"/>
                            <w:rPr>
                              <w:lang w:val="de-DE"/>
                            </w:rPr>
                          </w:pPr>
                          <w:r w:rsidRPr="007371D8">
                            <w:rPr>
                              <w:lang w:val="de-DE"/>
                            </w:rPr>
                            <w:t>Postbus 20301</w:t>
                          </w:r>
                        </w:p>
                        <w:p w14:paraId="0975175C" w14:textId="77777777" w:rsidR="000022A8" w:rsidRPr="007371D8" w:rsidRDefault="0068542B">
                          <w:pPr>
                            <w:pStyle w:val="Referentiegegevens"/>
                            <w:rPr>
                              <w:lang w:val="de-DE"/>
                            </w:rPr>
                          </w:pPr>
                          <w:r w:rsidRPr="007371D8">
                            <w:rPr>
                              <w:lang w:val="de-DE"/>
                            </w:rPr>
                            <w:t>2500 EH   Den Haag</w:t>
                          </w:r>
                        </w:p>
                        <w:p w14:paraId="6C0DD100" w14:textId="77777777" w:rsidR="000022A8" w:rsidRPr="007371D8" w:rsidRDefault="0068542B">
                          <w:pPr>
                            <w:pStyle w:val="Referentiegegevens"/>
                            <w:rPr>
                              <w:lang w:val="de-DE"/>
                            </w:rPr>
                          </w:pPr>
                          <w:r w:rsidRPr="007371D8">
                            <w:rPr>
                              <w:lang w:val="de-DE"/>
                            </w:rPr>
                            <w:t>www.rijksoverheid.nl/jenv</w:t>
                          </w:r>
                        </w:p>
                        <w:p w14:paraId="6917F01F" w14:textId="77777777" w:rsidR="000022A8" w:rsidRPr="007371D8" w:rsidRDefault="000022A8">
                          <w:pPr>
                            <w:pStyle w:val="WitregelW2"/>
                            <w:rPr>
                              <w:lang w:val="de-DE"/>
                            </w:rPr>
                          </w:pPr>
                        </w:p>
                        <w:p w14:paraId="5663D0AB" w14:textId="77777777" w:rsidR="000022A8" w:rsidRPr="00E71255" w:rsidRDefault="0068542B">
                          <w:pPr>
                            <w:pStyle w:val="Referentiegegevensbold"/>
                          </w:pPr>
                          <w:r w:rsidRPr="00E71255">
                            <w:t>Ons kenmerk</w:t>
                          </w:r>
                        </w:p>
                        <w:p w14:paraId="4E49102E" w14:textId="27C7BAC4" w:rsidR="000022A8" w:rsidRDefault="00E71255">
                          <w:pPr>
                            <w:pStyle w:val="Referentiegegevens"/>
                          </w:pPr>
                          <w:r w:rsidRPr="00E71255">
                            <w:t>5965452</w:t>
                          </w:r>
                        </w:p>
                      </w:txbxContent>
                    </wps:txbx>
                    <wps:bodyPr vert="horz" wrap="square" lIns="0" tIns="0" rIns="0" bIns="0" anchor="t" anchorCtr="0"/>
                  </wps:wsp>
                </a:graphicData>
              </a:graphic>
            </wp:anchor>
          </w:drawing>
        </mc:Choice>
        <mc:Fallback>
          <w:pict>
            <v:shape w14:anchorId="1E49A3E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0FEC79D" w14:textId="77777777" w:rsidR="000022A8" w:rsidRDefault="0068542B">
                    <w:pPr>
                      <w:pStyle w:val="Referentiegegevensbold"/>
                    </w:pPr>
                    <w:r>
                      <w:t>Directoraat-Generaal Rechtspleging en Rechtshandhaving</w:t>
                    </w:r>
                  </w:p>
                  <w:p w14:paraId="393C8FDA" w14:textId="77777777" w:rsidR="000022A8" w:rsidRDefault="0068542B">
                    <w:pPr>
                      <w:pStyle w:val="Referentiegegevens"/>
                    </w:pPr>
                    <w:r>
                      <w:t>Directie Rechtshandhaving en Criminaliteitsbestrijding</w:t>
                    </w:r>
                  </w:p>
                  <w:p w14:paraId="6367726A" w14:textId="33B438EB" w:rsidR="000022A8" w:rsidRDefault="008B3899">
                    <w:pPr>
                      <w:pStyle w:val="Referentiegegevens"/>
                    </w:pPr>
                    <w:r>
                      <w:t xml:space="preserve">Afdeling </w:t>
                    </w:r>
                    <w:r w:rsidR="0068542B">
                      <w:t>Cybercrime en zeden</w:t>
                    </w:r>
                  </w:p>
                  <w:p w14:paraId="129D2CA5" w14:textId="77777777" w:rsidR="000022A8" w:rsidRDefault="000022A8">
                    <w:pPr>
                      <w:pStyle w:val="WitregelW1"/>
                    </w:pPr>
                  </w:p>
                  <w:p w14:paraId="32C66B24" w14:textId="77777777" w:rsidR="000022A8" w:rsidRDefault="0068542B">
                    <w:pPr>
                      <w:pStyle w:val="Referentiegegevens"/>
                    </w:pPr>
                    <w:r>
                      <w:t>Turfmarkt 147</w:t>
                    </w:r>
                  </w:p>
                  <w:p w14:paraId="01091C93" w14:textId="77777777" w:rsidR="000022A8" w:rsidRPr="007371D8" w:rsidRDefault="0068542B">
                    <w:pPr>
                      <w:pStyle w:val="Referentiegegevens"/>
                      <w:rPr>
                        <w:lang w:val="de-DE"/>
                      </w:rPr>
                    </w:pPr>
                    <w:r w:rsidRPr="007371D8">
                      <w:rPr>
                        <w:lang w:val="de-DE"/>
                      </w:rPr>
                      <w:t>2511 DP   Den Haag</w:t>
                    </w:r>
                  </w:p>
                  <w:p w14:paraId="5599D45F" w14:textId="77777777" w:rsidR="000022A8" w:rsidRPr="007371D8" w:rsidRDefault="0068542B">
                    <w:pPr>
                      <w:pStyle w:val="Referentiegegevens"/>
                      <w:rPr>
                        <w:lang w:val="de-DE"/>
                      </w:rPr>
                    </w:pPr>
                    <w:r w:rsidRPr="007371D8">
                      <w:rPr>
                        <w:lang w:val="de-DE"/>
                      </w:rPr>
                      <w:t>Postbus 20301</w:t>
                    </w:r>
                  </w:p>
                  <w:p w14:paraId="0975175C" w14:textId="77777777" w:rsidR="000022A8" w:rsidRPr="007371D8" w:rsidRDefault="0068542B">
                    <w:pPr>
                      <w:pStyle w:val="Referentiegegevens"/>
                      <w:rPr>
                        <w:lang w:val="de-DE"/>
                      </w:rPr>
                    </w:pPr>
                    <w:r w:rsidRPr="007371D8">
                      <w:rPr>
                        <w:lang w:val="de-DE"/>
                      </w:rPr>
                      <w:t>2500 EH   Den Haag</w:t>
                    </w:r>
                  </w:p>
                  <w:p w14:paraId="6C0DD100" w14:textId="77777777" w:rsidR="000022A8" w:rsidRPr="007371D8" w:rsidRDefault="0068542B">
                    <w:pPr>
                      <w:pStyle w:val="Referentiegegevens"/>
                      <w:rPr>
                        <w:lang w:val="de-DE"/>
                      </w:rPr>
                    </w:pPr>
                    <w:r w:rsidRPr="007371D8">
                      <w:rPr>
                        <w:lang w:val="de-DE"/>
                      </w:rPr>
                      <w:t>www.rijksoverheid.nl/jenv</w:t>
                    </w:r>
                  </w:p>
                  <w:p w14:paraId="6917F01F" w14:textId="77777777" w:rsidR="000022A8" w:rsidRPr="007371D8" w:rsidRDefault="000022A8">
                    <w:pPr>
                      <w:pStyle w:val="WitregelW2"/>
                      <w:rPr>
                        <w:lang w:val="de-DE"/>
                      </w:rPr>
                    </w:pPr>
                  </w:p>
                  <w:p w14:paraId="5663D0AB" w14:textId="77777777" w:rsidR="000022A8" w:rsidRPr="00E71255" w:rsidRDefault="0068542B">
                    <w:pPr>
                      <w:pStyle w:val="Referentiegegevensbold"/>
                    </w:pPr>
                    <w:r w:rsidRPr="00E71255">
                      <w:t>Ons kenmerk</w:t>
                    </w:r>
                  </w:p>
                  <w:p w14:paraId="4E49102E" w14:textId="27C7BAC4" w:rsidR="000022A8" w:rsidRDefault="00E71255">
                    <w:pPr>
                      <w:pStyle w:val="Referentiegegevens"/>
                    </w:pPr>
                    <w:r w:rsidRPr="00E71255">
                      <w:t>5965452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D14686" wp14:editId="5A8B5CD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E651F3" w14:textId="77777777" w:rsidR="0068542B" w:rsidRDefault="0068542B"/>
                      </w:txbxContent>
                    </wps:txbx>
                    <wps:bodyPr vert="horz" wrap="square" lIns="0" tIns="0" rIns="0" bIns="0" anchor="t" anchorCtr="0"/>
                  </wps:wsp>
                </a:graphicData>
              </a:graphic>
            </wp:anchor>
          </w:drawing>
        </mc:Choice>
        <mc:Fallback>
          <w:pict>
            <v:shape w14:anchorId="3FD1468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6E651F3" w14:textId="77777777" w:rsidR="0068542B" w:rsidRDefault="0068542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74AB79" wp14:editId="29E309D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DD3E29" w14:textId="1D14B4F3" w:rsidR="000022A8" w:rsidRDefault="0068542B">
                          <w:pPr>
                            <w:pStyle w:val="Referentiegegevens"/>
                          </w:pPr>
                          <w:r>
                            <w:t xml:space="preserve">Pagina </w:t>
                          </w:r>
                          <w:r>
                            <w:fldChar w:fldCharType="begin"/>
                          </w:r>
                          <w:r>
                            <w:instrText>PAGE</w:instrText>
                          </w:r>
                          <w:r>
                            <w:fldChar w:fldCharType="separate"/>
                          </w:r>
                          <w:r w:rsidR="00431AAE">
                            <w:rPr>
                              <w:noProof/>
                            </w:rPr>
                            <w:t>1</w:t>
                          </w:r>
                          <w:r>
                            <w:fldChar w:fldCharType="end"/>
                          </w:r>
                          <w:r>
                            <w:t xml:space="preserve"> van </w:t>
                          </w:r>
                          <w:r>
                            <w:fldChar w:fldCharType="begin"/>
                          </w:r>
                          <w:r>
                            <w:instrText>NUMPAGES</w:instrText>
                          </w:r>
                          <w:r>
                            <w:fldChar w:fldCharType="separate"/>
                          </w:r>
                          <w:r w:rsidR="00431AAE">
                            <w:rPr>
                              <w:noProof/>
                            </w:rPr>
                            <w:t>1</w:t>
                          </w:r>
                          <w:r>
                            <w:fldChar w:fldCharType="end"/>
                          </w:r>
                        </w:p>
                      </w:txbxContent>
                    </wps:txbx>
                    <wps:bodyPr vert="horz" wrap="square" lIns="0" tIns="0" rIns="0" bIns="0" anchor="t" anchorCtr="0"/>
                  </wps:wsp>
                </a:graphicData>
              </a:graphic>
            </wp:anchor>
          </w:drawing>
        </mc:Choice>
        <mc:Fallback>
          <w:pict>
            <v:shape w14:anchorId="2F74AB7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CDD3E29" w14:textId="1D14B4F3" w:rsidR="000022A8" w:rsidRDefault="0068542B">
                    <w:pPr>
                      <w:pStyle w:val="Referentiegegevens"/>
                    </w:pPr>
                    <w:r>
                      <w:t xml:space="preserve">Pagina </w:t>
                    </w:r>
                    <w:r>
                      <w:fldChar w:fldCharType="begin"/>
                    </w:r>
                    <w:r>
                      <w:instrText>PAGE</w:instrText>
                    </w:r>
                    <w:r>
                      <w:fldChar w:fldCharType="separate"/>
                    </w:r>
                    <w:r w:rsidR="00431AAE">
                      <w:rPr>
                        <w:noProof/>
                      </w:rPr>
                      <w:t>1</w:t>
                    </w:r>
                    <w:r>
                      <w:fldChar w:fldCharType="end"/>
                    </w:r>
                    <w:r>
                      <w:t xml:space="preserve"> van </w:t>
                    </w:r>
                    <w:r>
                      <w:fldChar w:fldCharType="begin"/>
                    </w:r>
                    <w:r>
                      <w:instrText>NUMPAGES</w:instrText>
                    </w:r>
                    <w:r>
                      <w:fldChar w:fldCharType="separate"/>
                    </w:r>
                    <w:r w:rsidR="00431AA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5FE3303" wp14:editId="03F7B7C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952E17" w14:textId="77777777" w:rsidR="000022A8" w:rsidRDefault="0068542B">
                          <w:pPr>
                            <w:spacing w:line="240" w:lineRule="auto"/>
                          </w:pPr>
                          <w:r>
                            <w:rPr>
                              <w:noProof/>
                            </w:rPr>
                            <w:drawing>
                              <wp:inline distT="0" distB="0" distL="0" distR="0" wp14:anchorId="0C4E1CCD" wp14:editId="2BB3921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FE33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5952E17" w14:textId="77777777" w:rsidR="000022A8" w:rsidRDefault="0068542B">
                    <w:pPr>
                      <w:spacing w:line="240" w:lineRule="auto"/>
                    </w:pPr>
                    <w:r>
                      <w:rPr>
                        <w:noProof/>
                      </w:rPr>
                      <w:drawing>
                        <wp:inline distT="0" distB="0" distL="0" distR="0" wp14:anchorId="0C4E1CCD" wp14:editId="2BB3921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5153C2" wp14:editId="380721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06195A" w14:textId="77777777" w:rsidR="000022A8" w:rsidRDefault="0068542B">
                          <w:pPr>
                            <w:spacing w:line="240" w:lineRule="auto"/>
                          </w:pPr>
                          <w:r>
                            <w:rPr>
                              <w:noProof/>
                            </w:rPr>
                            <w:drawing>
                              <wp:inline distT="0" distB="0" distL="0" distR="0" wp14:anchorId="22F8E10A" wp14:editId="40DDFE3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5153C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106195A" w14:textId="77777777" w:rsidR="000022A8" w:rsidRDefault="0068542B">
                    <w:pPr>
                      <w:spacing w:line="240" w:lineRule="auto"/>
                    </w:pPr>
                    <w:r>
                      <w:rPr>
                        <w:noProof/>
                      </w:rPr>
                      <w:drawing>
                        <wp:inline distT="0" distB="0" distL="0" distR="0" wp14:anchorId="22F8E10A" wp14:editId="40DDFE3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4AA8303" wp14:editId="1C70C34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C2BE52" w14:textId="77777777" w:rsidR="000022A8" w:rsidRDefault="0068542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4AA830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6C2BE52" w14:textId="77777777" w:rsidR="000022A8" w:rsidRDefault="0068542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EC2F57"/>
    <w:multiLevelType w:val="multilevel"/>
    <w:tmpl w:val="19BEBB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836090B"/>
    <w:multiLevelType w:val="multilevel"/>
    <w:tmpl w:val="EB3EC8D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4C57988"/>
    <w:multiLevelType w:val="multilevel"/>
    <w:tmpl w:val="DC0F7E5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00D6F75"/>
    <w:multiLevelType w:val="multilevel"/>
    <w:tmpl w:val="D3F834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53626B0"/>
    <w:multiLevelType w:val="hybridMultilevel"/>
    <w:tmpl w:val="C1CE700E"/>
    <w:lvl w:ilvl="0" w:tplc="78D2B434">
      <w:start w:val="12"/>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BE25E7"/>
    <w:multiLevelType w:val="hybridMultilevel"/>
    <w:tmpl w:val="AAF2B760"/>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6" w15:restartNumberingAfterBreak="0">
    <w:nsid w:val="17B646B5"/>
    <w:multiLevelType w:val="hybridMultilevel"/>
    <w:tmpl w:val="2466C1D6"/>
    <w:lvl w:ilvl="0" w:tplc="2DAC8C1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9842E8"/>
    <w:multiLevelType w:val="hybridMultilevel"/>
    <w:tmpl w:val="EE3C2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112D92"/>
    <w:multiLevelType w:val="hybridMultilevel"/>
    <w:tmpl w:val="D5B62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A670EF"/>
    <w:multiLevelType w:val="hybridMultilevel"/>
    <w:tmpl w:val="80FE341A"/>
    <w:lvl w:ilvl="0" w:tplc="DAEACCEE">
      <w:start w:val="3"/>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BB3B70"/>
    <w:multiLevelType w:val="hybridMultilevel"/>
    <w:tmpl w:val="1B6C4CC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5932F2"/>
    <w:multiLevelType w:val="hybridMultilevel"/>
    <w:tmpl w:val="BA165C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2B464BB7"/>
    <w:multiLevelType w:val="hybridMultilevel"/>
    <w:tmpl w:val="BAEEDAD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4A474A"/>
    <w:multiLevelType w:val="hybridMultilevel"/>
    <w:tmpl w:val="FB548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B723ED"/>
    <w:multiLevelType w:val="hybridMultilevel"/>
    <w:tmpl w:val="083AEAA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3A8D6D28"/>
    <w:multiLevelType w:val="hybridMultilevel"/>
    <w:tmpl w:val="D3C4974A"/>
    <w:lvl w:ilvl="0" w:tplc="92A6516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6" w15:restartNumberingAfterBreak="0">
    <w:nsid w:val="3BB666FC"/>
    <w:multiLevelType w:val="hybridMultilevel"/>
    <w:tmpl w:val="356CE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9747E7"/>
    <w:multiLevelType w:val="multilevel"/>
    <w:tmpl w:val="308AF2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3F944ACB"/>
    <w:multiLevelType w:val="hybridMultilevel"/>
    <w:tmpl w:val="E3B63EDA"/>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C3530E"/>
    <w:multiLevelType w:val="hybridMultilevel"/>
    <w:tmpl w:val="1388AD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A7427E"/>
    <w:multiLevelType w:val="hybridMultilevel"/>
    <w:tmpl w:val="0BB450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EE359F"/>
    <w:multiLevelType w:val="hybridMultilevel"/>
    <w:tmpl w:val="5F3CF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AD751E4"/>
    <w:multiLevelType w:val="hybridMultilevel"/>
    <w:tmpl w:val="9E0A62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52392B20"/>
    <w:multiLevelType w:val="hybridMultilevel"/>
    <w:tmpl w:val="B8AE7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D6CD18"/>
    <w:multiLevelType w:val="multilevel"/>
    <w:tmpl w:val="96B87FE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58DF23A4"/>
    <w:multiLevelType w:val="hybridMultilevel"/>
    <w:tmpl w:val="309087AA"/>
    <w:lvl w:ilvl="0" w:tplc="4800AAD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E528CC"/>
    <w:multiLevelType w:val="hybridMultilevel"/>
    <w:tmpl w:val="3A8089B8"/>
    <w:lvl w:ilvl="0" w:tplc="D2E2AD5C">
      <w:numFmt w:val="bullet"/>
      <w:lvlText w:val="•"/>
      <w:lvlJc w:val="left"/>
      <w:pPr>
        <w:ind w:left="1080" w:hanging="720"/>
      </w:pPr>
      <w:rPr>
        <w:rFonts w:ascii="Verdana" w:eastAsiaTheme="minorHAnsi" w:hAnsi="Verdana" w:cstheme="majorBidi"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2C445B"/>
    <w:multiLevelType w:val="hybridMultilevel"/>
    <w:tmpl w:val="68C26BF8"/>
    <w:lvl w:ilvl="0" w:tplc="10D28D9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781C26"/>
    <w:multiLevelType w:val="hybridMultilevel"/>
    <w:tmpl w:val="F2B25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1F1AC1"/>
    <w:multiLevelType w:val="hybridMultilevel"/>
    <w:tmpl w:val="157A2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7"/>
  </w:num>
  <w:num w:numId="5">
    <w:abstractNumId w:val="24"/>
  </w:num>
  <w:num w:numId="6">
    <w:abstractNumId w:val="3"/>
  </w:num>
  <w:num w:numId="7">
    <w:abstractNumId w:val="25"/>
  </w:num>
  <w:num w:numId="8">
    <w:abstractNumId w:val="18"/>
  </w:num>
  <w:num w:numId="9">
    <w:abstractNumId w:val="9"/>
  </w:num>
  <w:num w:numId="10">
    <w:abstractNumId w:val="7"/>
  </w:num>
  <w:num w:numId="11">
    <w:abstractNumId w:val="19"/>
  </w:num>
  <w:num w:numId="12">
    <w:abstractNumId w:val="4"/>
  </w:num>
  <w:num w:numId="13">
    <w:abstractNumId w:val="20"/>
  </w:num>
  <w:num w:numId="14">
    <w:abstractNumId w:val="16"/>
  </w:num>
  <w:num w:numId="15">
    <w:abstractNumId w:val="28"/>
  </w:num>
  <w:num w:numId="16">
    <w:abstractNumId w:val="14"/>
  </w:num>
  <w:num w:numId="17">
    <w:abstractNumId w:val="12"/>
  </w:num>
  <w:num w:numId="18">
    <w:abstractNumId w:val="23"/>
  </w:num>
  <w:num w:numId="19">
    <w:abstractNumId w:val="29"/>
  </w:num>
  <w:num w:numId="20">
    <w:abstractNumId w:val="21"/>
  </w:num>
  <w:num w:numId="21">
    <w:abstractNumId w:val="11"/>
  </w:num>
  <w:num w:numId="22">
    <w:abstractNumId w:val="27"/>
  </w:num>
  <w:num w:numId="23">
    <w:abstractNumId w:val="13"/>
  </w:num>
  <w:num w:numId="24">
    <w:abstractNumId w:val="6"/>
  </w:num>
  <w:num w:numId="25">
    <w:abstractNumId w:val="26"/>
  </w:num>
  <w:num w:numId="26">
    <w:abstractNumId w:val="22"/>
  </w:num>
  <w:num w:numId="27">
    <w:abstractNumId w:val="8"/>
  </w:num>
  <w:num w:numId="28">
    <w:abstractNumId w:val="10"/>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FB"/>
    <w:rsid w:val="000022A8"/>
    <w:rsid w:val="0000370C"/>
    <w:rsid w:val="00006A29"/>
    <w:rsid w:val="000127E9"/>
    <w:rsid w:val="0001334D"/>
    <w:rsid w:val="000133C0"/>
    <w:rsid w:val="0002064D"/>
    <w:rsid w:val="00030A68"/>
    <w:rsid w:val="0003157F"/>
    <w:rsid w:val="00031757"/>
    <w:rsid w:val="0004066E"/>
    <w:rsid w:val="0004335A"/>
    <w:rsid w:val="000437FF"/>
    <w:rsid w:val="000448BF"/>
    <w:rsid w:val="00045CCD"/>
    <w:rsid w:val="00061B28"/>
    <w:rsid w:val="0006530A"/>
    <w:rsid w:val="00065C30"/>
    <w:rsid w:val="0007129B"/>
    <w:rsid w:val="00072FE9"/>
    <w:rsid w:val="0007522F"/>
    <w:rsid w:val="0008148B"/>
    <w:rsid w:val="000867AD"/>
    <w:rsid w:val="00087215"/>
    <w:rsid w:val="00090AF0"/>
    <w:rsid w:val="0009430F"/>
    <w:rsid w:val="000A38DC"/>
    <w:rsid w:val="000A6737"/>
    <w:rsid w:val="000B6F27"/>
    <w:rsid w:val="000C5140"/>
    <w:rsid w:val="000C75E2"/>
    <w:rsid w:val="000E1457"/>
    <w:rsid w:val="000E279F"/>
    <w:rsid w:val="000E3935"/>
    <w:rsid w:val="000E4CBB"/>
    <w:rsid w:val="000F1B69"/>
    <w:rsid w:val="000F6A77"/>
    <w:rsid w:val="001005E7"/>
    <w:rsid w:val="001016B4"/>
    <w:rsid w:val="001225D8"/>
    <w:rsid w:val="00122D77"/>
    <w:rsid w:val="00123769"/>
    <w:rsid w:val="00123B3E"/>
    <w:rsid w:val="00123FC5"/>
    <w:rsid w:val="001243FC"/>
    <w:rsid w:val="00126601"/>
    <w:rsid w:val="00126B73"/>
    <w:rsid w:val="00132361"/>
    <w:rsid w:val="00144607"/>
    <w:rsid w:val="00146690"/>
    <w:rsid w:val="0015185A"/>
    <w:rsid w:val="00153F13"/>
    <w:rsid w:val="00163B11"/>
    <w:rsid w:val="001640E9"/>
    <w:rsid w:val="0016526E"/>
    <w:rsid w:val="00165FE1"/>
    <w:rsid w:val="00171578"/>
    <w:rsid w:val="0017424B"/>
    <w:rsid w:val="00180E95"/>
    <w:rsid w:val="00182959"/>
    <w:rsid w:val="00182C47"/>
    <w:rsid w:val="0018373D"/>
    <w:rsid w:val="001846DB"/>
    <w:rsid w:val="00190DD9"/>
    <w:rsid w:val="00191912"/>
    <w:rsid w:val="001A2606"/>
    <w:rsid w:val="001A47F9"/>
    <w:rsid w:val="001A5300"/>
    <w:rsid w:val="001B12BB"/>
    <w:rsid w:val="001B3DE8"/>
    <w:rsid w:val="001B6DE1"/>
    <w:rsid w:val="001C02D1"/>
    <w:rsid w:val="001C52DB"/>
    <w:rsid w:val="001D0556"/>
    <w:rsid w:val="001D4D12"/>
    <w:rsid w:val="001E64F7"/>
    <w:rsid w:val="002006E2"/>
    <w:rsid w:val="00202261"/>
    <w:rsid w:val="002029FD"/>
    <w:rsid w:val="0020505E"/>
    <w:rsid w:val="00210A4C"/>
    <w:rsid w:val="00210D6D"/>
    <w:rsid w:val="00224559"/>
    <w:rsid w:val="002265E2"/>
    <w:rsid w:val="00230A1E"/>
    <w:rsid w:val="00231249"/>
    <w:rsid w:val="002406B4"/>
    <w:rsid w:val="002510A2"/>
    <w:rsid w:val="00255F12"/>
    <w:rsid w:val="00256AC1"/>
    <w:rsid w:val="00261CC9"/>
    <w:rsid w:val="002633DF"/>
    <w:rsid w:val="0027048C"/>
    <w:rsid w:val="0027277F"/>
    <w:rsid w:val="002816A6"/>
    <w:rsid w:val="0028199E"/>
    <w:rsid w:val="002834B1"/>
    <w:rsid w:val="002846C8"/>
    <w:rsid w:val="00284B41"/>
    <w:rsid w:val="002858C4"/>
    <w:rsid w:val="002861A9"/>
    <w:rsid w:val="00290152"/>
    <w:rsid w:val="002946E0"/>
    <w:rsid w:val="00295012"/>
    <w:rsid w:val="002A280A"/>
    <w:rsid w:val="002A535C"/>
    <w:rsid w:val="002C39E3"/>
    <w:rsid w:val="002C5325"/>
    <w:rsid w:val="002D0FAE"/>
    <w:rsid w:val="002D45AC"/>
    <w:rsid w:val="002D5C09"/>
    <w:rsid w:val="002E1A15"/>
    <w:rsid w:val="002E1CB4"/>
    <w:rsid w:val="002E6689"/>
    <w:rsid w:val="002E7E92"/>
    <w:rsid w:val="002F308E"/>
    <w:rsid w:val="00300C22"/>
    <w:rsid w:val="0030213F"/>
    <w:rsid w:val="00306DB9"/>
    <w:rsid w:val="00307FEE"/>
    <w:rsid w:val="003123B4"/>
    <w:rsid w:val="0031252D"/>
    <w:rsid w:val="00314B06"/>
    <w:rsid w:val="003159E0"/>
    <w:rsid w:val="00317CCA"/>
    <w:rsid w:val="00325E26"/>
    <w:rsid w:val="0033049E"/>
    <w:rsid w:val="003331C8"/>
    <w:rsid w:val="0033421D"/>
    <w:rsid w:val="00335718"/>
    <w:rsid w:val="00341883"/>
    <w:rsid w:val="003464B2"/>
    <w:rsid w:val="00347DBD"/>
    <w:rsid w:val="00350819"/>
    <w:rsid w:val="0035639F"/>
    <w:rsid w:val="003605EA"/>
    <w:rsid w:val="00362D07"/>
    <w:rsid w:val="00374D76"/>
    <w:rsid w:val="003754AA"/>
    <w:rsid w:val="0037551C"/>
    <w:rsid w:val="0037684B"/>
    <w:rsid w:val="00396BFA"/>
    <w:rsid w:val="00396F50"/>
    <w:rsid w:val="003A0C54"/>
    <w:rsid w:val="003A28E0"/>
    <w:rsid w:val="003A2F54"/>
    <w:rsid w:val="003B30FE"/>
    <w:rsid w:val="003B3603"/>
    <w:rsid w:val="003B54E8"/>
    <w:rsid w:val="003B54F8"/>
    <w:rsid w:val="003C0D35"/>
    <w:rsid w:val="003C638A"/>
    <w:rsid w:val="003D210E"/>
    <w:rsid w:val="003D51D6"/>
    <w:rsid w:val="003F002A"/>
    <w:rsid w:val="003F32F5"/>
    <w:rsid w:val="003F4943"/>
    <w:rsid w:val="003F64B7"/>
    <w:rsid w:val="00401B9A"/>
    <w:rsid w:val="00403E0C"/>
    <w:rsid w:val="0041456F"/>
    <w:rsid w:val="00421835"/>
    <w:rsid w:val="0042248B"/>
    <w:rsid w:val="004224DA"/>
    <w:rsid w:val="00423260"/>
    <w:rsid w:val="004264D1"/>
    <w:rsid w:val="004271E3"/>
    <w:rsid w:val="00430486"/>
    <w:rsid w:val="00431AAE"/>
    <w:rsid w:val="004338BA"/>
    <w:rsid w:val="0043641D"/>
    <w:rsid w:val="0043681F"/>
    <w:rsid w:val="00441C2B"/>
    <w:rsid w:val="00451617"/>
    <w:rsid w:val="00456774"/>
    <w:rsid w:val="004705B0"/>
    <w:rsid w:val="004828F7"/>
    <w:rsid w:val="004874B1"/>
    <w:rsid w:val="004B1F84"/>
    <w:rsid w:val="004C520A"/>
    <w:rsid w:val="004C6BA1"/>
    <w:rsid w:val="004D307F"/>
    <w:rsid w:val="004D32E7"/>
    <w:rsid w:val="004E6887"/>
    <w:rsid w:val="00503162"/>
    <w:rsid w:val="0051099C"/>
    <w:rsid w:val="0051315F"/>
    <w:rsid w:val="005144CA"/>
    <w:rsid w:val="00516419"/>
    <w:rsid w:val="0055057F"/>
    <w:rsid w:val="00552727"/>
    <w:rsid w:val="00553BB3"/>
    <w:rsid w:val="005543A8"/>
    <w:rsid w:val="00563AF0"/>
    <w:rsid w:val="00564ED1"/>
    <w:rsid w:val="0057046F"/>
    <w:rsid w:val="00576591"/>
    <w:rsid w:val="00577199"/>
    <w:rsid w:val="005805AC"/>
    <w:rsid w:val="00587B0B"/>
    <w:rsid w:val="005917B6"/>
    <w:rsid w:val="00596CEB"/>
    <w:rsid w:val="005A1582"/>
    <w:rsid w:val="005A3E68"/>
    <w:rsid w:val="005A4B8B"/>
    <w:rsid w:val="005B0F98"/>
    <w:rsid w:val="005B3656"/>
    <w:rsid w:val="005B56BB"/>
    <w:rsid w:val="005C3916"/>
    <w:rsid w:val="005E012C"/>
    <w:rsid w:val="005E708C"/>
    <w:rsid w:val="006025F1"/>
    <w:rsid w:val="00602D09"/>
    <w:rsid w:val="00605DF3"/>
    <w:rsid w:val="00611D0D"/>
    <w:rsid w:val="00620B70"/>
    <w:rsid w:val="00620FEB"/>
    <w:rsid w:val="00627575"/>
    <w:rsid w:val="00631668"/>
    <w:rsid w:val="006367CE"/>
    <w:rsid w:val="00637AB6"/>
    <w:rsid w:val="00643246"/>
    <w:rsid w:val="006441CE"/>
    <w:rsid w:val="00647B6B"/>
    <w:rsid w:val="00651291"/>
    <w:rsid w:val="00657CF2"/>
    <w:rsid w:val="00662E56"/>
    <w:rsid w:val="00664239"/>
    <w:rsid w:val="00670C88"/>
    <w:rsid w:val="00674C1F"/>
    <w:rsid w:val="0068542B"/>
    <w:rsid w:val="006867FD"/>
    <w:rsid w:val="00694DA4"/>
    <w:rsid w:val="006A0FCC"/>
    <w:rsid w:val="006A67B5"/>
    <w:rsid w:val="006A70A1"/>
    <w:rsid w:val="006A7429"/>
    <w:rsid w:val="006C1DD2"/>
    <w:rsid w:val="006C3CE2"/>
    <w:rsid w:val="006C5F87"/>
    <w:rsid w:val="006D0BD8"/>
    <w:rsid w:val="006D0D8A"/>
    <w:rsid w:val="006D13FD"/>
    <w:rsid w:val="006D165E"/>
    <w:rsid w:val="006E53D1"/>
    <w:rsid w:val="006E5C65"/>
    <w:rsid w:val="006E6761"/>
    <w:rsid w:val="006F3BC2"/>
    <w:rsid w:val="006F4E8F"/>
    <w:rsid w:val="00702256"/>
    <w:rsid w:val="007062CD"/>
    <w:rsid w:val="00706F96"/>
    <w:rsid w:val="007126F3"/>
    <w:rsid w:val="00714723"/>
    <w:rsid w:val="00715FD4"/>
    <w:rsid w:val="00724C1B"/>
    <w:rsid w:val="00725950"/>
    <w:rsid w:val="0073389F"/>
    <w:rsid w:val="0073505B"/>
    <w:rsid w:val="007371D8"/>
    <w:rsid w:val="00742386"/>
    <w:rsid w:val="00743C6B"/>
    <w:rsid w:val="00752229"/>
    <w:rsid w:val="007668A7"/>
    <w:rsid w:val="007743BA"/>
    <w:rsid w:val="00774F5C"/>
    <w:rsid w:val="007755EC"/>
    <w:rsid w:val="00781900"/>
    <w:rsid w:val="00782FE5"/>
    <w:rsid w:val="00787280"/>
    <w:rsid w:val="00793C43"/>
    <w:rsid w:val="00795F58"/>
    <w:rsid w:val="007A2994"/>
    <w:rsid w:val="007A47A1"/>
    <w:rsid w:val="007A5C8E"/>
    <w:rsid w:val="007A6E1F"/>
    <w:rsid w:val="007B3E73"/>
    <w:rsid w:val="007B50CA"/>
    <w:rsid w:val="007C00FC"/>
    <w:rsid w:val="007C528F"/>
    <w:rsid w:val="007D1977"/>
    <w:rsid w:val="007D52A6"/>
    <w:rsid w:val="007E556B"/>
    <w:rsid w:val="007E6209"/>
    <w:rsid w:val="007E69FB"/>
    <w:rsid w:val="007F4C59"/>
    <w:rsid w:val="008029CD"/>
    <w:rsid w:val="00806436"/>
    <w:rsid w:val="008132C8"/>
    <w:rsid w:val="008138A7"/>
    <w:rsid w:val="008163E6"/>
    <w:rsid w:val="008302E6"/>
    <w:rsid w:val="008334C5"/>
    <w:rsid w:val="00837F56"/>
    <w:rsid w:val="00842AB4"/>
    <w:rsid w:val="00850E4F"/>
    <w:rsid w:val="00853F8B"/>
    <w:rsid w:val="008615C9"/>
    <w:rsid w:val="00870327"/>
    <w:rsid w:val="00872B9E"/>
    <w:rsid w:val="008829CF"/>
    <w:rsid w:val="00885648"/>
    <w:rsid w:val="008930D2"/>
    <w:rsid w:val="008A203A"/>
    <w:rsid w:val="008B2015"/>
    <w:rsid w:val="008B271F"/>
    <w:rsid w:val="008B310B"/>
    <w:rsid w:val="008B3899"/>
    <w:rsid w:val="008B6685"/>
    <w:rsid w:val="008D5EBC"/>
    <w:rsid w:val="008E7C87"/>
    <w:rsid w:val="008F004B"/>
    <w:rsid w:val="008F3864"/>
    <w:rsid w:val="008F7E5C"/>
    <w:rsid w:val="00904BA2"/>
    <w:rsid w:val="00915A3B"/>
    <w:rsid w:val="00917275"/>
    <w:rsid w:val="009325B9"/>
    <w:rsid w:val="0095034C"/>
    <w:rsid w:val="009821CB"/>
    <w:rsid w:val="00985819"/>
    <w:rsid w:val="009869FE"/>
    <w:rsid w:val="00990FF1"/>
    <w:rsid w:val="00992CF5"/>
    <w:rsid w:val="009A1710"/>
    <w:rsid w:val="009A3157"/>
    <w:rsid w:val="009B31DC"/>
    <w:rsid w:val="009C1040"/>
    <w:rsid w:val="009C1A29"/>
    <w:rsid w:val="009C7C19"/>
    <w:rsid w:val="009D7930"/>
    <w:rsid w:val="009E6717"/>
    <w:rsid w:val="009F40C7"/>
    <w:rsid w:val="009F49BD"/>
    <w:rsid w:val="00A032F7"/>
    <w:rsid w:val="00A0490C"/>
    <w:rsid w:val="00A10C06"/>
    <w:rsid w:val="00A10C5C"/>
    <w:rsid w:val="00A11A5E"/>
    <w:rsid w:val="00A13060"/>
    <w:rsid w:val="00A35CB7"/>
    <w:rsid w:val="00A37607"/>
    <w:rsid w:val="00A45BE2"/>
    <w:rsid w:val="00A54601"/>
    <w:rsid w:val="00A61C44"/>
    <w:rsid w:val="00A71D80"/>
    <w:rsid w:val="00A76189"/>
    <w:rsid w:val="00A76218"/>
    <w:rsid w:val="00A76C6D"/>
    <w:rsid w:val="00A8312D"/>
    <w:rsid w:val="00A85294"/>
    <w:rsid w:val="00A91F29"/>
    <w:rsid w:val="00A952D3"/>
    <w:rsid w:val="00AA7821"/>
    <w:rsid w:val="00AC1025"/>
    <w:rsid w:val="00AC26D1"/>
    <w:rsid w:val="00AD3393"/>
    <w:rsid w:val="00AD4D06"/>
    <w:rsid w:val="00AE1935"/>
    <w:rsid w:val="00AF318C"/>
    <w:rsid w:val="00B015B9"/>
    <w:rsid w:val="00B060E5"/>
    <w:rsid w:val="00B10B7D"/>
    <w:rsid w:val="00B10FAA"/>
    <w:rsid w:val="00B16A46"/>
    <w:rsid w:val="00B24C00"/>
    <w:rsid w:val="00B2679A"/>
    <w:rsid w:val="00B26DBC"/>
    <w:rsid w:val="00B32422"/>
    <w:rsid w:val="00B42B83"/>
    <w:rsid w:val="00B449B6"/>
    <w:rsid w:val="00B61211"/>
    <w:rsid w:val="00B651DF"/>
    <w:rsid w:val="00B65706"/>
    <w:rsid w:val="00B6679D"/>
    <w:rsid w:val="00B66961"/>
    <w:rsid w:val="00B754BC"/>
    <w:rsid w:val="00B8509F"/>
    <w:rsid w:val="00BB036C"/>
    <w:rsid w:val="00BB053B"/>
    <w:rsid w:val="00BC2A85"/>
    <w:rsid w:val="00BC45A6"/>
    <w:rsid w:val="00BD5546"/>
    <w:rsid w:val="00BF0D34"/>
    <w:rsid w:val="00BF17DB"/>
    <w:rsid w:val="00BF5AB3"/>
    <w:rsid w:val="00BF68AB"/>
    <w:rsid w:val="00C07F9E"/>
    <w:rsid w:val="00C105A1"/>
    <w:rsid w:val="00C17FC6"/>
    <w:rsid w:val="00C2149D"/>
    <w:rsid w:val="00C30772"/>
    <w:rsid w:val="00C35139"/>
    <w:rsid w:val="00C5141D"/>
    <w:rsid w:val="00C63C90"/>
    <w:rsid w:val="00C80295"/>
    <w:rsid w:val="00C830DA"/>
    <w:rsid w:val="00C8396B"/>
    <w:rsid w:val="00C9431A"/>
    <w:rsid w:val="00CA6AAE"/>
    <w:rsid w:val="00CB15D7"/>
    <w:rsid w:val="00CC2DAD"/>
    <w:rsid w:val="00CC46C7"/>
    <w:rsid w:val="00CC7A06"/>
    <w:rsid w:val="00CD0EE2"/>
    <w:rsid w:val="00CD4A01"/>
    <w:rsid w:val="00CD6180"/>
    <w:rsid w:val="00CE62EF"/>
    <w:rsid w:val="00CF142F"/>
    <w:rsid w:val="00D01BEA"/>
    <w:rsid w:val="00D118DC"/>
    <w:rsid w:val="00D12034"/>
    <w:rsid w:val="00D17297"/>
    <w:rsid w:val="00D25C63"/>
    <w:rsid w:val="00D25CAF"/>
    <w:rsid w:val="00D347FA"/>
    <w:rsid w:val="00D44552"/>
    <w:rsid w:val="00D46F1A"/>
    <w:rsid w:val="00D53F2E"/>
    <w:rsid w:val="00D74B2D"/>
    <w:rsid w:val="00D86FEA"/>
    <w:rsid w:val="00D93068"/>
    <w:rsid w:val="00DA291C"/>
    <w:rsid w:val="00DA2F6E"/>
    <w:rsid w:val="00DB411F"/>
    <w:rsid w:val="00DB4ACE"/>
    <w:rsid w:val="00DB5D86"/>
    <w:rsid w:val="00DC047F"/>
    <w:rsid w:val="00DC0565"/>
    <w:rsid w:val="00DC1870"/>
    <w:rsid w:val="00DC5D1B"/>
    <w:rsid w:val="00DD1B68"/>
    <w:rsid w:val="00DD5F55"/>
    <w:rsid w:val="00DD7862"/>
    <w:rsid w:val="00DD7AAD"/>
    <w:rsid w:val="00DE333D"/>
    <w:rsid w:val="00DE4CC3"/>
    <w:rsid w:val="00DE6DF8"/>
    <w:rsid w:val="00DF2998"/>
    <w:rsid w:val="00E0544D"/>
    <w:rsid w:val="00E07CED"/>
    <w:rsid w:val="00E1345F"/>
    <w:rsid w:val="00E160F1"/>
    <w:rsid w:val="00E21C89"/>
    <w:rsid w:val="00E41BBF"/>
    <w:rsid w:val="00E42B85"/>
    <w:rsid w:val="00E46BFB"/>
    <w:rsid w:val="00E4714A"/>
    <w:rsid w:val="00E50566"/>
    <w:rsid w:val="00E515FA"/>
    <w:rsid w:val="00E55FF0"/>
    <w:rsid w:val="00E61D7C"/>
    <w:rsid w:val="00E643D0"/>
    <w:rsid w:val="00E71255"/>
    <w:rsid w:val="00E71F31"/>
    <w:rsid w:val="00E7201F"/>
    <w:rsid w:val="00E75209"/>
    <w:rsid w:val="00E850F0"/>
    <w:rsid w:val="00E909A1"/>
    <w:rsid w:val="00E92B05"/>
    <w:rsid w:val="00EA59BF"/>
    <w:rsid w:val="00EB572F"/>
    <w:rsid w:val="00EC1D90"/>
    <w:rsid w:val="00ED34E2"/>
    <w:rsid w:val="00ED615E"/>
    <w:rsid w:val="00EE174C"/>
    <w:rsid w:val="00EE6AAC"/>
    <w:rsid w:val="00EF3D11"/>
    <w:rsid w:val="00EF7BCD"/>
    <w:rsid w:val="00F03CAB"/>
    <w:rsid w:val="00F064B2"/>
    <w:rsid w:val="00F06E7A"/>
    <w:rsid w:val="00F112B2"/>
    <w:rsid w:val="00F13D3A"/>
    <w:rsid w:val="00F1516B"/>
    <w:rsid w:val="00F454DE"/>
    <w:rsid w:val="00F4761C"/>
    <w:rsid w:val="00F55BD1"/>
    <w:rsid w:val="00F566C1"/>
    <w:rsid w:val="00F60AC2"/>
    <w:rsid w:val="00F75702"/>
    <w:rsid w:val="00F7681E"/>
    <w:rsid w:val="00F77F26"/>
    <w:rsid w:val="00F8266D"/>
    <w:rsid w:val="00F8542C"/>
    <w:rsid w:val="00F90DD4"/>
    <w:rsid w:val="00F949C2"/>
    <w:rsid w:val="00FA2F66"/>
    <w:rsid w:val="00FA3444"/>
    <w:rsid w:val="00FB28D8"/>
    <w:rsid w:val="00FD601A"/>
    <w:rsid w:val="00FD799F"/>
    <w:rsid w:val="00FE29EE"/>
    <w:rsid w:val="00FE5BE8"/>
    <w:rsid w:val="00FF2520"/>
    <w:rsid w:val="00FF3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4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6BF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46BFB"/>
    <w:rPr>
      <w:rFonts w:ascii="Verdana" w:hAnsi="Verdana"/>
      <w:color w:val="000000"/>
      <w:sz w:val="18"/>
      <w:szCs w:val="18"/>
    </w:rPr>
  </w:style>
  <w:style w:type="paragraph" w:styleId="Lijstalinea">
    <w:name w:val="List Paragraph"/>
    <w:basedOn w:val="Standaard"/>
    <w:uiPriority w:val="34"/>
    <w:qFormat/>
    <w:rsid w:val="00E46BFB"/>
    <w:pPr>
      <w:ind w:left="720"/>
      <w:contextualSpacing/>
    </w:pPr>
  </w:style>
  <w:style w:type="paragraph" w:styleId="Voetnoottekst">
    <w:name w:val="footnote text"/>
    <w:basedOn w:val="Standaard"/>
    <w:link w:val="VoetnoottekstChar"/>
    <w:uiPriority w:val="99"/>
    <w:unhideWhenUsed/>
    <w:rsid w:val="00E46BFB"/>
    <w:pPr>
      <w:spacing w:line="240" w:lineRule="auto"/>
    </w:pPr>
    <w:rPr>
      <w:sz w:val="20"/>
      <w:szCs w:val="20"/>
    </w:rPr>
  </w:style>
  <w:style w:type="character" w:customStyle="1" w:styleId="VoetnoottekstChar">
    <w:name w:val="Voetnoottekst Char"/>
    <w:basedOn w:val="Standaardalinea-lettertype"/>
    <w:link w:val="Voetnoottekst"/>
    <w:uiPriority w:val="99"/>
    <w:rsid w:val="00E46BFB"/>
    <w:rPr>
      <w:rFonts w:ascii="Verdana" w:hAnsi="Verdana"/>
      <w:color w:val="000000"/>
    </w:rPr>
  </w:style>
  <w:style w:type="character" w:styleId="Voetnootmarkering">
    <w:name w:val="footnote reference"/>
    <w:basedOn w:val="Standaardalinea-lettertype"/>
    <w:uiPriority w:val="99"/>
    <w:semiHidden/>
    <w:unhideWhenUsed/>
    <w:rsid w:val="00E46BFB"/>
    <w:rPr>
      <w:vertAlign w:val="superscript"/>
    </w:rPr>
  </w:style>
  <w:style w:type="character" w:styleId="Verwijzingopmerking">
    <w:name w:val="annotation reference"/>
    <w:basedOn w:val="Standaardalinea-lettertype"/>
    <w:uiPriority w:val="99"/>
    <w:semiHidden/>
    <w:unhideWhenUsed/>
    <w:rsid w:val="002D0FAE"/>
    <w:rPr>
      <w:sz w:val="16"/>
      <w:szCs w:val="16"/>
    </w:rPr>
  </w:style>
  <w:style w:type="paragraph" w:styleId="Tekstopmerking">
    <w:name w:val="annotation text"/>
    <w:basedOn w:val="Standaard"/>
    <w:link w:val="TekstopmerkingChar"/>
    <w:uiPriority w:val="99"/>
    <w:unhideWhenUsed/>
    <w:rsid w:val="002D0FAE"/>
    <w:pPr>
      <w:spacing w:line="240" w:lineRule="auto"/>
    </w:pPr>
    <w:rPr>
      <w:sz w:val="20"/>
      <w:szCs w:val="20"/>
    </w:rPr>
  </w:style>
  <w:style w:type="character" w:customStyle="1" w:styleId="TekstopmerkingChar">
    <w:name w:val="Tekst opmerking Char"/>
    <w:basedOn w:val="Standaardalinea-lettertype"/>
    <w:link w:val="Tekstopmerking"/>
    <w:uiPriority w:val="99"/>
    <w:rsid w:val="002D0FA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D0FAE"/>
    <w:rPr>
      <w:b/>
      <w:bCs/>
    </w:rPr>
  </w:style>
  <w:style w:type="character" w:customStyle="1" w:styleId="OnderwerpvanopmerkingChar">
    <w:name w:val="Onderwerp van opmerking Char"/>
    <w:basedOn w:val="TekstopmerkingChar"/>
    <w:link w:val="Onderwerpvanopmerking"/>
    <w:uiPriority w:val="99"/>
    <w:semiHidden/>
    <w:rsid w:val="002D0FAE"/>
    <w:rPr>
      <w:rFonts w:ascii="Verdana" w:hAnsi="Verdana"/>
      <w:b/>
      <w:bCs/>
      <w:color w:val="000000"/>
    </w:rPr>
  </w:style>
  <w:style w:type="paragraph" w:styleId="Revisie">
    <w:name w:val="Revision"/>
    <w:hidden/>
    <w:uiPriority w:val="99"/>
    <w:semiHidden/>
    <w:rsid w:val="00602D09"/>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DC047F"/>
    <w:rPr>
      <w:color w:val="605E5C"/>
      <w:shd w:val="clear" w:color="auto" w:fill="E1DFDD"/>
    </w:rPr>
  </w:style>
  <w:style w:type="paragraph" w:customStyle="1" w:styleId="broodtekst">
    <w:name w:val="broodtekst"/>
    <w:basedOn w:val="Standaard"/>
    <w:qFormat/>
    <w:rsid w:val="003F002A"/>
    <w:pPr>
      <w:tabs>
        <w:tab w:val="left" w:pos="227"/>
        <w:tab w:val="left" w:pos="454"/>
        <w:tab w:val="left" w:pos="680"/>
      </w:tabs>
      <w:autoSpaceDE w:val="0"/>
      <w:adjustRightInd w:val="0"/>
      <w:textAlignment w:val="auto"/>
    </w:pPr>
    <w:rPr>
      <w:rFonts w:eastAsia="Times New Roman" w:cs="Times New Roman"/>
      <w:color w:val="auto"/>
    </w:rPr>
  </w:style>
  <w:style w:type="paragraph" w:styleId="Geenafstand">
    <w:name w:val="No Spacing"/>
    <w:uiPriority w:val="1"/>
    <w:qFormat/>
    <w:rsid w:val="00006A29"/>
    <w:pPr>
      <w:autoSpaceDN/>
      <w:textAlignment w:val="auto"/>
    </w:pPr>
    <w:rPr>
      <w:rFonts w:ascii="Calibri" w:eastAsiaTheme="minorHAnsi" w:hAnsi="Calibri" w:cs="Calibri"/>
      <w:sz w:val="22"/>
      <w:szCs w:val="22"/>
    </w:rPr>
  </w:style>
  <w:style w:type="paragraph" w:styleId="Eindnoottekst">
    <w:name w:val="endnote text"/>
    <w:basedOn w:val="Standaard"/>
    <w:link w:val="EindnoottekstChar"/>
    <w:uiPriority w:val="99"/>
    <w:semiHidden/>
    <w:unhideWhenUsed/>
    <w:rsid w:val="00DD1B68"/>
    <w:pPr>
      <w:autoSpaceDN/>
      <w:spacing w:line="240" w:lineRule="auto"/>
      <w:textAlignment w:val="auto"/>
    </w:pPr>
    <w:rPr>
      <w:rFonts w:ascii="Calibri" w:eastAsiaTheme="minorHAnsi" w:hAnsi="Calibri" w:cs="Calibri"/>
      <w:color w:val="auto"/>
      <w:sz w:val="20"/>
      <w:szCs w:val="20"/>
      <w:lang w:eastAsia="en-US"/>
      <w14:ligatures w14:val="standardContextual"/>
    </w:rPr>
  </w:style>
  <w:style w:type="character" w:customStyle="1" w:styleId="EindnoottekstChar">
    <w:name w:val="Eindnoottekst Char"/>
    <w:basedOn w:val="Standaardalinea-lettertype"/>
    <w:link w:val="Eindnoottekst"/>
    <w:uiPriority w:val="99"/>
    <w:semiHidden/>
    <w:rsid w:val="00DD1B68"/>
    <w:rPr>
      <w:rFonts w:ascii="Calibri" w:eastAsiaTheme="minorHAnsi" w:hAnsi="Calibri" w:cs="Calibri"/>
      <w:lang w:eastAsia="en-US"/>
      <w14:ligatures w14:val="standardContextual"/>
    </w:rPr>
  </w:style>
  <w:style w:type="character" w:styleId="Eindnootmarkering">
    <w:name w:val="endnote reference"/>
    <w:basedOn w:val="Standaardalinea-lettertype"/>
    <w:uiPriority w:val="99"/>
    <w:semiHidden/>
    <w:unhideWhenUsed/>
    <w:rsid w:val="00DD1B68"/>
    <w:rPr>
      <w:vertAlign w:val="superscript"/>
    </w:rPr>
  </w:style>
  <w:style w:type="character" w:styleId="GevolgdeHyperlink">
    <w:name w:val="FollowedHyperlink"/>
    <w:basedOn w:val="Standaardalinea-lettertype"/>
    <w:uiPriority w:val="99"/>
    <w:semiHidden/>
    <w:unhideWhenUsed/>
    <w:rsid w:val="00CC4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2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eerstekamer.nl/toezegging/bestanddelen_evaluatie_wet" TargetMode="External"/><Relationship Id="rId13" Type="http://schemas.openxmlformats.org/officeDocument/2006/relationships/hyperlink" Target="https://www.consilium.europa.eu/en/press/press-releases/2024/12/13/combatting-child-sexual-abuse-council-adopts-position-on-strengthened-eu-criminal-law/" TargetMode="External"/><Relationship Id="rId3" Type="http://schemas.openxmlformats.org/officeDocument/2006/relationships/hyperlink" Target="https://www.tweedekamer.nl/kamerstukken/toezeggingen/detail?id=TZ202410-220" TargetMode="External"/><Relationship Id="rId7" Type="http://schemas.openxmlformats.org/officeDocument/2006/relationships/hyperlink" Target="https://www.cbs.nl/nl-nl/longread/rapportages/2024/prevalentiemonitor-huiselijk-geweld-en-seksueel-grensoverschrijdend-gedrag-2024/5-offline-seksuele-intimidatie" TargetMode="External"/><Relationship Id="rId12" Type="http://schemas.openxmlformats.org/officeDocument/2006/relationships/hyperlink" Target="https://www.eerstekamer.nl/toezegging/vraag_capaciteit_rechters_ter" TargetMode="External"/><Relationship Id="rId2" Type="http://schemas.openxmlformats.org/officeDocument/2006/relationships/hyperlink" Target="https://open.overheid.nl/documenten/dpc-c7eb16f9faaedb6d9f93b7d5c65488e4ad799043/pdf" TargetMode="External"/><Relationship Id="rId1" Type="http://schemas.openxmlformats.org/officeDocument/2006/relationships/hyperlink" Target="https://www.cbs.nl/nl-nl/longread/rapportages/2024/prevalentiemonitor-huiselijk-geweld-en-seksueel-grensoverschrijdend-gedrag-2024" TargetMode="External"/><Relationship Id="rId6" Type="http://schemas.openxmlformats.org/officeDocument/2006/relationships/hyperlink" Target="https://longreads.cbs.nl/phgsg-2022/offline-seksuele-intimidatie/" TargetMode="External"/><Relationship Id="rId11" Type="http://schemas.openxmlformats.org/officeDocument/2006/relationships/hyperlink" Target="https://www.eerstekamer.nl/verslagdeel/20240319/wet_seksuele_misdrijven_2" TargetMode="External"/><Relationship Id="rId5" Type="http://schemas.openxmlformats.org/officeDocument/2006/relationships/hyperlink" Target="https://www.programmaveiligesteden.nl/" TargetMode="External"/><Relationship Id="rId10" Type="http://schemas.openxmlformats.org/officeDocument/2006/relationships/hyperlink" Target="https://www.metelkaartrekkenwedegrens.nl/over-deze-campagne" TargetMode="External"/><Relationship Id="rId4" Type="http://schemas.openxmlformats.org/officeDocument/2006/relationships/hyperlink" Target="https://www.tweedekamer.nl/debat_en_vergadering/commissievergaderingen/details?id=2024A05233" TargetMode="External"/><Relationship Id="rId9" Type="http://schemas.openxmlformats.org/officeDocument/2006/relationships/hyperlink" Target="https://www.rijksoverheid.nl/documenten/rapporten/2024/09/05/campagne-effectonderzoek-wet-seksuele-misdrijv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3649</ap:Words>
  <ap:Characters>20072</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Brief aan Parlement - Voortgangsbrief aanpak online seksueel kindermisbruik en zeden</vt:lpstr>
    </vt:vector>
  </ap:TitlesOfParts>
  <ap:LinksUpToDate>false</ap:LinksUpToDate>
  <ap:CharactersWithSpaces>23674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2024-05-30T13:31:00.0000000Z</lastPrinted>
  <dcterms:created xsi:type="dcterms:W3CDTF">2024-12-20T16:23:00.0000000Z</dcterms:created>
  <dcterms:modified xsi:type="dcterms:W3CDTF">2024-12-20T16:23:00.0000000Z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aanpak online seksueel kindermisbruik en zeden</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april 2024</vt:lpwstr>
  </property>
  <property fmtid="{D5CDD505-2E9C-101B-9397-08002B2CF9AE}" pid="13" name="Opgesteld door, Naam">
    <vt:lpwstr>A.C. Hol</vt:lpwstr>
  </property>
  <property fmtid="{D5CDD505-2E9C-101B-9397-08002B2CF9AE}" pid="14" name="Opgesteld door, Telefoonnummer">
    <vt:lpwstr/>
  </property>
  <property fmtid="{D5CDD505-2E9C-101B-9397-08002B2CF9AE}" pid="15" name="Kenmerk">
    <vt:lpwstr>5965512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