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AA" w:rsidRDefault="004A4FBD" w14:paraId="2D004A8B" w14:textId="263720CD">
      <w:bookmarkStart w:name="_GoBack" w:id="0"/>
      <w:bookmarkEnd w:id="0"/>
      <w:r>
        <w:t xml:space="preserve">Geachte voorzitter, </w:t>
      </w:r>
    </w:p>
    <w:p w:rsidR="004A4FBD" w:rsidP="004A4FBD" w:rsidRDefault="004A4FBD" w14:paraId="0008ADDE" w14:textId="77777777"/>
    <w:p w:rsidR="004A4FBD" w:rsidP="004A4FBD" w:rsidRDefault="00BE01C3" w14:paraId="2EEFE4A8" w14:textId="34A2F30F">
      <w:r>
        <w:t>Tijdens de procedurevergadering IenW op 18 december 2024 hebben de Kamerleden Heutink (PVV) en Van Dijk (NSC) het verzoek gedaan om nog voor het kerstreces een overzicht met de prestaties van ProRail en NS naar de Kamer te sturen</w:t>
      </w:r>
      <w:r w:rsidR="00D7027D">
        <w:rPr>
          <w:rStyle w:val="FootnoteReference"/>
        </w:rPr>
        <w:footnoteReference w:id="1"/>
      </w:r>
      <w:r>
        <w:t>.</w:t>
      </w:r>
      <w:r>
        <w:rPr>
          <w:i/>
          <w:iCs/>
        </w:rPr>
        <w:t xml:space="preserve"> </w:t>
      </w:r>
      <w:r w:rsidR="00D7027D">
        <w:t>Naar aanleiding van dat</w:t>
      </w:r>
      <w:r>
        <w:t xml:space="preserve"> </w:t>
      </w:r>
      <w:r w:rsidRPr="00A83E84">
        <w:t xml:space="preserve">verzoek </w:t>
      </w:r>
      <w:r>
        <w:t xml:space="preserve">treft </w:t>
      </w:r>
      <w:r w:rsidRPr="00A83E84">
        <w:t xml:space="preserve">u </w:t>
      </w:r>
      <w:r>
        <w:t>hieronder de gevraagde informatie aan.</w:t>
      </w:r>
      <w:r>
        <w:rPr>
          <w:i/>
          <w:iCs/>
        </w:rPr>
        <w:t xml:space="preserve"> </w:t>
      </w:r>
      <w:bookmarkStart w:name="_Hlk185493948" w:id="1"/>
      <w:r w:rsidR="000808D4">
        <w:t>I</w:t>
      </w:r>
      <w:r w:rsidR="002A07C3">
        <w:t>n onderstaande tabel</w:t>
      </w:r>
      <w:r w:rsidDel="00BE01C3" w:rsidR="002A07C3">
        <w:t xml:space="preserve"> </w:t>
      </w:r>
      <w:r w:rsidR="000808D4">
        <w:t xml:space="preserve">is </w:t>
      </w:r>
      <w:r w:rsidR="004A4FBD">
        <w:t xml:space="preserve">de </w:t>
      </w:r>
      <w:r w:rsidR="002A07C3">
        <w:t xml:space="preserve">realisatie van de </w:t>
      </w:r>
      <w:r w:rsidR="004A4FBD">
        <w:t>prestaties</w:t>
      </w:r>
      <w:r>
        <w:t xml:space="preserve"> </w:t>
      </w:r>
      <w:r w:rsidR="002A07C3">
        <w:t xml:space="preserve">2024 opgenomen, daarbij is aangegeven tot welke datum </w:t>
      </w:r>
      <w:r w:rsidR="00D731CD">
        <w:t xml:space="preserve">deze cijfers gelden. </w:t>
      </w:r>
      <w:r w:rsidR="00B00AFB">
        <w:t xml:space="preserve">Ook </w:t>
      </w:r>
      <w:r w:rsidRPr="00C27FE9" w:rsidR="00C27FE9">
        <w:t>gaat</w:t>
      </w:r>
      <w:r w:rsidR="00B00AFB">
        <w:t xml:space="preserve"> het</w:t>
      </w:r>
      <w:r w:rsidRPr="00C27FE9" w:rsidR="00C27FE9">
        <w:t xml:space="preserve"> om voorlopige cijfers, die nog kunnen wijzigen.</w:t>
      </w:r>
    </w:p>
    <w:bookmarkEnd w:id="1"/>
    <w:p w:rsidR="004A4FBD" w:rsidP="004A4FBD" w:rsidRDefault="004A4FBD" w14:paraId="09E23C38" w14:textId="77777777"/>
    <w:p w:rsidRPr="00D731CD" w:rsidR="00D731CD" w:rsidP="004A4FBD" w:rsidRDefault="00D731CD" w14:paraId="79080B75" w14:textId="5CD45A9E">
      <w:pPr>
        <w:rPr>
          <w:i/>
          <w:iCs/>
        </w:rPr>
      </w:pPr>
      <w:r>
        <w:rPr>
          <w:i/>
          <w:iCs/>
        </w:rPr>
        <w:t xml:space="preserve">Tabel 1: Huidige prestaties van ProRail en NS. </w:t>
      </w:r>
    </w:p>
    <w:tbl>
      <w:tblPr>
        <w:tblStyle w:val="TableGrid"/>
        <w:tblW w:w="7650" w:type="dxa"/>
        <w:tblLook w:val="04A0" w:firstRow="1" w:lastRow="0" w:firstColumn="1" w:lastColumn="0" w:noHBand="0" w:noVBand="1"/>
      </w:tblPr>
      <w:tblGrid>
        <w:gridCol w:w="2478"/>
        <w:gridCol w:w="885"/>
        <w:gridCol w:w="1141"/>
        <w:gridCol w:w="1181"/>
        <w:gridCol w:w="1965"/>
      </w:tblGrid>
      <w:tr w:rsidRPr="004A4FBD" w:rsidR="00D731CD" w:rsidTr="00D731CD" w14:paraId="15B32CCB" w14:textId="714DBBD2">
        <w:trPr>
          <w:trHeight w:val="280"/>
        </w:trPr>
        <w:tc>
          <w:tcPr>
            <w:tcW w:w="2478" w:type="dxa"/>
            <w:noWrap/>
            <w:hideMark/>
          </w:tcPr>
          <w:p w:rsidRPr="004A4FBD" w:rsidR="00D731CD" w:rsidP="004A4FBD" w:rsidRDefault="00D731CD" w14:paraId="29C528BB" w14:textId="77777777">
            <w:pPr>
              <w:rPr>
                <w:b/>
                <w:bCs/>
                <w:sz w:val="16"/>
                <w:szCs w:val="16"/>
              </w:rPr>
            </w:pPr>
            <w:r w:rsidRPr="004A4FBD">
              <w:rPr>
                <w:b/>
                <w:bCs/>
                <w:sz w:val="16"/>
                <w:szCs w:val="16"/>
              </w:rPr>
              <w:t>Prestatie-indicator</w:t>
            </w:r>
          </w:p>
        </w:tc>
        <w:tc>
          <w:tcPr>
            <w:tcW w:w="885" w:type="dxa"/>
          </w:tcPr>
          <w:p w:rsidRPr="004A4FBD" w:rsidR="00D731CD" w:rsidRDefault="00D731CD" w14:paraId="769C05E0" w14:textId="729CD8BB">
            <w:pPr>
              <w:rPr>
                <w:b/>
                <w:bCs/>
                <w:sz w:val="16"/>
                <w:szCs w:val="16"/>
              </w:rPr>
            </w:pPr>
            <w:r w:rsidRPr="004A4FBD">
              <w:rPr>
                <w:b/>
                <w:bCs/>
                <w:sz w:val="16"/>
                <w:szCs w:val="16"/>
              </w:rPr>
              <w:t>Geldt voor</w:t>
            </w:r>
          </w:p>
        </w:tc>
        <w:tc>
          <w:tcPr>
            <w:tcW w:w="1141" w:type="dxa"/>
            <w:noWrap/>
            <w:hideMark/>
          </w:tcPr>
          <w:p w:rsidRPr="004A4FBD" w:rsidR="00D731CD" w:rsidP="004A4FBD" w:rsidRDefault="00D731CD" w14:paraId="0BB865AE" w14:textId="52090E17">
            <w:pPr>
              <w:rPr>
                <w:b/>
                <w:bCs/>
                <w:sz w:val="16"/>
                <w:szCs w:val="16"/>
              </w:rPr>
            </w:pPr>
            <w:r w:rsidRPr="004A4FBD">
              <w:rPr>
                <w:b/>
                <w:bCs/>
                <w:sz w:val="16"/>
                <w:szCs w:val="16"/>
              </w:rPr>
              <w:t>Bodem</w:t>
            </w:r>
            <w:r>
              <w:rPr>
                <w:b/>
                <w:bCs/>
                <w:sz w:val="16"/>
                <w:szCs w:val="16"/>
              </w:rPr>
              <w:t>-</w:t>
            </w:r>
            <w:r w:rsidRPr="004A4FBD">
              <w:rPr>
                <w:b/>
                <w:bCs/>
                <w:sz w:val="16"/>
                <w:szCs w:val="16"/>
              </w:rPr>
              <w:t>waarde</w:t>
            </w:r>
          </w:p>
        </w:tc>
        <w:tc>
          <w:tcPr>
            <w:tcW w:w="1181" w:type="dxa"/>
            <w:noWrap/>
            <w:hideMark/>
          </w:tcPr>
          <w:p w:rsidRPr="004A4FBD" w:rsidR="00D731CD" w:rsidRDefault="00D731CD" w14:paraId="3C216C39" w14:textId="01771FBC">
            <w:pPr>
              <w:rPr>
                <w:b/>
                <w:bCs/>
                <w:sz w:val="16"/>
                <w:szCs w:val="16"/>
              </w:rPr>
            </w:pPr>
            <w:r w:rsidRPr="004A4FBD">
              <w:rPr>
                <w:b/>
                <w:bCs/>
                <w:sz w:val="16"/>
                <w:szCs w:val="16"/>
              </w:rPr>
              <w:t>Streef</w:t>
            </w:r>
            <w:r>
              <w:rPr>
                <w:b/>
                <w:bCs/>
                <w:sz w:val="16"/>
                <w:szCs w:val="16"/>
              </w:rPr>
              <w:t>-</w:t>
            </w:r>
            <w:r w:rsidRPr="004A4FBD">
              <w:rPr>
                <w:b/>
                <w:bCs/>
                <w:sz w:val="16"/>
                <w:szCs w:val="16"/>
              </w:rPr>
              <w:t>waarde</w:t>
            </w:r>
          </w:p>
        </w:tc>
        <w:tc>
          <w:tcPr>
            <w:tcW w:w="1965" w:type="dxa"/>
            <w:noWrap/>
            <w:hideMark/>
          </w:tcPr>
          <w:p w:rsidRPr="004A4FBD" w:rsidR="00D731CD" w:rsidRDefault="00D731CD" w14:paraId="6941A065" w14:textId="5E9549EC">
            <w:pPr>
              <w:rPr>
                <w:b/>
                <w:bCs/>
                <w:sz w:val="16"/>
                <w:szCs w:val="16"/>
              </w:rPr>
            </w:pPr>
            <w:r w:rsidRPr="004A4FBD">
              <w:rPr>
                <w:b/>
                <w:bCs/>
                <w:sz w:val="16"/>
                <w:szCs w:val="16"/>
              </w:rPr>
              <w:t>Realisatie</w:t>
            </w:r>
            <w:r>
              <w:rPr>
                <w:b/>
                <w:bCs/>
                <w:sz w:val="16"/>
                <w:szCs w:val="16"/>
              </w:rPr>
              <w:t xml:space="preserve"> 2024</w:t>
            </w:r>
          </w:p>
        </w:tc>
      </w:tr>
      <w:tr w:rsidRPr="004A4FBD" w:rsidR="00D731CD" w:rsidTr="00D731CD" w14:paraId="1A459036" w14:textId="6F70BE13">
        <w:trPr>
          <w:trHeight w:val="280"/>
        </w:trPr>
        <w:tc>
          <w:tcPr>
            <w:tcW w:w="2478" w:type="dxa"/>
            <w:noWrap/>
          </w:tcPr>
          <w:p w:rsidRPr="004A4FBD" w:rsidR="00D731CD" w:rsidP="004A4FBD" w:rsidRDefault="00D731CD" w14:paraId="44587B90" w14:textId="6E228DD8">
            <w:pPr>
              <w:rPr>
                <w:b/>
                <w:bCs/>
                <w:sz w:val="16"/>
                <w:szCs w:val="16"/>
              </w:rPr>
            </w:pPr>
            <w:r w:rsidRPr="004A4FBD">
              <w:rPr>
                <w:sz w:val="16"/>
                <w:szCs w:val="16"/>
              </w:rPr>
              <w:t>Reizigerspunctualiteit 5 minuten HRN</w:t>
            </w:r>
          </w:p>
        </w:tc>
        <w:tc>
          <w:tcPr>
            <w:tcW w:w="885" w:type="dxa"/>
          </w:tcPr>
          <w:p w:rsidRPr="004A4FBD" w:rsidR="00D731CD" w:rsidP="004A4FBD" w:rsidRDefault="00D731CD" w14:paraId="11892911" w14:textId="30CE3EB3">
            <w:pPr>
              <w:rPr>
                <w:sz w:val="16"/>
                <w:szCs w:val="16"/>
              </w:rPr>
            </w:pPr>
            <w:r w:rsidRPr="004A4FBD">
              <w:rPr>
                <w:sz w:val="16"/>
                <w:szCs w:val="16"/>
              </w:rPr>
              <w:t>ProRail en NS</w:t>
            </w:r>
          </w:p>
        </w:tc>
        <w:tc>
          <w:tcPr>
            <w:tcW w:w="1141" w:type="dxa"/>
            <w:noWrap/>
          </w:tcPr>
          <w:p w:rsidRPr="004A4FBD" w:rsidR="00D731CD" w:rsidP="004A4FBD" w:rsidRDefault="00D731CD" w14:paraId="55F93E47" w14:textId="3EA88F34">
            <w:pPr>
              <w:rPr>
                <w:b/>
                <w:bCs/>
                <w:sz w:val="16"/>
                <w:szCs w:val="16"/>
              </w:rPr>
            </w:pPr>
            <w:r w:rsidRPr="004A4FBD">
              <w:rPr>
                <w:sz w:val="16"/>
                <w:szCs w:val="16"/>
              </w:rPr>
              <w:t>88,9%</w:t>
            </w:r>
          </w:p>
        </w:tc>
        <w:tc>
          <w:tcPr>
            <w:tcW w:w="1181" w:type="dxa"/>
            <w:noWrap/>
          </w:tcPr>
          <w:p w:rsidRPr="004A4FBD" w:rsidR="00D731CD" w:rsidP="004A4FBD" w:rsidRDefault="00D731CD" w14:paraId="55D7001C" w14:textId="638AA1EB">
            <w:pPr>
              <w:rPr>
                <w:b/>
                <w:bCs/>
                <w:sz w:val="16"/>
                <w:szCs w:val="16"/>
              </w:rPr>
            </w:pPr>
            <w:r w:rsidRPr="004A4FBD">
              <w:rPr>
                <w:sz w:val="16"/>
                <w:szCs w:val="16"/>
              </w:rPr>
              <w:t>91,5%</w:t>
            </w:r>
          </w:p>
        </w:tc>
        <w:tc>
          <w:tcPr>
            <w:tcW w:w="1965" w:type="dxa"/>
            <w:noWrap/>
          </w:tcPr>
          <w:p w:rsidRPr="004A4FBD" w:rsidR="00D731CD" w:rsidP="004A4FBD" w:rsidRDefault="00D731CD" w14:paraId="342C159A" w14:textId="68958AD6">
            <w:pPr>
              <w:rPr>
                <w:b/>
                <w:bCs/>
                <w:sz w:val="16"/>
                <w:szCs w:val="16"/>
              </w:rPr>
            </w:pPr>
            <w:r w:rsidRPr="004A4FBD">
              <w:rPr>
                <w:sz w:val="16"/>
                <w:szCs w:val="16"/>
              </w:rPr>
              <w:t>89,</w:t>
            </w:r>
            <w:r w:rsidR="00CB3289">
              <w:rPr>
                <w:sz w:val="16"/>
                <w:szCs w:val="16"/>
              </w:rPr>
              <w:t>3</w:t>
            </w:r>
            <w:r w:rsidRPr="004A4FBD">
              <w:rPr>
                <w:sz w:val="16"/>
                <w:szCs w:val="16"/>
              </w:rPr>
              <w:t>%</w:t>
            </w:r>
            <w:r>
              <w:rPr>
                <w:sz w:val="16"/>
                <w:szCs w:val="16"/>
              </w:rPr>
              <w:t xml:space="preserve"> (t/m 15 december)</w:t>
            </w:r>
          </w:p>
        </w:tc>
      </w:tr>
      <w:tr w:rsidRPr="004A4FBD" w:rsidR="00D731CD" w:rsidTr="00D731CD" w14:paraId="297E0719" w14:textId="4444A9A0">
        <w:trPr>
          <w:trHeight w:val="280"/>
        </w:trPr>
        <w:tc>
          <w:tcPr>
            <w:tcW w:w="2478" w:type="dxa"/>
            <w:noWrap/>
          </w:tcPr>
          <w:p w:rsidRPr="004A4FBD" w:rsidR="00D731CD" w:rsidP="004A4FBD" w:rsidRDefault="00D731CD" w14:paraId="2BDEF6B4" w14:textId="4097FED4">
            <w:pPr>
              <w:rPr>
                <w:b/>
                <w:bCs/>
                <w:sz w:val="16"/>
                <w:szCs w:val="16"/>
              </w:rPr>
            </w:pPr>
            <w:r w:rsidRPr="004A4FBD">
              <w:rPr>
                <w:sz w:val="16"/>
                <w:szCs w:val="16"/>
              </w:rPr>
              <w:t>Reizigerspunctualiteit 15 minuten HRN</w:t>
            </w:r>
          </w:p>
        </w:tc>
        <w:tc>
          <w:tcPr>
            <w:tcW w:w="885" w:type="dxa"/>
          </w:tcPr>
          <w:p w:rsidRPr="004A4FBD" w:rsidR="00D731CD" w:rsidP="004A4FBD" w:rsidRDefault="00D731CD" w14:paraId="23AB10A3" w14:textId="32E2CB2F">
            <w:pPr>
              <w:rPr>
                <w:sz w:val="16"/>
                <w:szCs w:val="16"/>
              </w:rPr>
            </w:pPr>
            <w:r w:rsidRPr="004A4FBD">
              <w:rPr>
                <w:sz w:val="16"/>
                <w:szCs w:val="16"/>
              </w:rPr>
              <w:t>ProRail en NS</w:t>
            </w:r>
          </w:p>
        </w:tc>
        <w:tc>
          <w:tcPr>
            <w:tcW w:w="1141" w:type="dxa"/>
            <w:noWrap/>
          </w:tcPr>
          <w:p w:rsidRPr="004A4FBD" w:rsidR="00D731CD" w:rsidP="004A4FBD" w:rsidRDefault="00D731CD" w14:paraId="74AA0E5C" w14:textId="2217E5D5">
            <w:pPr>
              <w:rPr>
                <w:b/>
                <w:bCs/>
                <w:sz w:val="16"/>
                <w:szCs w:val="16"/>
              </w:rPr>
            </w:pPr>
            <w:r w:rsidRPr="004A4FBD">
              <w:rPr>
                <w:sz w:val="16"/>
                <w:szCs w:val="16"/>
              </w:rPr>
              <w:t>96,7%</w:t>
            </w:r>
          </w:p>
        </w:tc>
        <w:tc>
          <w:tcPr>
            <w:tcW w:w="1181" w:type="dxa"/>
            <w:noWrap/>
          </w:tcPr>
          <w:p w:rsidRPr="004A4FBD" w:rsidR="00D731CD" w:rsidP="004A4FBD" w:rsidRDefault="00D731CD" w14:paraId="3AF5D4C3" w14:textId="09D8D58E">
            <w:pPr>
              <w:rPr>
                <w:b/>
                <w:bCs/>
                <w:sz w:val="16"/>
                <w:szCs w:val="16"/>
              </w:rPr>
            </w:pPr>
            <w:r w:rsidRPr="004A4FBD">
              <w:rPr>
                <w:sz w:val="16"/>
                <w:szCs w:val="16"/>
              </w:rPr>
              <w:t>97,4%</w:t>
            </w:r>
          </w:p>
        </w:tc>
        <w:tc>
          <w:tcPr>
            <w:tcW w:w="1965" w:type="dxa"/>
            <w:noWrap/>
          </w:tcPr>
          <w:p w:rsidRPr="004A4FBD" w:rsidR="00D731CD" w:rsidP="004A4FBD" w:rsidRDefault="00D731CD" w14:paraId="03F001B4" w14:textId="5113B837">
            <w:pPr>
              <w:rPr>
                <w:b/>
                <w:bCs/>
                <w:sz w:val="16"/>
                <w:szCs w:val="16"/>
              </w:rPr>
            </w:pPr>
            <w:r w:rsidRPr="004A4FBD">
              <w:rPr>
                <w:sz w:val="16"/>
                <w:szCs w:val="16"/>
              </w:rPr>
              <w:t>97,0%</w:t>
            </w:r>
            <w:r>
              <w:rPr>
                <w:sz w:val="16"/>
                <w:szCs w:val="16"/>
              </w:rPr>
              <w:t xml:space="preserve"> (t/m 15 december)</w:t>
            </w:r>
          </w:p>
        </w:tc>
      </w:tr>
      <w:tr w:rsidRPr="004A4FBD" w:rsidR="00D731CD" w:rsidTr="00D731CD" w14:paraId="5D25D9B2" w14:textId="52E532A2">
        <w:trPr>
          <w:trHeight w:val="280"/>
        </w:trPr>
        <w:tc>
          <w:tcPr>
            <w:tcW w:w="2478" w:type="dxa"/>
            <w:noWrap/>
          </w:tcPr>
          <w:p w:rsidRPr="004A4FBD" w:rsidR="00D731CD" w:rsidP="004A4FBD" w:rsidRDefault="00D731CD" w14:paraId="5F7C9935" w14:textId="3AD0DE84">
            <w:pPr>
              <w:rPr>
                <w:b/>
                <w:bCs/>
                <w:sz w:val="16"/>
                <w:szCs w:val="16"/>
              </w:rPr>
            </w:pPr>
            <w:r w:rsidRPr="004A4FBD">
              <w:rPr>
                <w:sz w:val="16"/>
                <w:szCs w:val="16"/>
              </w:rPr>
              <w:t>Reizigerspunctualiteit 5 minuten HSL</w:t>
            </w:r>
          </w:p>
        </w:tc>
        <w:tc>
          <w:tcPr>
            <w:tcW w:w="885" w:type="dxa"/>
          </w:tcPr>
          <w:p w:rsidRPr="004A4FBD" w:rsidR="00D731CD" w:rsidP="004A4FBD" w:rsidRDefault="00D731CD" w14:paraId="4A0E8076" w14:textId="4199A483">
            <w:pPr>
              <w:rPr>
                <w:sz w:val="16"/>
                <w:szCs w:val="16"/>
              </w:rPr>
            </w:pPr>
            <w:r w:rsidRPr="004A4FBD">
              <w:rPr>
                <w:sz w:val="16"/>
                <w:szCs w:val="16"/>
              </w:rPr>
              <w:t>ProRail en NS</w:t>
            </w:r>
          </w:p>
        </w:tc>
        <w:tc>
          <w:tcPr>
            <w:tcW w:w="1141" w:type="dxa"/>
            <w:noWrap/>
          </w:tcPr>
          <w:p w:rsidRPr="004A4FBD" w:rsidR="00D731CD" w:rsidP="004A4FBD" w:rsidRDefault="00D731CD" w14:paraId="29631286" w14:textId="79F53249">
            <w:pPr>
              <w:rPr>
                <w:b/>
                <w:bCs/>
                <w:sz w:val="16"/>
                <w:szCs w:val="16"/>
              </w:rPr>
            </w:pPr>
            <w:r w:rsidRPr="004A4FBD">
              <w:rPr>
                <w:sz w:val="16"/>
                <w:szCs w:val="16"/>
              </w:rPr>
              <w:t>82,1%</w:t>
            </w:r>
          </w:p>
        </w:tc>
        <w:tc>
          <w:tcPr>
            <w:tcW w:w="1181" w:type="dxa"/>
            <w:noWrap/>
          </w:tcPr>
          <w:p w:rsidRPr="004A4FBD" w:rsidR="00D731CD" w:rsidP="004A4FBD" w:rsidRDefault="00D731CD" w14:paraId="58CA687C" w14:textId="4E970D89">
            <w:pPr>
              <w:rPr>
                <w:b/>
                <w:bCs/>
                <w:sz w:val="16"/>
                <w:szCs w:val="16"/>
              </w:rPr>
            </w:pPr>
            <w:r w:rsidRPr="004A4FBD">
              <w:rPr>
                <w:sz w:val="16"/>
                <w:szCs w:val="16"/>
              </w:rPr>
              <w:t>84,2%</w:t>
            </w:r>
          </w:p>
        </w:tc>
        <w:tc>
          <w:tcPr>
            <w:tcW w:w="1965" w:type="dxa"/>
            <w:noWrap/>
          </w:tcPr>
          <w:p w:rsidRPr="004A4FBD" w:rsidR="00D731CD" w:rsidP="004A4FBD" w:rsidRDefault="00D731CD" w14:paraId="681733A9" w14:textId="14CF233A">
            <w:pPr>
              <w:rPr>
                <w:b/>
                <w:bCs/>
                <w:sz w:val="16"/>
                <w:szCs w:val="16"/>
              </w:rPr>
            </w:pPr>
            <w:r w:rsidRPr="004A4FBD">
              <w:rPr>
                <w:sz w:val="16"/>
                <w:szCs w:val="16"/>
              </w:rPr>
              <w:t>68,</w:t>
            </w:r>
            <w:r>
              <w:rPr>
                <w:sz w:val="16"/>
                <w:szCs w:val="16"/>
              </w:rPr>
              <w:t>5</w:t>
            </w:r>
            <w:r w:rsidRPr="004A4FBD">
              <w:rPr>
                <w:sz w:val="16"/>
                <w:szCs w:val="16"/>
              </w:rPr>
              <w:t>%</w:t>
            </w:r>
            <w:r>
              <w:rPr>
                <w:sz w:val="16"/>
                <w:szCs w:val="16"/>
              </w:rPr>
              <w:t xml:space="preserve"> (t/m 15 december)</w:t>
            </w:r>
          </w:p>
        </w:tc>
      </w:tr>
      <w:tr w:rsidRPr="004A4FBD" w:rsidR="00D731CD" w:rsidTr="00D731CD" w14:paraId="2A7588F4" w14:textId="12D52A66">
        <w:trPr>
          <w:trHeight w:val="280"/>
        </w:trPr>
        <w:tc>
          <w:tcPr>
            <w:tcW w:w="2478" w:type="dxa"/>
            <w:noWrap/>
            <w:hideMark/>
          </w:tcPr>
          <w:p w:rsidRPr="004A4FBD" w:rsidR="00D731CD" w:rsidP="004A4FBD" w:rsidRDefault="00D731CD" w14:paraId="58BE330B" w14:textId="69FD9AEE">
            <w:pPr>
              <w:rPr>
                <w:sz w:val="16"/>
                <w:szCs w:val="16"/>
              </w:rPr>
            </w:pPr>
            <w:r w:rsidRPr="004A4FBD">
              <w:rPr>
                <w:sz w:val="16"/>
                <w:szCs w:val="16"/>
              </w:rPr>
              <w:t>Kwaliteit van aansluitingen van NS op andere vervoerders</w:t>
            </w:r>
          </w:p>
        </w:tc>
        <w:tc>
          <w:tcPr>
            <w:tcW w:w="885" w:type="dxa"/>
          </w:tcPr>
          <w:p w:rsidRPr="004A4FBD" w:rsidR="00D731CD" w:rsidP="004A4FBD" w:rsidRDefault="00D731CD" w14:paraId="354C6D1F" w14:textId="154350BB">
            <w:pPr>
              <w:rPr>
                <w:sz w:val="16"/>
                <w:szCs w:val="16"/>
              </w:rPr>
            </w:pPr>
            <w:r>
              <w:rPr>
                <w:sz w:val="16"/>
                <w:szCs w:val="16"/>
              </w:rPr>
              <w:t>NS</w:t>
            </w:r>
          </w:p>
        </w:tc>
        <w:tc>
          <w:tcPr>
            <w:tcW w:w="1141" w:type="dxa"/>
            <w:noWrap/>
            <w:hideMark/>
          </w:tcPr>
          <w:p w:rsidRPr="004A4FBD" w:rsidR="00D731CD" w:rsidP="004A4FBD" w:rsidRDefault="00D731CD" w14:paraId="13B910E1" w14:textId="6606FE08">
            <w:pPr>
              <w:rPr>
                <w:sz w:val="16"/>
                <w:szCs w:val="16"/>
              </w:rPr>
            </w:pPr>
            <w:r w:rsidRPr="004A4FBD">
              <w:rPr>
                <w:sz w:val="16"/>
                <w:szCs w:val="16"/>
              </w:rPr>
              <w:t>94,0%</w:t>
            </w:r>
          </w:p>
        </w:tc>
        <w:tc>
          <w:tcPr>
            <w:tcW w:w="1181" w:type="dxa"/>
            <w:noWrap/>
            <w:hideMark/>
          </w:tcPr>
          <w:p w:rsidRPr="004A4FBD" w:rsidR="00D731CD" w:rsidP="004A4FBD" w:rsidRDefault="00D731CD" w14:paraId="3DC94016" w14:textId="77777777">
            <w:pPr>
              <w:rPr>
                <w:sz w:val="16"/>
                <w:szCs w:val="16"/>
              </w:rPr>
            </w:pPr>
            <w:r w:rsidRPr="004A4FBD">
              <w:rPr>
                <w:sz w:val="16"/>
                <w:szCs w:val="16"/>
              </w:rPr>
              <w:t>95,6%</w:t>
            </w:r>
          </w:p>
        </w:tc>
        <w:tc>
          <w:tcPr>
            <w:tcW w:w="1965" w:type="dxa"/>
            <w:noWrap/>
            <w:hideMark/>
          </w:tcPr>
          <w:p w:rsidRPr="004A4FBD" w:rsidR="00D731CD" w:rsidP="004A4FBD" w:rsidRDefault="00D731CD" w14:paraId="6CAC563E" w14:textId="33EF5D8F">
            <w:pPr>
              <w:rPr>
                <w:sz w:val="16"/>
                <w:szCs w:val="16"/>
              </w:rPr>
            </w:pPr>
            <w:r w:rsidRPr="004A4FBD">
              <w:rPr>
                <w:sz w:val="16"/>
                <w:szCs w:val="16"/>
              </w:rPr>
              <w:t>93,7%</w:t>
            </w:r>
            <w:r>
              <w:rPr>
                <w:sz w:val="16"/>
                <w:szCs w:val="16"/>
              </w:rPr>
              <w:t xml:space="preserve"> (t/m november)</w:t>
            </w:r>
          </w:p>
        </w:tc>
      </w:tr>
      <w:tr w:rsidRPr="004A4FBD" w:rsidR="00D731CD" w:rsidTr="00D731CD" w14:paraId="4F81EAF1" w14:textId="1EB42F4F">
        <w:trPr>
          <w:trHeight w:val="280"/>
        </w:trPr>
        <w:tc>
          <w:tcPr>
            <w:tcW w:w="2478" w:type="dxa"/>
            <w:noWrap/>
            <w:hideMark/>
          </w:tcPr>
          <w:p w:rsidRPr="004A4FBD" w:rsidR="00D731CD" w:rsidP="004A4FBD" w:rsidRDefault="00D731CD" w14:paraId="19A9E918" w14:textId="7AC81C96">
            <w:pPr>
              <w:rPr>
                <w:sz w:val="16"/>
                <w:szCs w:val="16"/>
              </w:rPr>
            </w:pPr>
            <w:r w:rsidRPr="004A4FBD">
              <w:rPr>
                <w:sz w:val="16"/>
                <w:szCs w:val="16"/>
              </w:rPr>
              <w:t>Zitplaatskans in de spits HRN</w:t>
            </w:r>
          </w:p>
        </w:tc>
        <w:tc>
          <w:tcPr>
            <w:tcW w:w="885" w:type="dxa"/>
          </w:tcPr>
          <w:p w:rsidRPr="004A4FBD" w:rsidR="00D731CD" w:rsidP="004A4FBD" w:rsidRDefault="00D731CD" w14:paraId="1576D785" w14:textId="0336A3E5">
            <w:pPr>
              <w:rPr>
                <w:sz w:val="16"/>
                <w:szCs w:val="16"/>
              </w:rPr>
            </w:pPr>
            <w:r>
              <w:rPr>
                <w:sz w:val="16"/>
                <w:szCs w:val="16"/>
              </w:rPr>
              <w:t>NS</w:t>
            </w:r>
          </w:p>
        </w:tc>
        <w:tc>
          <w:tcPr>
            <w:tcW w:w="1141" w:type="dxa"/>
            <w:noWrap/>
            <w:hideMark/>
          </w:tcPr>
          <w:p w:rsidRPr="004A4FBD" w:rsidR="00D731CD" w:rsidP="004A4FBD" w:rsidRDefault="00D731CD" w14:paraId="2660007B" w14:textId="31AB58B5">
            <w:pPr>
              <w:rPr>
                <w:sz w:val="16"/>
                <w:szCs w:val="16"/>
              </w:rPr>
            </w:pPr>
            <w:r w:rsidRPr="004A4FBD">
              <w:rPr>
                <w:sz w:val="16"/>
                <w:szCs w:val="16"/>
              </w:rPr>
              <w:t>94,1%</w:t>
            </w:r>
          </w:p>
        </w:tc>
        <w:tc>
          <w:tcPr>
            <w:tcW w:w="1181" w:type="dxa"/>
            <w:noWrap/>
            <w:hideMark/>
          </w:tcPr>
          <w:p w:rsidRPr="004A4FBD" w:rsidR="00D731CD" w:rsidP="004A4FBD" w:rsidRDefault="00D731CD" w14:paraId="4BFF4274" w14:textId="77777777">
            <w:pPr>
              <w:rPr>
                <w:sz w:val="16"/>
                <w:szCs w:val="16"/>
              </w:rPr>
            </w:pPr>
            <w:r w:rsidRPr="004A4FBD">
              <w:rPr>
                <w:sz w:val="16"/>
                <w:szCs w:val="16"/>
              </w:rPr>
              <w:t>95,5%</w:t>
            </w:r>
          </w:p>
        </w:tc>
        <w:tc>
          <w:tcPr>
            <w:tcW w:w="1965" w:type="dxa"/>
            <w:noWrap/>
            <w:hideMark/>
          </w:tcPr>
          <w:p w:rsidRPr="004A4FBD" w:rsidR="00D731CD" w:rsidP="004A4FBD" w:rsidRDefault="00D731CD" w14:paraId="1AA538D4" w14:textId="257B4366">
            <w:pPr>
              <w:rPr>
                <w:sz w:val="16"/>
                <w:szCs w:val="16"/>
              </w:rPr>
            </w:pPr>
            <w:r w:rsidRPr="004A4FBD">
              <w:rPr>
                <w:sz w:val="16"/>
                <w:szCs w:val="16"/>
              </w:rPr>
              <w:t>94,6%</w:t>
            </w:r>
            <w:r>
              <w:rPr>
                <w:sz w:val="16"/>
                <w:szCs w:val="16"/>
              </w:rPr>
              <w:t xml:space="preserve"> (t/m november)</w:t>
            </w:r>
          </w:p>
        </w:tc>
      </w:tr>
      <w:tr w:rsidRPr="004A4FBD" w:rsidR="00D731CD" w:rsidTr="00D731CD" w14:paraId="564CC3A0" w14:textId="4C51E5C0">
        <w:trPr>
          <w:trHeight w:val="280"/>
        </w:trPr>
        <w:tc>
          <w:tcPr>
            <w:tcW w:w="2478" w:type="dxa"/>
            <w:noWrap/>
            <w:hideMark/>
          </w:tcPr>
          <w:p w:rsidRPr="004A4FBD" w:rsidR="00D731CD" w:rsidP="004A4FBD" w:rsidRDefault="00D731CD" w14:paraId="461EF5CB" w14:textId="19B974F2">
            <w:pPr>
              <w:rPr>
                <w:sz w:val="16"/>
                <w:szCs w:val="16"/>
              </w:rPr>
            </w:pPr>
            <w:r w:rsidRPr="004A4FBD">
              <w:rPr>
                <w:sz w:val="16"/>
                <w:szCs w:val="16"/>
              </w:rPr>
              <w:t>Zitplaatskans in de spits HSL</w:t>
            </w:r>
          </w:p>
        </w:tc>
        <w:tc>
          <w:tcPr>
            <w:tcW w:w="885" w:type="dxa"/>
          </w:tcPr>
          <w:p w:rsidRPr="004A4FBD" w:rsidR="00D731CD" w:rsidP="004A4FBD" w:rsidRDefault="00D731CD" w14:paraId="51458344" w14:textId="623A2B55">
            <w:pPr>
              <w:rPr>
                <w:sz w:val="16"/>
                <w:szCs w:val="16"/>
              </w:rPr>
            </w:pPr>
            <w:r>
              <w:rPr>
                <w:sz w:val="16"/>
                <w:szCs w:val="16"/>
              </w:rPr>
              <w:t>NS</w:t>
            </w:r>
          </w:p>
        </w:tc>
        <w:tc>
          <w:tcPr>
            <w:tcW w:w="1141" w:type="dxa"/>
            <w:noWrap/>
            <w:hideMark/>
          </w:tcPr>
          <w:p w:rsidRPr="004A4FBD" w:rsidR="00D731CD" w:rsidP="004A4FBD" w:rsidRDefault="00D731CD" w14:paraId="2CC84936" w14:textId="0B36D2E6">
            <w:pPr>
              <w:rPr>
                <w:sz w:val="16"/>
                <w:szCs w:val="16"/>
              </w:rPr>
            </w:pPr>
            <w:r w:rsidRPr="004A4FBD">
              <w:rPr>
                <w:sz w:val="16"/>
                <w:szCs w:val="16"/>
              </w:rPr>
              <w:t>92,7%</w:t>
            </w:r>
          </w:p>
        </w:tc>
        <w:tc>
          <w:tcPr>
            <w:tcW w:w="1181" w:type="dxa"/>
            <w:noWrap/>
            <w:hideMark/>
          </w:tcPr>
          <w:p w:rsidRPr="004A4FBD" w:rsidR="00D731CD" w:rsidP="004A4FBD" w:rsidRDefault="00D731CD" w14:paraId="1AAD55A4" w14:textId="77777777">
            <w:pPr>
              <w:rPr>
                <w:sz w:val="16"/>
                <w:szCs w:val="16"/>
              </w:rPr>
            </w:pPr>
            <w:r w:rsidRPr="004A4FBD">
              <w:rPr>
                <w:sz w:val="16"/>
                <w:szCs w:val="16"/>
              </w:rPr>
              <w:t>95,8%</w:t>
            </w:r>
          </w:p>
        </w:tc>
        <w:tc>
          <w:tcPr>
            <w:tcW w:w="1965" w:type="dxa"/>
            <w:noWrap/>
            <w:hideMark/>
          </w:tcPr>
          <w:p w:rsidRPr="004A4FBD" w:rsidR="00D731CD" w:rsidP="004A4FBD" w:rsidRDefault="00D731CD" w14:paraId="06BB30D3" w14:textId="0BC94258">
            <w:pPr>
              <w:rPr>
                <w:sz w:val="16"/>
                <w:szCs w:val="16"/>
              </w:rPr>
            </w:pPr>
            <w:r w:rsidRPr="004A4FBD">
              <w:rPr>
                <w:sz w:val="16"/>
                <w:szCs w:val="16"/>
              </w:rPr>
              <w:t>95,1%</w:t>
            </w:r>
            <w:r>
              <w:rPr>
                <w:sz w:val="16"/>
                <w:szCs w:val="16"/>
              </w:rPr>
              <w:t xml:space="preserve"> (t/m november)</w:t>
            </w:r>
          </w:p>
        </w:tc>
      </w:tr>
      <w:tr w:rsidRPr="004A4FBD" w:rsidR="00D731CD" w:rsidTr="00D731CD" w14:paraId="1C6723B0" w14:textId="64202F27">
        <w:trPr>
          <w:trHeight w:val="280"/>
        </w:trPr>
        <w:tc>
          <w:tcPr>
            <w:tcW w:w="2478" w:type="dxa"/>
            <w:noWrap/>
            <w:hideMark/>
          </w:tcPr>
          <w:p w:rsidRPr="004A4FBD" w:rsidR="00D731CD" w:rsidP="004A4FBD" w:rsidRDefault="00D731CD" w14:paraId="59F9BB13" w14:textId="286A8693">
            <w:pPr>
              <w:rPr>
                <w:sz w:val="16"/>
                <w:szCs w:val="16"/>
              </w:rPr>
            </w:pPr>
            <w:r w:rsidRPr="004A4FBD">
              <w:rPr>
                <w:sz w:val="16"/>
                <w:szCs w:val="16"/>
              </w:rPr>
              <w:t>Aantal drukke treinen per werkweek in de spits HRN</w:t>
            </w:r>
          </w:p>
        </w:tc>
        <w:tc>
          <w:tcPr>
            <w:tcW w:w="885" w:type="dxa"/>
          </w:tcPr>
          <w:p w:rsidRPr="004A4FBD" w:rsidR="00D731CD" w:rsidP="004A4FBD" w:rsidRDefault="00D731CD" w14:paraId="3DFEEF62" w14:textId="6C9D3CFC">
            <w:pPr>
              <w:rPr>
                <w:sz w:val="16"/>
                <w:szCs w:val="16"/>
              </w:rPr>
            </w:pPr>
            <w:r>
              <w:rPr>
                <w:sz w:val="16"/>
                <w:szCs w:val="16"/>
              </w:rPr>
              <w:t>NS</w:t>
            </w:r>
          </w:p>
        </w:tc>
        <w:tc>
          <w:tcPr>
            <w:tcW w:w="1141" w:type="dxa"/>
            <w:noWrap/>
            <w:hideMark/>
          </w:tcPr>
          <w:p w:rsidRPr="004A4FBD" w:rsidR="00D731CD" w:rsidP="004A4FBD" w:rsidRDefault="00D731CD" w14:paraId="5C8A9B99" w14:textId="72C9AD01">
            <w:pPr>
              <w:rPr>
                <w:sz w:val="16"/>
                <w:szCs w:val="16"/>
              </w:rPr>
            </w:pPr>
            <w:r w:rsidRPr="004A4FBD">
              <w:rPr>
                <w:sz w:val="16"/>
                <w:szCs w:val="16"/>
              </w:rPr>
              <w:t>109</w:t>
            </w:r>
          </w:p>
        </w:tc>
        <w:tc>
          <w:tcPr>
            <w:tcW w:w="1181" w:type="dxa"/>
            <w:noWrap/>
            <w:hideMark/>
          </w:tcPr>
          <w:p w:rsidRPr="004A4FBD" w:rsidR="00D731CD" w:rsidP="004A4FBD" w:rsidRDefault="00D731CD" w14:paraId="4C80124D" w14:textId="77777777">
            <w:pPr>
              <w:rPr>
                <w:sz w:val="16"/>
                <w:szCs w:val="16"/>
              </w:rPr>
            </w:pPr>
            <w:r w:rsidRPr="004A4FBD">
              <w:rPr>
                <w:sz w:val="16"/>
                <w:szCs w:val="16"/>
              </w:rPr>
              <w:t>98</w:t>
            </w:r>
          </w:p>
        </w:tc>
        <w:tc>
          <w:tcPr>
            <w:tcW w:w="1965" w:type="dxa"/>
            <w:noWrap/>
            <w:hideMark/>
          </w:tcPr>
          <w:p w:rsidRPr="004A4FBD" w:rsidR="00D731CD" w:rsidP="004A4FBD" w:rsidRDefault="00D731CD" w14:paraId="684AE604" w14:textId="5E2D24A6">
            <w:pPr>
              <w:rPr>
                <w:sz w:val="16"/>
                <w:szCs w:val="16"/>
              </w:rPr>
            </w:pPr>
            <w:r w:rsidRPr="004A4FBD">
              <w:rPr>
                <w:sz w:val="16"/>
                <w:szCs w:val="16"/>
              </w:rPr>
              <w:t>89</w:t>
            </w:r>
            <w:r>
              <w:rPr>
                <w:sz w:val="16"/>
                <w:szCs w:val="16"/>
              </w:rPr>
              <w:t xml:space="preserve"> (t/m november)</w:t>
            </w:r>
          </w:p>
        </w:tc>
      </w:tr>
      <w:tr w:rsidRPr="004A4FBD" w:rsidR="00D731CD" w:rsidTr="00D731CD" w14:paraId="7A5670C8" w14:textId="2C8B7DBD">
        <w:trPr>
          <w:trHeight w:val="280"/>
        </w:trPr>
        <w:tc>
          <w:tcPr>
            <w:tcW w:w="2478" w:type="dxa"/>
            <w:noWrap/>
            <w:hideMark/>
          </w:tcPr>
          <w:p w:rsidRPr="004A4FBD" w:rsidR="00D731CD" w:rsidP="004A4FBD" w:rsidRDefault="00D731CD" w14:paraId="411A9F8A" w14:textId="77777777">
            <w:pPr>
              <w:rPr>
                <w:sz w:val="16"/>
                <w:szCs w:val="16"/>
              </w:rPr>
            </w:pPr>
            <w:r w:rsidRPr="004A4FBD">
              <w:rPr>
                <w:sz w:val="16"/>
                <w:szCs w:val="16"/>
              </w:rPr>
              <w:t>Gebruiksvriendelijke reisinformatie</w:t>
            </w:r>
          </w:p>
        </w:tc>
        <w:tc>
          <w:tcPr>
            <w:tcW w:w="885" w:type="dxa"/>
          </w:tcPr>
          <w:p w:rsidRPr="004A4FBD" w:rsidR="00D731CD" w:rsidP="004A4FBD" w:rsidRDefault="00D731CD" w14:paraId="1492A352" w14:textId="67398FF9">
            <w:pPr>
              <w:rPr>
                <w:sz w:val="16"/>
                <w:szCs w:val="16"/>
              </w:rPr>
            </w:pPr>
            <w:r>
              <w:rPr>
                <w:sz w:val="16"/>
                <w:szCs w:val="16"/>
              </w:rPr>
              <w:t>NS</w:t>
            </w:r>
          </w:p>
        </w:tc>
        <w:tc>
          <w:tcPr>
            <w:tcW w:w="1141" w:type="dxa"/>
            <w:noWrap/>
            <w:hideMark/>
          </w:tcPr>
          <w:p w:rsidRPr="004A4FBD" w:rsidR="00D731CD" w:rsidP="004A4FBD" w:rsidRDefault="00D731CD" w14:paraId="35675922" w14:textId="5A373FAD">
            <w:pPr>
              <w:rPr>
                <w:sz w:val="16"/>
                <w:szCs w:val="16"/>
              </w:rPr>
            </w:pPr>
            <w:r w:rsidRPr="004A4FBD">
              <w:rPr>
                <w:sz w:val="16"/>
                <w:szCs w:val="16"/>
              </w:rPr>
              <w:t>65,0%</w:t>
            </w:r>
          </w:p>
        </w:tc>
        <w:tc>
          <w:tcPr>
            <w:tcW w:w="1181" w:type="dxa"/>
            <w:noWrap/>
            <w:hideMark/>
          </w:tcPr>
          <w:p w:rsidRPr="004A4FBD" w:rsidR="00D731CD" w:rsidP="004A4FBD" w:rsidRDefault="00D731CD" w14:paraId="58D34BAF" w14:textId="77777777">
            <w:pPr>
              <w:rPr>
                <w:sz w:val="16"/>
                <w:szCs w:val="16"/>
              </w:rPr>
            </w:pPr>
            <w:r w:rsidRPr="004A4FBD">
              <w:rPr>
                <w:sz w:val="16"/>
                <w:szCs w:val="16"/>
              </w:rPr>
              <w:t>68,5%</w:t>
            </w:r>
          </w:p>
        </w:tc>
        <w:tc>
          <w:tcPr>
            <w:tcW w:w="1965" w:type="dxa"/>
            <w:noWrap/>
            <w:hideMark/>
          </w:tcPr>
          <w:p w:rsidRPr="004A4FBD" w:rsidR="00D731CD" w:rsidP="004A4FBD" w:rsidRDefault="00D731CD" w14:paraId="3D0B6CB7" w14:textId="32CCCE97">
            <w:pPr>
              <w:rPr>
                <w:sz w:val="16"/>
                <w:szCs w:val="16"/>
              </w:rPr>
            </w:pPr>
            <w:r w:rsidRPr="004A4FBD">
              <w:rPr>
                <w:sz w:val="16"/>
                <w:szCs w:val="16"/>
              </w:rPr>
              <w:t>81,3%</w:t>
            </w:r>
            <w:r>
              <w:rPr>
                <w:sz w:val="16"/>
                <w:szCs w:val="16"/>
              </w:rPr>
              <w:t xml:space="preserve"> (t/m november)</w:t>
            </w:r>
          </w:p>
        </w:tc>
      </w:tr>
      <w:tr w:rsidRPr="004A4FBD" w:rsidR="00D731CD" w:rsidTr="00D731CD" w14:paraId="2E200CD1" w14:textId="4BE9F280">
        <w:trPr>
          <w:trHeight w:val="280"/>
        </w:trPr>
        <w:tc>
          <w:tcPr>
            <w:tcW w:w="2478" w:type="dxa"/>
            <w:noWrap/>
          </w:tcPr>
          <w:p w:rsidRPr="004A4FBD" w:rsidR="00D731CD" w:rsidP="004A4FBD" w:rsidRDefault="00D731CD" w14:paraId="73CABE1C" w14:textId="34AAC4A5">
            <w:pPr>
              <w:rPr>
                <w:sz w:val="16"/>
                <w:szCs w:val="16"/>
              </w:rPr>
            </w:pPr>
            <w:r>
              <w:rPr>
                <w:sz w:val="16"/>
                <w:szCs w:val="16"/>
              </w:rPr>
              <w:t>Betrouwbaarheid regionale series</w:t>
            </w:r>
          </w:p>
        </w:tc>
        <w:tc>
          <w:tcPr>
            <w:tcW w:w="885" w:type="dxa"/>
          </w:tcPr>
          <w:p w:rsidRPr="004A4FBD" w:rsidR="00D731CD" w:rsidP="004A4FBD" w:rsidRDefault="00D731CD" w14:paraId="48EF2505" w14:textId="23B191E2">
            <w:pPr>
              <w:rPr>
                <w:sz w:val="16"/>
                <w:szCs w:val="16"/>
              </w:rPr>
            </w:pPr>
            <w:r>
              <w:rPr>
                <w:sz w:val="16"/>
                <w:szCs w:val="16"/>
              </w:rPr>
              <w:t>ProRail</w:t>
            </w:r>
          </w:p>
        </w:tc>
        <w:tc>
          <w:tcPr>
            <w:tcW w:w="1141" w:type="dxa"/>
            <w:noWrap/>
          </w:tcPr>
          <w:p w:rsidRPr="004A4FBD" w:rsidR="00D731CD" w:rsidP="004A4FBD" w:rsidRDefault="00D731CD" w14:paraId="43EC1C20" w14:textId="14E8C91B">
            <w:pPr>
              <w:rPr>
                <w:sz w:val="16"/>
                <w:szCs w:val="16"/>
              </w:rPr>
            </w:pPr>
            <w:r>
              <w:rPr>
                <w:sz w:val="16"/>
                <w:szCs w:val="16"/>
              </w:rPr>
              <w:t>90,7%</w:t>
            </w:r>
          </w:p>
        </w:tc>
        <w:tc>
          <w:tcPr>
            <w:tcW w:w="1181" w:type="dxa"/>
            <w:noWrap/>
          </w:tcPr>
          <w:p w:rsidRPr="004A4FBD" w:rsidR="00D731CD" w:rsidP="004A4FBD" w:rsidRDefault="00D731CD" w14:paraId="53FFDD74" w14:textId="34619BCA">
            <w:pPr>
              <w:rPr>
                <w:sz w:val="16"/>
                <w:szCs w:val="16"/>
              </w:rPr>
            </w:pPr>
            <w:r>
              <w:rPr>
                <w:sz w:val="16"/>
                <w:szCs w:val="16"/>
              </w:rPr>
              <w:t>93,7%</w:t>
            </w:r>
          </w:p>
        </w:tc>
        <w:tc>
          <w:tcPr>
            <w:tcW w:w="1965" w:type="dxa"/>
            <w:noWrap/>
          </w:tcPr>
          <w:p w:rsidRPr="004A4FBD" w:rsidR="00D731CD" w:rsidP="004A4FBD" w:rsidRDefault="00D731CD" w14:paraId="19DF7F36" w14:textId="3C22024A">
            <w:pPr>
              <w:rPr>
                <w:sz w:val="16"/>
                <w:szCs w:val="16"/>
              </w:rPr>
            </w:pPr>
            <w:r>
              <w:rPr>
                <w:sz w:val="16"/>
                <w:szCs w:val="16"/>
              </w:rPr>
              <w:t>90,7% (t/m 17 december)</w:t>
            </w:r>
          </w:p>
        </w:tc>
      </w:tr>
      <w:tr w:rsidRPr="004A4FBD" w:rsidR="00D731CD" w:rsidTr="00D731CD" w14:paraId="63DC28DD" w14:textId="19792BEF">
        <w:trPr>
          <w:trHeight w:val="280"/>
        </w:trPr>
        <w:tc>
          <w:tcPr>
            <w:tcW w:w="2478" w:type="dxa"/>
            <w:noWrap/>
          </w:tcPr>
          <w:p w:rsidRPr="004A4FBD" w:rsidR="00D731CD" w:rsidP="004A4FBD" w:rsidRDefault="00D731CD" w14:paraId="1E986B5F" w14:textId="081B541C">
            <w:pPr>
              <w:rPr>
                <w:sz w:val="16"/>
                <w:szCs w:val="16"/>
              </w:rPr>
            </w:pPr>
            <w:r>
              <w:rPr>
                <w:sz w:val="16"/>
                <w:szCs w:val="16"/>
              </w:rPr>
              <w:t>Impactvolle storingen op de infra</w:t>
            </w:r>
          </w:p>
        </w:tc>
        <w:tc>
          <w:tcPr>
            <w:tcW w:w="885" w:type="dxa"/>
          </w:tcPr>
          <w:p w:rsidRPr="004A4FBD" w:rsidR="00D731CD" w:rsidP="004A4FBD" w:rsidRDefault="00D731CD" w14:paraId="6290CD4D" w14:textId="1AD79197">
            <w:pPr>
              <w:rPr>
                <w:sz w:val="16"/>
                <w:szCs w:val="16"/>
              </w:rPr>
            </w:pPr>
            <w:r>
              <w:rPr>
                <w:sz w:val="16"/>
                <w:szCs w:val="16"/>
              </w:rPr>
              <w:t>ProRail</w:t>
            </w:r>
          </w:p>
        </w:tc>
        <w:tc>
          <w:tcPr>
            <w:tcW w:w="1141" w:type="dxa"/>
            <w:noWrap/>
          </w:tcPr>
          <w:p w:rsidRPr="004A4FBD" w:rsidR="00D731CD" w:rsidP="004A4FBD" w:rsidRDefault="00D731CD" w14:paraId="585BCCE3" w14:textId="7D44D056">
            <w:pPr>
              <w:rPr>
                <w:sz w:val="16"/>
                <w:szCs w:val="16"/>
              </w:rPr>
            </w:pPr>
            <w:r>
              <w:rPr>
                <w:sz w:val="16"/>
                <w:szCs w:val="16"/>
              </w:rPr>
              <w:t>520</w:t>
            </w:r>
          </w:p>
        </w:tc>
        <w:tc>
          <w:tcPr>
            <w:tcW w:w="1181" w:type="dxa"/>
            <w:noWrap/>
          </w:tcPr>
          <w:p w:rsidRPr="004A4FBD" w:rsidR="00D731CD" w:rsidP="004A4FBD" w:rsidRDefault="00D731CD" w14:paraId="54D01534" w14:textId="4D215988">
            <w:pPr>
              <w:rPr>
                <w:sz w:val="16"/>
                <w:szCs w:val="16"/>
              </w:rPr>
            </w:pPr>
            <w:r>
              <w:rPr>
                <w:sz w:val="16"/>
                <w:szCs w:val="16"/>
              </w:rPr>
              <w:t>450</w:t>
            </w:r>
          </w:p>
        </w:tc>
        <w:tc>
          <w:tcPr>
            <w:tcW w:w="1965" w:type="dxa"/>
            <w:noWrap/>
          </w:tcPr>
          <w:p w:rsidRPr="004A4FBD" w:rsidR="00D731CD" w:rsidP="004A4FBD" w:rsidRDefault="00D731CD" w14:paraId="4DCA4594" w14:textId="3E3C0878">
            <w:pPr>
              <w:rPr>
                <w:sz w:val="16"/>
                <w:szCs w:val="16"/>
              </w:rPr>
            </w:pPr>
            <w:r>
              <w:rPr>
                <w:sz w:val="16"/>
                <w:szCs w:val="16"/>
              </w:rPr>
              <w:t>494 (t/m 17 december)</w:t>
            </w:r>
          </w:p>
        </w:tc>
      </w:tr>
    </w:tbl>
    <w:p w:rsidR="004A4FBD" w:rsidRDefault="004A4FBD" w14:paraId="3F2BFA51" w14:textId="77777777"/>
    <w:p w:rsidR="000808D4" w:rsidRDefault="000808D4" w14:paraId="29EA30E1" w14:textId="77777777">
      <w:pPr>
        <w:pStyle w:val="WitregelW1bodytekst"/>
      </w:pPr>
    </w:p>
    <w:p w:rsidR="00D7027D" w:rsidP="000808D4" w:rsidRDefault="000808D4" w14:paraId="64C607C7" w14:textId="77777777">
      <w:pPr>
        <w:pStyle w:val="WitregelW1bodytekst"/>
      </w:pPr>
      <w:r>
        <w:t xml:space="preserve">Over de in de tabel opgenomen prestatieindicatoren zijn maandelijkse cijfers beschikbaar. Dit is niet zo voor alle indicatoren. Over een aantal prestatie-indicatoren wordt jaarlijks gerapporteerd. Voor NS zijn dit het </w:t>
      </w:r>
      <w:r w:rsidRPr="00DE6AD9">
        <w:t xml:space="preserve">Algemeen Klantoordeel HRN, </w:t>
      </w:r>
      <w:r>
        <w:t xml:space="preserve">het </w:t>
      </w:r>
      <w:r w:rsidRPr="00DE6AD9">
        <w:t xml:space="preserve">Algemeen Klantoordeel HSL en </w:t>
      </w:r>
      <w:r>
        <w:t xml:space="preserve">het </w:t>
      </w:r>
      <w:r w:rsidRPr="000808D4">
        <w:t xml:space="preserve">Klantoordeel </w:t>
      </w:r>
      <w:r w:rsidR="006D36C7">
        <w:t>s</w:t>
      </w:r>
      <w:r w:rsidRPr="000808D4">
        <w:t xml:space="preserve">ociale </w:t>
      </w:r>
      <w:r w:rsidR="006D36C7">
        <w:t>v</w:t>
      </w:r>
      <w:r w:rsidRPr="000808D4">
        <w:t xml:space="preserve">eiligheid. Voor ProRail zijn dit het </w:t>
      </w:r>
      <w:r w:rsidR="006D36C7">
        <w:t>K</w:t>
      </w:r>
      <w:r w:rsidRPr="000808D4">
        <w:t xml:space="preserve">lantoordeel reizigersvervoerders en het </w:t>
      </w:r>
      <w:r w:rsidR="006D36C7">
        <w:t>K</w:t>
      </w:r>
      <w:r w:rsidRPr="000808D4">
        <w:t xml:space="preserve">lantoordeel goederenvervoerders. </w:t>
      </w:r>
    </w:p>
    <w:p w:rsidR="00D7027D" w:rsidP="000808D4" w:rsidRDefault="00D7027D" w14:paraId="69B0215C" w14:textId="77777777">
      <w:pPr>
        <w:pStyle w:val="WitregelW1bodytekst"/>
      </w:pPr>
    </w:p>
    <w:p w:rsidR="000808D4" w:rsidP="000808D4" w:rsidRDefault="000808D4" w14:paraId="095E1721" w14:textId="5E5E7B61">
      <w:pPr>
        <w:pStyle w:val="WitregelW1bodytekst"/>
      </w:pPr>
      <w:r w:rsidRPr="000808D4">
        <w:t>Deze prestatieindicatoren zijn daarom niet opgenomen in deze tabel.</w:t>
      </w:r>
      <w:r>
        <w:t xml:space="preserve"> Hierover zal worden gerapporteerd in de jaarverantwoording. Dit is ook het moment waarop NS en ProRail na afloop van een jaar worden afgerekend op de behaalde prestaties en wordt bij onderpresteren een boete opgelegd, tenzij er terecht een beroep op een rechtvaardigingsgrond wordt gedaan. </w:t>
      </w:r>
    </w:p>
    <w:p w:rsidR="000808D4" w:rsidP="000808D4" w:rsidRDefault="000808D4" w14:paraId="09764BB1" w14:textId="77777777"/>
    <w:p w:rsidR="000808D4" w:rsidP="000808D4" w:rsidRDefault="000808D4" w14:paraId="5F50131E" w14:textId="05CBB22E">
      <w:r>
        <w:t>De Kamer heeft eerder geïnformeerd naar de prestaties van NS en ProRail, te weten</w:t>
      </w:r>
      <w:r w:rsidRPr="00A83E84">
        <w:t xml:space="preserve"> </w:t>
      </w:r>
      <w:r>
        <w:t>op 12 september</w:t>
      </w:r>
      <w:r>
        <w:rPr>
          <w:rStyle w:val="FootnoteReference"/>
        </w:rPr>
        <w:footnoteReference w:id="2"/>
      </w:r>
      <w:r w:rsidRPr="00A83E84">
        <w:t>.</w:t>
      </w:r>
      <w:r>
        <w:t xml:space="preserve"> </w:t>
      </w:r>
      <w:r w:rsidRPr="000808D4">
        <w:t>Deze vraag is beantwoord in de Kamerbrief over de halfjaarrapportages van ProRail en NS</w:t>
      </w:r>
      <w:r w:rsidR="00294E00">
        <w:t xml:space="preserve"> van</w:t>
      </w:r>
      <w:r w:rsidRPr="000808D4">
        <w:t xml:space="preserve"> 4 november jl.</w:t>
      </w:r>
      <w:r w:rsidRPr="000808D4">
        <w:rPr>
          <w:rStyle w:val="FootnoteReference"/>
        </w:rPr>
        <w:footnoteReference w:id="3"/>
      </w:r>
      <w:r w:rsidRPr="000808D4">
        <w:t xml:space="preserve"> Daarin is tevens aangegeven dat </w:t>
      </w:r>
      <w:r w:rsidR="00D7027D">
        <w:t>Kamerleden</w:t>
      </w:r>
      <w:r w:rsidRPr="000808D4">
        <w:t xml:space="preserve">, indien </w:t>
      </w:r>
      <w:r w:rsidR="00D7027D">
        <w:t>zij daar behoefte aan hebben</w:t>
      </w:r>
      <w:r w:rsidR="008B5814">
        <w:t>,</w:t>
      </w:r>
      <w:r w:rsidRPr="000808D4">
        <w:t xml:space="preserve"> op </w:t>
      </w:r>
      <w:r w:rsidR="00294E00">
        <w:t>ieder</w:t>
      </w:r>
      <w:r w:rsidRPr="000808D4">
        <w:t xml:space="preserve"> moment de (actuele) prestaties van ProRail en NS op hun eig</w:t>
      </w:r>
      <w:r>
        <w:t>en online dashboards kun</w:t>
      </w:r>
      <w:r w:rsidR="00D7027D">
        <w:t>nen</w:t>
      </w:r>
      <w:r>
        <w:t xml:space="preserve"> vinden.</w:t>
      </w:r>
      <w:r>
        <w:rPr>
          <w:rStyle w:val="FootnoteReference"/>
        </w:rPr>
        <w:footnoteReference w:id="4"/>
      </w:r>
    </w:p>
    <w:p w:rsidR="008118AA" w:rsidRDefault="009967D2" w14:paraId="36FD90D0" w14:textId="77777777">
      <w:pPr>
        <w:pStyle w:val="Slotzin"/>
      </w:pPr>
      <w:r>
        <w:t>Hoogachtend,</w:t>
      </w:r>
    </w:p>
    <w:p w:rsidR="008118AA" w:rsidRDefault="009967D2" w14:paraId="38A9509B" w14:textId="77777777">
      <w:pPr>
        <w:pStyle w:val="OndertekeningArea1"/>
      </w:pPr>
      <w:r>
        <w:t>DE STAATSSECRETARIS VAN INFRASTRUCTUUR EN WATERSTAAT - OPENBAAR VERVOER EN MILIEU,</w:t>
      </w:r>
    </w:p>
    <w:p w:rsidR="008118AA" w:rsidRDefault="008118AA" w14:paraId="52862A5E" w14:textId="77777777"/>
    <w:p w:rsidR="008118AA" w:rsidRDefault="008118AA" w14:paraId="00142CBF" w14:textId="77777777"/>
    <w:p w:rsidR="008118AA" w:rsidRDefault="008118AA" w14:paraId="210551A3" w14:textId="77777777"/>
    <w:p w:rsidR="008118AA" w:rsidRDefault="008118AA" w14:paraId="6419A12C" w14:textId="77777777"/>
    <w:p w:rsidR="008118AA" w:rsidRDefault="009967D2" w14:paraId="4648FCFC" w14:textId="77777777">
      <w:r>
        <w:t>C.A. Jansen</w:t>
      </w:r>
    </w:p>
    <w:p w:rsidR="000808D4" w:rsidRDefault="000808D4" w14:paraId="10E259B1" w14:textId="77777777"/>
    <w:p w:rsidR="000808D4" w:rsidRDefault="000808D4" w14:paraId="11EDDBB5" w14:textId="77777777"/>
    <w:p w:rsidR="000808D4" w:rsidRDefault="000808D4" w14:paraId="7474CCEE" w14:textId="77777777"/>
    <w:p w:rsidR="000808D4" w:rsidP="000808D4" w:rsidRDefault="000808D4" w14:paraId="0D216709" w14:textId="77777777"/>
    <w:p w:rsidR="000808D4" w:rsidRDefault="000808D4" w14:paraId="14462F29" w14:textId="77777777"/>
    <w:sectPr w:rsidR="000808D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234A3" w14:textId="77777777" w:rsidR="00A068C7" w:rsidRDefault="00A068C7">
      <w:pPr>
        <w:spacing w:line="240" w:lineRule="auto"/>
      </w:pPr>
      <w:r>
        <w:separator/>
      </w:r>
    </w:p>
  </w:endnote>
  <w:endnote w:type="continuationSeparator" w:id="0">
    <w:p w14:paraId="731D6DA7" w14:textId="77777777" w:rsidR="00A068C7" w:rsidRDefault="00A068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E3D84" w14:textId="77777777" w:rsidR="00D7027D" w:rsidRDefault="00D70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2A3A" w14:textId="77777777" w:rsidR="00D7027D" w:rsidRDefault="00D70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1673" w14:textId="77777777" w:rsidR="00D7027D" w:rsidRDefault="00D70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3CE16" w14:textId="77777777" w:rsidR="00A068C7" w:rsidRDefault="00A068C7">
      <w:pPr>
        <w:spacing w:line="240" w:lineRule="auto"/>
      </w:pPr>
      <w:r>
        <w:separator/>
      </w:r>
    </w:p>
  </w:footnote>
  <w:footnote w:type="continuationSeparator" w:id="0">
    <w:p w14:paraId="33E79A48" w14:textId="77777777" w:rsidR="00A068C7" w:rsidRDefault="00A068C7">
      <w:pPr>
        <w:spacing w:line="240" w:lineRule="auto"/>
      </w:pPr>
      <w:r>
        <w:continuationSeparator/>
      </w:r>
    </w:p>
  </w:footnote>
  <w:footnote w:id="1">
    <w:p w14:paraId="7B1AE9DF" w14:textId="55FBB6DC" w:rsidR="00D7027D" w:rsidRPr="00D7027D" w:rsidRDefault="00D7027D">
      <w:pPr>
        <w:pStyle w:val="FootnoteText"/>
        <w:rPr>
          <w:sz w:val="16"/>
          <w:szCs w:val="16"/>
        </w:rPr>
      </w:pPr>
      <w:r w:rsidRPr="00D7027D">
        <w:rPr>
          <w:rStyle w:val="FootnoteReference"/>
          <w:sz w:val="16"/>
          <w:szCs w:val="16"/>
        </w:rPr>
        <w:footnoteRef/>
      </w:r>
      <w:r w:rsidRPr="00D7027D">
        <w:rPr>
          <w:sz w:val="16"/>
          <w:szCs w:val="16"/>
        </w:rPr>
        <w:t xml:space="preserve"> </w:t>
      </w:r>
      <w:r>
        <w:rPr>
          <w:sz w:val="16"/>
          <w:szCs w:val="16"/>
        </w:rPr>
        <w:t xml:space="preserve">Brief van de Kamer met nr. </w:t>
      </w:r>
      <w:r w:rsidRPr="00D7027D">
        <w:rPr>
          <w:sz w:val="16"/>
          <w:szCs w:val="16"/>
        </w:rPr>
        <w:t>2024Z21505/2024D50852</w:t>
      </w:r>
      <w:r>
        <w:rPr>
          <w:sz w:val="16"/>
          <w:szCs w:val="16"/>
        </w:rPr>
        <w:t>.</w:t>
      </w:r>
    </w:p>
  </w:footnote>
  <w:footnote w:id="2">
    <w:p w14:paraId="470F78B6" w14:textId="77777777" w:rsidR="000808D4" w:rsidRDefault="000808D4" w:rsidP="000808D4">
      <w:pPr>
        <w:pStyle w:val="FootnoteText"/>
      </w:pPr>
      <w:r w:rsidRPr="0053131B">
        <w:rPr>
          <w:rStyle w:val="FootnoteReference"/>
          <w:sz w:val="16"/>
          <w:szCs w:val="16"/>
        </w:rPr>
        <w:footnoteRef/>
      </w:r>
      <w:r w:rsidRPr="0053131B">
        <w:rPr>
          <w:sz w:val="16"/>
          <w:szCs w:val="16"/>
        </w:rPr>
        <w:t xml:space="preserve"> TZ202409-096.</w:t>
      </w:r>
    </w:p>
  </w:footnote>
  <w:footnote w:id="3">
    <w:p w14:paraId="3796A693" w14:textId="77777777" w:rsidR="000808D4" w:rsidRDefault="000808D4" w:rsidP="000808D4">
      <w:pPr>
        <w:pStyle w:val="FootnoteText"/>
      </w:pPr>
      <w:r w:rsidRPr="00D731CD">
        <w:rPr>
          <w:rStyle w:val="FootnoteReference"/>
          <w:sz w:val="16"/>
          <w:szCs w:val="16"/>
        </w:rPr>
        <w:footnoteRef/>
      </w:r>
      <w:r w:rsidRPr="00D731CD">
        <w:rPr>
          <w:sz w:val="16"/>
          <w:szCs w:val="16"/>
        </w:rPr>
        <w:t xml:space="preserve"> Kamerstukken 29984</w:t>
      </w:r>
      <w:r>
        <w:rPr>
          <w:sz w:val="16"/>
          <w:szCs w:val="16"/>
        </w:rPr>
        <w:t xml:space="preserve">, nr. </w:t>
      </w:r>
      <w:r w:rsidRPr="00D731CD">
        <w:rPr>
          <w:sz w:val="16"/>
          <w:szCs w:val="16"/>
        </w:rPr>
        <w:t>1215.</w:t>
      </w:r>
    </w:p>
  </w:footnote>
  <w:footnote w:id="4">
    <w:p w14:paraId="0B09C6E7" w14:textId="77777777" w:rsidR="000808D4" w:rsidRDefault="000808D4" w:rsidP="000808D4">
      <w:r>
        <w:rPr>
          <w:rStyle w:val="FootnoteReference"/>
        </w:rPr>
        <w:footnoteRef/>
      </w:r>
      <w:r>
        <w:t xml:space="preserve"> </w:t>
      </w:r>
      <w:r w:rsidRPr="000808D4">
        <w:rPr>
          <w:sz w:val="16"/>
          <w:szCs w:val="16"/>
        </w:rPr>
        <w:t>Deze dashboards kunt u vinden op prestaties.prorail.nl en dashboards.nsjaarverslag.nl/prestaties.</w:t>
      </w:r>
      <w:r>
        <w:t xml:space="preserve"> </w:t>
      </w:r>
    </w:p>
    <w:p w14:paraId="0F83ADC4" w14:textId="11204205" w:rsidR="000808D4" w:rsidRDefault="000808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6C3A" w14:textId="77777777" w:rsidR="00D7027D" w:rsidRDefault="00D70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E9FA6" w14:textId="77777777" w:rsidR="008118AA" w:rsidRDefault="009967D2">
    <w:r>
      <w:rPr>
        <w:noProof/>
        <w:lang w:val="en-GB" w:eastAsia="en-GB"/>
      </w:rPr>
      <mc:AlternateContent>
        <mc:Choice Requires="wps">
          <w:drawing>
            <wp:anchor distT="0" distB="0" distL="0" distR="0" simplePos="0" relativeHeight="251651584" behindDoc="0" locked="1" layoutInCell="1" allowOverlap="1" wp14:anchorId="55878635" wp14:editId="4B34756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05139B7" w14:textId="77777777" w:rsidR="008118AA" w:rsidRDefault="009967D2">
                          <w:pPr>
                            <w:pStyle w:val="AfzendgegevensKop0"/>
                          </w:pPr>
                          <w:r>
                            <w:t>Ministerie van Infrastructuur en Waterstaat</w:t>
                          </w:r>
                        </w:p>
                        <w:p w14:paraId="371FDFF9" w14:textId="77777777" w:rsidR="008118AA" w:rsidRDefault="008118AA">
                          <w:pPr>
                            <w:pStyle w:val="WitregelW2"/>
                          </w:pPr>
                        </w:p>
                        <w:p w14:paraId="5CE019AA" w14:textId="77777777" w:rsidR="008118AA" w:rsidRDefault="009967D2">
                          <w:pPr>
                            <w:pStyle w:val="Referentiegegevenskop"/>
                          </w:pPr>
                          <w:r>
                            <w:t>Ons kenmerk</w:t>
                          </w:r>
                        </w:p>
                        <w:p w14:paraId="1C45702B" w14:textId="530A073E" w:rsidR="008118AA" w:rsidRDefault="002A5D08">
                          <w:pPr>
                            <w:pStyle w:val="Referentiegegevens"/>
                          </w:pPr>
                          <w:r w:rsidRPr="002A5D08">
                            <w:t>IENW/BSK-2024/368896</w:t>
                          </w:r>
                        </w:p>
                      </w:txbxContent>
                    </wps:txbx>
                    <wps:bodyPr vert="horz" wrap="square" lIns="0" tIns="0" rIns="0" bIns="0" anchor="t" anchorCtr="0"/>
                  </wps:wsp>
                </a:graphicData>
              </a:graphic>
            </wp:anchor>
          </w:drawing>
        </mc:Choice>
        <mc:Fallback>
          <w:pict>
            <v:shapetype w14:anchorId="5587863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05139B7" w14:textId="77777777" w:rsidR="008118AA" w:rsidRDefault="009967D2">
                    <w:pPr>
                      <w:pStyle w:val="AfzendgegevensKop0"/>
                    </w:pPr>
                    <w:r>
                      <w:t>Ministerie van Infrastructuur en Waterstaat</w:t>
                    </w:r>
                  </w:p>
                  <w:p w14:paraId="371FDFF9" w14:textId="77777777" w:rsidR="008118AA" w:rsidRDefault="008118AA">
                    <w:pPr>
                      <w:pStyle w:val="WitregelW2"/>
                    </w:pPr>
                  </w:p>
                  <w:p w14:paraId="5CE019AA" w14:textId="77777777" w:rsidR="008118AA" w:rsidRDefault="009967D2">
                    <w:pPr>
                      <w:pStyle w:val="Referentiegegevenskop"/>
                    </w:pPr>
                    <w:r>
                      <w:t>Ons kenmerk</w:t>
                    </w:r>
                  </w:p>
                  <w:p w14:paraId="1C45702B" w14:textId="530A073E" w:rsidR="008118AA" w:rsidRDefault="002A5D08">
                    <w:pPr>
                      <w:pStyle w:val="Referentiegegevens"/>
                    </w:pPr>
                    <w:r w:rsidRPr="002A5D08">
                      <w:t>IENW/BSK-2024/368896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68985BA" wp14:editId="54DC141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F7B68F6" w14:textId="0F7B162D" w:rsidR="008118AA" w:rsidRDefault="009967D2">
                          <w:pPr>
                            <w:pStyle w:val="Referentiegegevens"/>
                          </w:pPr>
                          <w:r>
                            <w:t xml:space="preserve">Pagina </w:t>
                          </w:r>
                          <w:r>
                            <w:fldChar w:fldCharType="begin"/>
                          </w:r>
                          <w:r>
                            <w:instrText>PAGE</w:instrText>
                          </w:r>
                          <w:r>
                            <w:fldChar w:fldCharType="separate"/>
                          </w:r>
                          <w:r w:rsidR="0084608A">
                            <w:rPr>
                              <w:noProof/>
                            </w:rPr>
                            <w:t>2</w:t>
                          </w:r>
                          <w:r>
                            <w:fldChar w:fldCharType="end"/>
                          </w:r>
                          <w:r>
                            <w:t xml:space="preserve"> van </w:t>
                          </w:r>
                          <w:r>
                            <w:fldChar w:fldCharType="begin"/>
                          </w:r>
                          <w:r>
                            <w:instrText>NUMPAGES</w:instrText>
                          </w:r>
                          <w:r>
                            <w:fldChar w:fldCharType="separate"/>
                          </w:r>
                          <w:r w:rsidR="0084608A">
                            <w:rPr>
                              <w:noProof/>
                            </w:rPr>
                            <w:t>2</w:t>
                          </w:r>
                          <w:r>
                            <w:fldChar w:fldCharType="end"/>
                          </w:r>
                        </w:p>
                      </w:txbxContent>
                    </wps:txbx>
                    <wps:bodyPr vert="horz" wrap="square" lIns="0" tIns="0" rIns="0" bIns="0" anchor="t" anchorCtr="0"/>
                  </wps:wsp>
                </a:graphicData>
              </a:graphic>
            </wp:anchor>
          </w:drawing>
        </mc:Choice>
        <mc:Fallback>
          <w:pict>
            <v:shape w14:anchorId="368985B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F7B68F6" w14:textId="0F7B162D" w:rsidR="008118AA" w:rsidRDefault="009967D2">
                    <w:pPr>
                      <w:pStyle w:val="Referentiegegevens"/>
                    </w:pPr>
                    <w:r>
                      <w:t xml:space="preserve">Pagina </w:t>
                    </w:r>
                    <w:r>
                      <w:fldChar w:fldCharType="begin"/>
                    </w:r>
                    <w:r>
                      <w:instrText>PAGE</w:instrText>
                    </w:r>
                    <w:r>
                      <w:fldChar w:fldCharType="separate"/>
                    </w:r>
                    <w:r w:rsidR="0084608A">
                      <w:rPr>
                        <w:noProof/>
                      </w:rPr>
                      <w:t>2</w:t>
                    </w:r>
                    <w:r>
                      <w:fldChar w:fldCharType="end"/>
                    </w:r>
                    <w:r>
                      <w:t xml:space="preserve"> van </w:t>
                    </w:r>
                    <w:r>
                      <w:fldChar w:fldCharType="begin"/>
                    </w:r>
                    <w:r>
                      <w:instrText>NUMPAGES</w:instrText>
                    </w:r>
                    <w:r>
                      <w:fldChar w:fldCharType="separate"/>
                    </w:r>
                    <w:r w:rsidR="0084608A">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9FAFF23" wp14:editId="4D1A9A3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7293AE0" w14:textId="77777777" w:rsidR="005371F6" w:rsidRDefault="005371F6"/>
                      </w:txbxContent>
                    </wps:txbx>
                    <wps:bodyPr vert="horz" wrap="square" lIns="0" tIns="0" rIns="0" bIns="0" anchor="t" anchorCtr="0"/>
                  </wps:wsp>
                </a:graphicData>
              </a:graphic>
            </wp:anchor>
          </w:drawing>
        </mc:Choice>
        <mc:Fallback>
          <w:pict>
            <v:shape w14:anchorId="19FAFF2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7293AE0" w14:textId="77777777" w:rsidR="005371F6" w:rsidRDefault="005371F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09AE1D0" wp14:editId="20D59406">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6435EDD" w14:textId="77777777" w:rsidR="005371F6" w:rsidRDefault="005371F6"/>
                      </w:txbxContent>
                    </wps:txbx>
                    <wps:bodyPr vert="horz" wrap="square" lIns="0" tIns="0" rIns="0" bIns="0" anchor="t" anchorCtr="0"/>
                  </wps:wsp>
                </a:graphicData>
              </a:graphic>
            </wp:anchor>
          </w:drawing>
        </mc:Choice>
        <mc:Fallback>
          <w:pict>
            <v:shape w14:anchorId="109AE1D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6435EDD" w14:textId="77777777" w:rsidR="005371F6" w:rsidRDefault="005371F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F25C5" w14:textId="77777777" w:rsidR="008118AA" w:rsidRDefault="009967D2">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C9C6B25" wp14:editId="57C7306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510B81F" w14:textId="77777777" w:rsidR="005371F6" w:rsidRDefault="005371F6"/>
                      </w:txbxContent>
                    </wps:txbx>
                    <wps:bodyPr vert="horz" wrap="square" lIns="0" tIns="0" rIns="0" bIns="0" anchor="t" anchorCtr="0"/>
                  </wps:wsp>
                </a:graphicData>
              </a:graphic>
            </wp:anchor>
          </w:drawing>
        </mc:Choice>
        <mc:Fallback>
          <w:pict>
            <v:shapetype w14:anchorId="3C9C6B2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510B81F" w14:textId="77777777" w:rsidR="005371F6" w:rsidRDefault="005371F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F99921A" wp14:editId="1186B46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F1F6D15" w14:textId="5CE07C0E" w:rsidR="008118AA" w:rsidRDefault="009967D2">
                          <w:pPr>
                            <w:pStyle w:val="Referentiegegevens"/>
                          </w:pPr>
                          <w:r>
                            <w:t xml:space="preserve">Pagina </w:t>
                          </w:r>
                          <w:r>
                            <w:fldChar w:fldCharType="begin"/>
                          </w:r>
                          <w:r>
                            <w:instrText>PAGE</w:instrText>
                          </w:r>
                          <w:r>
                            <w:fldChar w:fldCharType="separate"/>
                          </w:r>
                          <w:r w:rsidR="0084608A">
                            <w:rPr>
                              <w:noProof/>
                            </w:rPr>
                            <w:t>1</w:t>
                          </w:r>
                          <w:r>
                            <w:fldChar w:fldCharType="end"/>
                          </w:r>
                          <w:r>
                            <w:t xml:space="preserve"> van </w:t>
                          </w:r>
                          <w:r>
                            <w:fldChar w:fldCharType="begin"/>
                          </w:r>
                          <w:r>
                            <w:instrText>NUMPAGES</w:instrText>
                          </w:r>
                          <w:r>
                            <w:fldChar w:fldCharType="separate"/>
                          </w:r>
                          <w:r w:rsidR="0084608A">
                            <w:rPr>
                              <w:noProof/>
                            </w:rPr>
                            <w:t>1</w:t>
                          </w:r>
                          <w:r>
                            <w:fldChar w:fldCharType="end"/>
                          </w:r>
                        </w:p>
                      </w:txbxContent>
                    </wps:txbx>
                    <wps:bodyPr vert="horz" wrap="square" lIns="0" tIns="0" rIns="0" bIns="0" anchor="t" anchorCtr="0"/>
                  </wps:wsp>
                </a:graphicData>
              </a:graphic>
            </wp:anchor>
          </w:drawing>
        </mc:Choice>
        <mc:Fallback>
          <w:pict>
            <v:shape w14:anchorId="0F99921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F1F6D15" w14:textId="5CE07C0E" w:rsidR="008118AA" w:rsidRDefault="009967D2">
                    <w:pPr>
                      <w:pStyle w:val="Referentiegegevens"/>
                    </w:pPr>
                    <w:r>
                      <w:t xml:space="preserve">Pagina </w:t>
                    </w:r>
                    <w:r>
                      <w:fldChar w:fldCharType="begin"/>
                    </w:r>
                    <w:r>
                      <w:instrText>PAGE</w:instrText>
                    </w:r>
                    <w:r>
                      <w:fldChar w:fldCharType="separate"/>
                    </w:r>
                    <w:r w:rsidR="0084608A">
                      <w:rPr>
                        <w:noProof/>
                      </w:rPr>
                      <w:t>1</w:t>
                    </w:r>
                    <w:r>
                      <w:fldChar w:fldCharType="end"/>
                    </w:r>
                    <w:r>
                      <w:t xml:space="preserve"> van </w:t>
                    </w:r>
                    <w:r>
                      <w:fldChar w:fldCharType="begin"/>
                    </w:r>
                    <w:r>
                      <w:instrText>NUMPAGES</w:instrText>
                    </w:r>
                    <w:r>
                      <w:fldChar w:fldCharType="separate"/>
                    </w:r>
                    <w:r w:rsidR="0084608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7C2CB45" wp14:editId="06FD14B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4C032D8" w14:textId="77777777" w:rsidR="008118AA" w:rsidRDefault="009967D2">
                          <w:pPr>
                            <w:pStyle w:val="AfzendgegevensKop0"/>
                          </w:pPr>
                          <w:r>
                            <w:t>Ministerie van Infrastructuur en Waterstaat</w:t>
                          </w:r>
                        </w:p>
                        <w:p w14:paraId="0C6B6C94" w14:textId="77777777" w:rsidR="008118AA" w:rsidRDefault="008118AA">
                          <w:pPr>
                            <w:pStyle w:val="WitregelW1"/>
                          </w:pPr>
                        </w:p>
                        <w:p w14:paraId="103110A8" w14:textId="77777777" w:rsidR="008118AA" w:rsidRDefault="009967D2">
                          <w:pPr>
                            <w:pStyle w:val="Afzendgegevens"/>
                          </w:pPr>
                          <w:r>
                            <w:t>Rijnstraat 8</w:t>
                          </w:r>
                        </w:p>
                        <w:p w14:paraId="4558BAEC" w14:textId="77777777" w:rsidR="008118AA" w:rsidRPr="00200C31" w:rsidRDefault="009967D2">
                          <w:pPr>
                            <w:pStyle w:val="Afzendgegevens"/>
                            <w:rPr>
                              <w:lang w:val="de-DE"/>
                            </w:rPr>
                          </w:pPr>
                          <w:r w:rsidRPr="00200C31">
                            <w:rPr>
                              <w:lang w:val="de-DE"/>
                            </w:rPr>
                            <w:t>2515 XP  Den Haag</w:t>
                          </w:r>
                        </w:p>
                        <w:p w14:paraId="7807CAEB" w14:textId="77777777" w:rsidR="008118AA" w:rsidRPr="00200C31" w:rsidRDefault="009967D2">
                          <w:pPr>
                            <w:pStyle w:val="Afzendgegevens"/>
                            <w:rPr>
                              <w:lang w:val="de-DE"/>
                            </w:rPr>
                          </w:pPr>
                          <w:r w:rsidRPr="00200C31">
                            <w:rPr>
                              <w:lang w:val="de-DE"/>
                            </w:rPr>
                            <w:t>Postbus 20901</w:t>
                          </w:r>
                        </w:p>
                        <w:p w14:paraId="5E009BBF" w14:textId="77777777" w:rsidR="008118AA" w:rsidRPr="00200C31" w:rsidRDefault="009967D2">
                          <w:pPr>
                            <w:pStyle w:val="Afzendgegevens"/>
                            <w:rPr>
                              <w:lang w:val="de-DE"/>
                            </w:rPr>
                          </w:pPr>
                          <w:r w:rsidRPr="00200C31">
                            <w:rPr>
                              <w:lang w:val="de-DE"/>
                            </w:rPr>
                            <w:t>2500 EX Den Haag</w:t>
                          </w:r>
                        </w:p>
                        <w:p w14:paraId="5863CA53" w14:textId="77777777" w:rsidR="008118AA" w:rsidRPr="00200C31" w:rsidRDefault="008118AA">
                          <w:pPr>
                            <w:pStyle w:val="WitregelW1"/>
                            <w:rPr>
                              <w:lang w:val="de-DE"/>
                            </w:rPr>
                          </w:pPr>
                        </w:p>
                        <w:p w14:paraId="0755A720" w14:textId="77777777" w:rsidR="008118AA" w:rsidRPr="00200C31" w:rsidRDefault="009967D2">
                          <w:pPr>
                            <w:pStyle w:val="Afzendgegevens"/>
                            <w:rPr>
                              <w:lang w:val="de-DE"/>
                            </w:rPr>
                          </w:pPr>
                          <w:r w:rsidRPr="00200C31">
                            <w:rPr>
                              <w:lang w:val="de-DE"/>
                            </w:rPr>
                            <w:t>T   070-456 0000</w:t>
                          </w:r>
                        </w:p>
                        <w:p w14:paraId="7BF92959" w14:textId="77777777" w:rsidR="008118AA" w:rsidRDefault="009967D2">
                          <w:pPr>
                            <w:pStyle w:val="Afzendgegevens"/>
                          </w:pPr>
                          <w:r>
                            <w:t>F   070-456 1111</w:t>
                          </w:r>
                        </w:p>
                        <w:p w14:paraId="20B43A6A" w14:textId="77777777" w:rsidR="008118AA" w:rsidRDefault="008118AA">
                          <w:pPr>
                            <w:pStyle w:val="WitregelW2"/>
                          </w:pPr>
                        </w:p>
                        <w:p w14:paraId="3D31AA62" w14:textId="77777777" w:rsidR="008118AA" w:rsidRDefault="009967D2">
                          <w:pPr>
                            <w:pStyle w:val="Referentiegegevenskop"/>
                          </w:pPr>
                          <w:r>
                            <w:t>Ons kenmerk</w:t>
                          </w:r>
                        </w:p>
                        <w:p w14:paraId="35623C15" w14:textId="6E9BC34C" w:rsidR="008118AA" w:rsidRDefault="004A4FBD">
                          <w:pPr>
                            <w:pStyle w:val="Referentiegegevens"/>
                          </w:pPr>
                          <w:r w:rsidRPr="004A4FBD">
                            <w:t>IENW/BSK-2024/368896</w:t>
                          </w:r>
                        </w:p>
                        <w:p w14:paraId="4F29C8CD" w14:textId="77777777" w:rsidR="009B446E" w:rsidRDefault="009B446E" w:rsidP="009B446E"/>
                        <w:p w14:paraId="156D0D33" w14:textId="470B293F" w:rsidR="009B446E" w:rsidRDefault="009B446E" w:rsidP="009B446E">
                          <w:pPr>
                            <w:pStyle w:val="Referentiegegevenskop"/>
                          </w:pPr>
                          <w:r>
                            <w:t>Bijlage(n)</w:t>
                          </w:r>
                        </w:p>
                        <w:p w14:paraId="2C92C3C4" w14:textId="47772B7B" w:rsidR="009B446E" w:rsidRPr="009B446E" w:rsidRDefault="009B446E" w:rsidP="009B446E">
                          <w:pPr>
                            <w:pStyle w:val="Referentiegegevens"/>
                          </w:pPr>
                          <w:r>
                            <w:t>1</w:t>
                          </w:r>
                        </w:p>
                      </w:txbxContent>
                    </wps:txbx>
                    <wps:bodyPr vert="horz" wrap="square" lIns="0" tIns="0" rIns="0" bIns="0" anchor="t" anchorCtr="0"/>
                  </wps:wsp>
                </a:graphicData>
              </a:graphic>
            </wp:anchor>
          </w:drawing>
        </mc:Choice>
        <mc:Fallback>
          <w:pict>
            <v:shape w14:anchorId="77C2CB4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4C032D8" w14:textId="77777777" w:rsidR="008118AA" w:rsidRDefault="009967D2">
                    <w:pPr>
                      <w:pStyle w:val="AfzendgegevensKop0"/>
                    </w:pPr>
                    <w:r>
                      <w:t>Ministerie van Infrastructuur en Waterstaat</w:t>
                    </w:r>
                  </w:p>
                  <w:p w14:paraId="0C6B6C94" w14:textId="77777777" w:rsidR="008118AA" w:rsidRDefault="008118AA">
                    <w:pPr>
                      <w:pStyle w:val="WitregelW1"/>
                    </w:pPr>
                  </w:p>
                  <w:p w14:paraId="103110A8" w14:textId="77777777" w:rsidR="008118AA" w:rsidRDefault="009967D2">
                    <w:pPr>
                      <w:pStyle w:val="Afzendgegevens"/>
                    </w:pPr>
                    <w:r>
                      <w:t>Rijnstraat 8</w:t>
                    </w:r>
                  </w:p>
                  <w:p w14:paraId="4558BAEC" w14:textId="77777777" w:rsidR="008118AA" w:rsidRPr="00200C31" w:rsidRDefault="009967D2">
                    <w:pPr>
                      <w:pStyle w:val="Afzendgegevens"/>
                      <w:rPr>
                        <w:lang w:val="de-DE"/>
                      </w:rPr>
                    </w:pPr>
                    <w:r w:rsidRPr="00200C31">
                      <w:rPr>
                        <w:lang w:val="de-DE"/>
                      </w:rPr>
                      <w:t>2515 XP  Den Haag</w:t>
                    </w:r>
                  </w:p>
                  <w:p w14:paraId="7807CAEB" w14:textId="77777777" w:rsidR="008118AA" w:rsidRPr="00200C31" w:rsidRDefault="009967D2">
                    <w:pPr>
                      <w:pStyle w:val="Afzendgegevens"/>
                      <w:rPr>
                        <w:lang w:val="de-DE"/>
                      </w:rPr>
                    </w:pPr>
                    <w:r w:rsidRPr="00200C31">
                      <w:rPr>
                        <w:lang w:val="de-DE"/>
                      </w:rPr>
                      <w:t>Postbus 20901</w:t>
                    </w:r>
                  </w:p>
                  <w:p w14:paraId="5E009BBF" w14:textId="77777777" w:rsidR="008118AA" w:rsidRPr="00200C31" w:rsidRDefault="009967D2">
                    <w:pPr>
                      <w:pStyle w:val="Afzendgegevens"/>
                      <w:rPr>
                        <w:lang w:val="de-DE"/>
                      </w:rPr>
                    </w:pPr>
                    <w:r w:rsidRPr="00200C31">
                      <w:rPr>
                        <w:lang w:val="de-DE"/>
                      </w:rPr>
                      <w:t>2500 EX Den Haag</w:t>
                    </w:r>
                  </w:p>
                  <w:p w14:paraId="5863CA53" w14:textId="77777777" w:rsidR="008118AA" w:rsidRPr="00200C31" w:rsidRDefault="008118AA">
                    <w:pPr>
                      <w:pStyle w:val="WitregelW1"/>
                      <w:rPr>
                        <w:lang w:val="de-DE"/>
                      </w:rPr>
                    </w:pPr>
                  </w:p>
                  <w:p w14:paraId="0755A720" w14:textId="77777777" w:rsidR="008118AA" w:rsidRPr="00200C31" w:rsidRDefault="009967D2">
                    <w:pPr>
                      <w:pStyle w:val="Afzendgegevens"/>
                      <w:rPr>
                        <w:lang w:val="de-DE"/>
                      </w:rPr>
                    </w:pPr>
                    <w:r w:rsidRPr="00200C31">
                      <w:rPr>
                        <w:lang w:val="de-DE"/>
                      </w:rPr>
                      <w:t>T   070-456 0000</w:t>
                    </w:r>
                  </w:p>
                  <w:p w14:paraId="7BF92959" w14:textId="77777777" w:rsidR="008118AA" w:rsidRDefault="009967D2">
                    <w:pPr>
                      <w:pStyle w:val="Afzendgegevens"/>
                    </w:pPr>
                    <w:r>
                      <w:t>F   070-456 1111</w:t>
                    </w:r>
                  </w:p>
                  <w:p w14:paraId="20B43A6A" w14:textId="77777777" w:rsidR="008118AA" w:rsidRDefault="008118AA">
                    <w:pPr>
                      <w:pStyle w:val="WitregelW2"/>
                    </w:pPr>
                  </w:p>
                  <w:p w14:paraId="3D31AA62" w14:textId="77777777" w:rsidR="008118AA" w:rsidRDefault="009967D2">
                    <w:pPr>
                      <w:pStyle w:val="Referentiegegevenskop"/>
                    </w:pPr>
                    <w:r>
                      <w:t>Ons kenmerk</w:t>
                    </w:r>
                  </w:p>
                  <w:p w14:paraId="35623C15" w14:textId="6E9BC34C" w:rsidR="008118AA" w:rsidRDefault="004A4FBD">
                    <w:pPr>
                      <w:pStyle w:val="Referentiegegevens"/>
                    </w:pPr>
                    <w:r w:rsidRPr="004A4FBD">
                      <w:t>IENW/BSK-2024/368896</w:t>
                    </w:r>
                  </w:p>
                  <w:p w14:paraId="4F29C8CD" w14:textId="77777777" w:rsidR="009B446E" w:rsidRDefault="009B446E" w:rsidP="009B446E"/>
                  <w:p w14:paraId="156D0D33" w14:textId="470B293F" w:rsidR="009B446E" w:rsidRDefault="009B446E" w:rsidP="009B446E">
                    <w:pPr>
                      <w:pStyle w:val="Referentiegegevenskop"/>
                    </w:pPr>
                    <w:r>
                      <w:t>Bijlage(n)</w:t>
                    </w:r>
                  </w:p>
                  <w:p w14:paraId="2C92C3C4" w14:textId="47772B7B" w:rsidR="009B446E" w:rsidRPr="009B446E" w:rsidRDefault="009B446E" w:rsidP="009B446E">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60FC99B" wp14:editId="16B60A1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1A06A04" w14:textId="77777777" w:rsidR="008118AA" w:rsidRDefault="009967D2">
                          <w:pPr>
                            <w:spacing w:line="240" w:lineRule="auto"/>
                          </w:pPr>
                          <w:r>
                            <w:rPr>
                              <w:noProof/>
                              <w:lang w:val="en-GB" w:eastAsia="en-GB"/>
                            </w:rPr>
                            <w:drawing>
                              <wp:inline distT="0" distB="0" distL="0" distR="0" wp14:anchorId="70926852" wp14:editId="3BB8F55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0FC99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1A06A04" w14:textId="77777777" w:rsidR="008118AA" w:rsidRDefault="009967D2">
                    <w:pPr>
                      <w:spacing w:line="240" w:lineRule="auto"/>
                    </w:pPr>
                    <w:r>
                      <w:rPr>
                        <w:noProof/>
                        <w:lang w:val="en-GB" w:eastAsia="en-GB"/>
                      </w:rPr>
                      <w:drawing>
                        <wp:inline distT="0" distB="0" distL="0" distR="0" wp14:anchorId="70926852" wp14:editId="3BB8F55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0ADD278" wp14:editId="077035B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C1E64F" w14:textId="77777777" w:rsidR="008118AA" w:rsidRDefault="009967D2">
                          <w:pPr>
                            <w:spacing w:line="240" w:lineRule="auto"/>
                          </w:pPr>
                          <w:r>
                            <w:rPr>
                              <w:noProof/>
                              <w:lang w:val="en-GB" w:eastAsia="en-GB"/>
                            </w:rPr>
                            <w:drawing>
                              <wp:inline distT="0" distB="0" distL="0" distR="0" wp14:anchorId="41AA006C" wp14:editId="31DF10F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ADD27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1C1E64F" w14:textId="77777777" w:rsidR="008118AA" w:rsidRDefault="009967D2">
                    <w:pPr>
                      <w:spacing w:line="240" w:lineRule="auto"/>
                    </w:pPr>
                    <w:r>
                      <w:rPr>
                        <w:noProof/>
                        <w:lang w:val="en-GB" w:eastAsia="en-GB"/>
                      </w:rPr>
                      <w:drawing>
                        <wp:inline distT="0" distB="0" distL="0" distR="0" wp14:anchorId="41AA006C" wp14:editId="31DF10F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6C87095" wp14:editId="0294078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F887BC3" w14:textId="77777777" w:rsidR="008118AA" w:rsidRDefault="009967D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6C8709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F887BC3" w14:textId="77777777" w:rsidR="008118AA" w:rsidRDefault="009967D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3F29D25" wp14:editId="0D833DA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33DF482" w14:textId="77777777" w:rsidR="008118AA" w:rsidRDefault="009967D2">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3F29D2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33DF482" w14:textId="77777777" w:rsidR="008118AA" w:rsidRDefault="009967D2">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EE11CC0" wp14:editId="1D18F4B1">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118AA" w14:paraId="68BB10BA" w14:textId="77777777">
                            <w:trPr>
                              <w:trHeight w:val="200"/>
                            </w:trPr>
                            <w:tc>
                              <w:tcPr>
                                <w:tcW w:w="1140" w:type="dxa"/>
                              </w:tcPr>
                              <w:p w14:paraId="6731F2FA" w14:textId="77777777" w:rsidR="008118AA" w:rsidRDefault="008118AA"/>
                            </w:tc>
                            <w:tc>
                              <w:tcPr>
                                <w:tcW w:w="5400" w:type="dxa"/>
                              </w:tcPr>
                              <w:p w14:paraId="02433E56" w14:textId="77777777" w:rsidR="008118AA" w:rsidRDefault="008118AA"/>
                            </w:tc>
                          </w:tr>
                          <w:tr w:rsidR="008118AA" w14:paraId="4FACE30C" w14:textId="77777777">
                            <w:trPr>
                              <w:trHeight w:val="240"/>
                            </w:trPr>
                            <w:tc>
                              <w:tcPr>
                                <w:tcW w:w="1140" w:type="dxa"/>
                              </w:tcPr>
                              <w:p w14:paraId="6B7DA535" w14:textId="77777777" w:rsidR="008118AA" w:rsidRDefault="009967D2">
                                <w:r>
                                  <w:t>Datum</w:t>
                                </w:r>
                              </w:p>
                            </w:tc>
                            <w:tc>
                              <w:tcPr>
                                <w:tcW w:w="5400" w:type="dxa"/>
                              </w:tcPr>
                              <w:p w14:paraId="4E37D9D7" w14:textId="03B904F1" w:rsidR="008118AA" w:rsidRDefault="00BC4452">
                                <w:r>
                                  <w:t>20 december 2024</w:t>
                                </w:r>
                              </w:p>
                            </w:tc>
                          </w:tr>
                          <w:tr w:rsidR="008118AA" w14:paraId="7EF083C8" w14:textId="77777777">
                            <w:trPr>
                              <w:trHeight w:val="240"/>
                            </w:trPr>
                            <w:tc>
                              <w:tcPr>
                                <w:tcW w:w="1140" w:type="dxa"/>
                              </w:tcPr>
                              <w:p w14:paraId="368F2A50" w14:textId="77777777" w:rsidR="008118AA" w:rsidRDefault="009967D2">
                                <w:r>
                                  <w:t>Betreft</w:t>
                                </w:r>
                              </w:p>
                            </w:tc>
                            <w:tc>
                              <w:tcPr>
                                <w:tcW w:w="5400" w:type="dxa"/>
                              </w:tcPr>
                              <w:p w14:paraId="2D570892" w14:textId="77777777" w:rsidR="008118AA" w:rsidRDefault="009967D2">
                                <w:r>
                                  <w:t>Prestaties ProRail en NS</w:t>
                                </w:r>
                              </w:p>
                            </w:tc>
                          </w:tr>
                          <w:tr w:rsidR="008118AA" w14:paraId="42E00DCB" w14:textId="77777777">
                            <w:trPr>
                              <w:trHeight w:val="200"/>
                            </w:trPr>
                            <w:tc>
                              <w:tcPr>
                                <w:tcW w:w="1140" w:type="dxa"/>
                              </w:tcPr>
                              <w:p w14:paraId="6BFC7914" w14:textId="77777777" w:rsidR="008118AA" w:rsidRDefault="008118AA"/>
                            </w:tc>
                            <w:tc>
                              <w:tcPr>
                                <w:tcW w:w="5400" w:type="dxa"/>
                              </w:tcPr>
                              <w:p w14:paraId="4FBDE3FC" w14:textId="77777777" w:rsidR="008118AA" w:rsidRDefault="008118AA"/>
                            </w:tc>
                          </w:tr>
                        </w:tbl>
                        <w:p w14:paraId="287DF705" w14:textId="77777777" w:rsidR="005371F6" w:rsidRDefault="005371F6"/>
                      </w:txbxContent>
                    </wps:txbx>
                    <wps:bodyPr vert="horz" wrap="square" lIns="0" tIns="0" rIns="0" bIns="0" anchor="t" anchorCtr="0"/>
                  </wps:wsp>
                </a:graphicData>
              </a:graphic>
            </wp:anchor>
          </w:drawing>
        </mc:Choice>
        <mc:Fallback>
          <w:pict>
            <v:shape w14:anchorId="7EE11CC0"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118AA" w14:paraId="68BB10BA" w14:textId="77777777">
                      <w:trPr>
                        <w:trHeight w:val="200"/>
                      </w:trPr>
                      <w:tc>
                        <w:tcPr>
                          <w:tcW w:w="1140" w:type="dxa"/>
                        </w:tcPr>
                        <w:p w14:paraId="6731F2FA" w14:textId="77777777" w:rsidR="008118AA" w:rsidRDefault="008118AA"/>
                      </w:tc>
                      <w:tc>
                        <w:tcPr>
                          <w:tcW w:w="5400" w:type="dxa"/>
                        </w:tcPr>
                        <w:p w14:paraId="02433E56" w14:textId="77777777" w:rsidR="008118AA" w:rsidRDefault="008118AA"/>
                      </w:tc>
                    </w:tr>
                    <w:tr w:rsidR="008118AA" w14:paraId="4FACE30C" w14:textId="77777777">
                      <w:trPr>
                        <w:trHeight w:val="240"/>
                      </w:trPr>
                      <w:tc>
                        <w:tcPr>
                          <w:tcW w:w="1140" w:type="dxa"/>
                        </w:tcPr>
                        <w:p w14:paraId="6B7DA535" w14:textId="77777777" w:rsidR="008118AA" w:rsidRDefault="009967D2">
                          <w:r>
                            <w:t>Datum</w:t>
                          </w:r>
                        </w:p>
                      </w:tc>
                      <w:tc>
                        <w:tcPr>
                          <w:tcW w:w="5400" w:type="dxa"/>
                        </w:tcPr>
                        <w:p w14:paraId="4E37D9D7" w14:textId="03B904F1" w:rsidR="008118AA" w:rsidRDefault="00BC4452">
                          <w:r>
                            <w:t>20 december 2024</w:t>
                          </w:r>
                        </w:p>
                      </w:tc>
                    </w:tr>
                    <w:tr w:rsidR="008118AA" w14:paraId="7EF083C8" w14:textId="77777777">
                      <w:trPr>
                        <w:trHeight w:val="240"/>
                      </w:trPr>
                      <w:tc>
                        <w:tcPr>
                          <w:tcW w:w="1140" w:type="dxa"/>
                        </w:tcPr>
                        <w:p w14:paraId="368F2A50" w14:textId="77777777" w:rsidR="008118AA" w:rsidRDefault="009967D2">
                          <w:r>
                            <w:t>Betreft</w:t>
                          </w:r>
                        </w:p>
                      </w:tc>
                      <w:tc>
                        <w:tcPr>
                          <w:tcW w:w="5400" w:type="dxa"/>
                        </w:tcPr>
                        <w:p w14:paraId="2D570892" w14:textId="77777777" w:rsidR="008118AA" w:rsidRDefault="009967D2">
                          <w:r>
                            <w:t>Prestaties ProRail en NS</w:t>
                          </w:r>
                        </w:p>
                      </w:tc>
                    </w:tr>
                    <w:tr w:rsidR="008118AA" w14:paraId="42E00DCB" w14:textId="77777777">
                      <w:trPr>
                        <w:trHeight w:val="200"/>
                      </w:trPr>
                      <w:tc>
                        <w:tcPr>
                          <w:tcW w:w="1140" w:type="dxa"/>
                        </w:tcPr>
                        <w:p w14:paraId="6BFC7914" w14:textId="77777777" w:rsidR="008118AA" w:rsidRDefault="008118AA"/>
                      </w:tc>
                      <w:tc>
                        <w:tcPr>
                          <w:tcW w:w="5400" w:type="dxa"/>
                        </w:tcPr>
                        <w:p w14:paraId="4FBDE3FC" w14:textId="77777777" w:rsidR="008118AA" w:rsidRDefault="008118AA"/>
                      </w:tc>
                    </w:tr>
                  </w:tbl>
                  <w:p w14:paraId="287DF705" w14:textId="77777777" w:rsidR="005371F6" w:rsidRDefault="005371F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16FDAA1" wp14:editId="1B23326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3D867B2" w14:textId="77777777" w:rsidR="005371F6" w:rsidRDefault="005371F6"/>
                      </w:txbxContent>
                    </wps:txbx>
                    <wps:bodyPr vert="horz" wrap="square" lIns="0" tIns="0" rIns="0" bIns="0" anchor="t" anchorCtr="0"/>
                  </wps:wsp>
                </a:graphicData>
              </a:graphic>
            </wp:anchor>
          </w:drawing>
        </mc:Choice>
        <mc:Fallback>
          <w:pict>
            <v:shape w14:anchorId="616FDAA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3D867B2" w14:textId="77777777" w:rsidR="005371F6" w:rsidRDefault="005371F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5FB0EF"/>
    <w:multiLevelType w:val="multilevel"/>
    <w:tmpl w:val="FE03247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B87DFB"/>
    <w:multiLevelType w:val="multilevel"/>
    <w:tmpl w:val="5AF744A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7D0B117"/>
    <w:multiLevelType w:val="multilevel"/>
    <w:tmpl w:val="B8B0E64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840D55D"/>
    <w:multiLevelType w:val="multilevel"/>
    <w:tmpl w:val="B523A4F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42E112E"/>
    <w:multiLevelType w:val="multilevel"/>
    <w:tmpl w:val="DC0F796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D515DCD"/>
    <w:multiLevelType w:val="multilevel"/>
    <w:tmpl w:val="598708F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2F841E1"/>
    <w:multiLevelType w:val="multilevel"/>
    <w:tmpl w:val="E6757AC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8EE6F50"/>
    <w:multiLevelType w:val="multilevel"/>
    <w:tmpl w:val="A79E278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C2E2B7D"/>
    <w:multiLevelType w:val="multilevel"/>
    <w:tmpl w:val="1C92F8B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D2D62EC"/>
    <w:multiLevelType w:val="multilevel"/>
    <w:tmpl w:val="874E2F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FFBCD97"/>
    <w:multiLevelType w:val="multilevel"/>
    <w:tmpl w:val="DE6ADDA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222D33C"/>
    <w:multiLevelType w:val="multilevel"/>
    <w:tmpl w:val="EBFECDC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3DBF6FD"/>
    <w:multiLevelType w:val="multilevel"/>
    <w:tmpl w:val="8BF8776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49753EC"/>
    <w:multiLevelType w:val="multilevel"/>
    <w:tmpl w:val="610B135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BD42DE2"/>
    <w:multiLevelType w:val="multilevel"/>
    <w:tmpl w:val="127FA48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FD8DB1"/>
    <w:multiLevelType w:val="multilevel"/>
    <w:tmpl w:val="F20531B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1C66A6"/>
    <w:multiLevelType w:val="multilevel"/>
    <w:tmpl w:val="1BCEFA1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FD4373"/>
    <w:multiLevelType w:val="multilevel"/>
    <w:tmpl w:val="DDB7690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AA28F3"/>
    <w:multiLevelType w:val="multilevel"/>
    <w:tmpl w:val="3B9063D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EB5448"/>
    <w:multiLevelType w:val="multilevel"/>
    <w:tmpl w:val="249005D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C216DA"/>
    <w:multiLevelType w:val="multilevel"/>
    <w:tmpl w:val="992B27E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DD340F"/>
    <w:multiLevelType w:val="multilevel"/>
    <w:tmpl w:val="DBA0881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5D7021F3"/>
    <w:multiLevelType w:val="multilevel"/>
    <w:tmpl w:val="9F8EF16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3"/>
  </w:num>
  <w:num w:numId="4">
    <w:abstractNumId w:val="18"/>
  </w:num>
  <w:num w:numId="5">
    <w:abstractNumId w:val="1"/>
  </w:num>
  <w:num w:numId="6">
    <w:abstractNumId w:val="7"/>
  </w:num>
  <w:num w:numId="7">
    <w:abstractNumId w:val="19"/>
  </w:num>
  <w:num w:numId="8">
    <w:abstractNumId w:val="2"/>
  </w:num>
  <w:num w:numId="9">
    <w:abstractNumId w:val="4"/>
  </w:num>
  <w:num w:numId="10">
    <w:abstractNumId w:val="12"/>
  </w:num>
  <w:num w:numId="11">
    <w:abstractNumId w:val="6"/>
  </w:num>
  <w:num w:numId="12">
    <w:abstractNumId w:val="21"/>
  </w:num>
  <w:num w:numId="13">
    <w:abstractNumId w:val="8"/>
  </w:num>
  <w:num w:numId="14">
    <w:abstractNumId w:val="10"/>
  </w:num>
  <w:num w:numId="15">
    <w:abstractNumId w:val="20"/>
  </w:num>
  <w:num w:numId="16">
    <w:abstractNumId w:val="16"/>
  </w:num>
  <w:num w:numId="17">
    <w:abstractNumId w:val="14"/>
  </w:num>
  <w:num w:numId="18">
    <w:abstractNumId w:val="9"/>
  </w:num>
  <w:num w:numId="19">
    <w:abstractNumId w:val="15"/>
  </w:num>
  <w:num w:numId="20">
    <w:abstractNumId w:val="22"/>
  </w:num>
  <w:num w:numId="21">
    <w:abstractNumId w:val="17"/>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31"/>
    <w:rsid w:val="000808D4"/>
    <w:rsid w:val="000C2A96"/>
    <w:rsid w:val="001026B8"/>
    <w:rsid w:val="00200C31"/>
    <w:rsid w:val="0021138E"/>
    <w:rsid w:val="00263C80"/>
    <w:rsid w:val="00294E00"/>
    <w:rsid w:val="002A07C3"/>
    <w:rsid w:val="002A5D08"/>
    <w:rsid w:val="002C3FB4"/>
    <w:rsid w:val="00321A90"/>
    <w:rsid w:val="00354F23"/>
    <w:rsid w:val="004A4FBD"/>
    <w:rsid w:val="004B31DE"/>
    <w:rsid w:val="005371F6"/>
    <w:rsid w:val="006049A9"/>
    <w:rsid w:val="00643AB4"/>
    <w:rsid w:val="0067561A"/>
    <w:rsid w:val="006D36C7"/>
    <w:rsid w:val="006D3849"/>
    <w:rsid w:val="006D58A3"/>
    <w:rsid w:val="008118AA"/>
    <w:rsid w:val="0084608A"/>
    <w:rsid w:val="00891F75"/>
    <w:rsid w:val="008B5814"/>
    <w:rsid w:val="008D372A"/>
    <w:rsid w:val="0095101C"/>
    <w:rsid w:val="009967D2"/>
    <w:rsid w:val="009B446E"/>
    <w:rsid w:val="00A068C7"/>
    <w:rsid w:val="00A76735"/>
    <w:rsid w:val="00A83E84"/>
    <w:rsid w:val="00A97303"/>
    <w:rsid w:val="00B00AFB"/>
    <w:rsid w:val="00BB7FF6"/>
    <w:rsid w:val="00BC4452"/>
    <w:rsid w:val="00BE01C3"/>
    <w:rsid w:val="00C27FE9"/>
    <w:rsid w:val="00CB3289"/>
    <w:rsid w:val="00D44169"/>
    <w:rsid w:val="00D7027D"/>
    <w:rsid w:val="00D731CD"/>
    <w:rsid w:val="00DE6AD9"/>
    <w:rsid w:val="00EA65BE"/>
    <w:rsid w:val="00F466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4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00C31"/>
    <w:pPr>
      <w:tabs>
        <w:tab w:val="center" w:pos="4536"/>
        <w:tab w:val="right" w:pos="9072"/>
      </w:tabs>
      <w:spacing w:line="240" w:lineRule="auto"/>
    </w:pPr>
  </w:style>
  <w:style w:type="character" w:customStyle="1" w:styleId="HeaderChar">
    <w:name w:val="Header Char"/>
    <w:basedOn w:val="DefaultParagraphFont"/>
    <w:link w:val="Header"/>
    <w:uiPriority w:val="99"/>
    <w:rsid w:val="00200C31"/>
    <w:rPr>
      <w:rFonts w:ascii="Verdana" w:hAnsi="Verdana"/>
      <w:color w:val="000000"/>
      <w:sz w:val="18"/>
      <w:szCs w:val="18"/>
    </w:rPr>
  </w:style>
  <w:style w:type="paragraph" w:styleId="Footer">
    <w:name w:val="footer"/>
    <w:basedOn w:val="Normal"/>
    <w:link w:val="FooterChar"/>
    <w:uiPriority w:val="99"/>
    <w:unhideWhenUsed/>
    <w:rsid w:val="00200C31"/>
    <w:pPr>
      <w:tabs>
        <w:tab w:val="center" w:pos="4536"/>
        <w:tab w:val="right" w:pos="9072"/>
      </w:tabs>
      <w:spacing w:line="240" w:lineRule="auto"/>
    </w:pPr>
  </w:style>
  <w:style w:type="character" w:customStyle="1" w:styleId="FooterChar">
    <w:name w:val="Footer Char"/>
    <w:basedOn w:val="DefaultParagraphFont"/>
    <w:link w:val="Footer"/>
    <w:uiPriority w:val="99"/>
    <w:rsid w:val="00200C31"/>
    <w:rPr>
      <w:rFonts w:ascii="Verdana" w:hAnsi="Verdana"/>
      <w:color w:val="000000"/>
      <w:sz w:val="18"/>
      <w:szCs w:val="18"/>
    </w:rPr>
  </w:style>
  <w:style w:type="paragraph" w:styleId="FootnoteText">
    <w:name w:val="footnote text"/>
    <w:basedOn w:val="Normal"/>
    <w:link w:val="FootnoteTextChar"/>
    <w:uiPriority w:val="99"/>
    <w:semiHidden/>
    <w:unhideWhenUsed/>
    <w:rsid w:val="004A4FBD"/>
    <w:pPr>
      <w:spacing w:line="240" w:lineRule="auto"/>
    </w:pPr>
    <w:rPr>
      <w:sz w:val="20"/>
      <w:szCs w:val="20"/>
    </w:rPr>
  </w:style>
  <w:style w:type="character" w:customStyle="1" w:styleId="FootnoteTextChar">
    <w:name w:val="Footnote Text Char"/>
    <w:basedOn w:val="DefaultParagraphFont"/>
    <w:link w:val="FootnoteText"/>
    <w:uiPriority w:val="99"/>
    <w:semiHidden/>
    <w:rsid w:val="004A4FBD"/>
    <w:rPr>
      <w:rFonts w:ascii="Verdana" w:hAnsi="Verdana"/>
      <w:color w:val="000000"/>
    </w:rPr>
  </w:style>
  <w:style w:type="character" w:styleId="FootnoteReference">
    <w:name w:val="footnote reference"/>
    <w:basedOn w:val="DefaultParagraphFont"/>
    <w:uiPriority w:val="99"/>
    <w:semiHidden/>
    <w:unhideWhenUsed/>
    <w:rsid w:val="004A4FBD"/>
    <w:rPr>
      <w:vertAlign w:val="superscript"/>
    </w:rPr>
  </w:style>
  <w:style w:type="table" w:styleId="TableGrid">
    <w:name w:val="Table Grid"/>
    <w:basedOn w:val="TableNormal"/>
    <w:uiPriority w:val="39"/>
    <w:rsid w:val="004A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01C3"/>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2A07C3"/>
    <w:rPr>
      <w:sz w:val="16"/>
      <w:szCs w:val="16"/>
    </w:rPr>
  </w:style>
  <w:style w:type="paragraph" w:styleId="CommentText">
    <w:name w:val="annotation text"/>
    <w:basedOn w:val="Normal"/>
    <w:link w:val="CommentTextChar"/>
    <w:uiPriority w:val="99"/>
    <w:unhideWhenUsed/>
    <w:rsid w:val="002A07C3"/>
    <w:pPr>
      <w:spacing w:line="240" w:lineRule="auto"/>
    </w:pPr>
    <w:rPr>
      <w:sz w:val="20"/>
      <w:szCs w:val="20"/>
    </w:rPr>
  </w:style>
  <w:style w:type="character" w:customStyle="1" w:styleId="CommentTextChar">
    <w:name w:val="Comment Text Char"/>
    <w:basedOn w:val="DefaultParagraphFont"/>
    <w:link w:val="CommentText"/>
    <w:uiPriority w:val="99"/>
    <w:rsid w:val="002A07C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A07C3"/>
    <w:rPr>
      <w:b/>
      <w:bCs/>
    </w:rPr>
  </w:style>
  <w:style w:type="character" w:customStyle="1" w:styleId="CommentSubjectChar">
    <w:name w:val="Comment Subject Char"/>
    <w:basedOn w:val="CommentTextChar"/>
    <w:link w:val="CommentSubject"/>
    <w:uiPriority w:val="99"/>
    <w:semiHidden/>
    <w:rsid w:val="002A07C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30658">
      <w:bodyDiv w:val="1"/>
      <w:marLeft w:val="0"/>
      <w:marRight w:val="0"/>
      <w:marTop w:val="0"/>
      <w:marBottom w:val="0"/>
      <w:divBdr>
        <w:top w:val="none" w:sz="0" w:space="0" w:color="auto"/>
        <w:left w:val="none" w:sz="0" w:space="0" w:color="auto"/>
        <w:bottom w:val="none" w:sz="0" w:space="0" w:color="auto"/>
        <w:right w:val="none" w:sz="0" w:space="0" w:color="auto"/>
      </w:divBdr>
    </w:div>
    <w:div w:id="1226179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esktop\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408</ap:Words>
  <ap:Characters>2330</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Brief aan Parlement - Prestaties ProRail en NS</vt:lpstr>
    </vt:vector>
  </ap:TitlesOfParts>
  <ap:LinksUpToDate>false</ap:LinksUpToDate>
  <ap:CharactersWithSpaces>2733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2024-12-20T13:14:00.0000000Z</dcterms:created>
  <dcterms:modified xsi:type="dcterms:W3CDTF">2024-12-20T13:14:00.0000000Z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Prestaties ProRail en NS</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 Hinkamp</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