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096" w:rsidRDefault="001D2096" w14:paraId="3CB81FDB" w14:textId="77777777">
      <w:bookmarkStart w:name="_GoBack" w:id="0"/>
      <w:bookmarkEnd w:id="0"/>
      <w:r>
        <w:t xml:space="preserve">Geachte voorzitter, </w:t>
      </w:r>
    </w:p>
    <w:p w:rsidR="00925D4C" w:rsidP="007E6394" w:rsidRDefault="007E6394" w14:paraId="049256E7" w14:textId="242BDF32">
      <w:pPr>
        <w:pStyle w:val="Slotzin"/>
        <w:rPr>
          <w:rStyle w:val="Hyperlink"/>
        </w:rPr>
      </w:pPr>
      <w:r>
        <w:t xml:space="preserve">Zoals toegezegd in het debat van 17 december jl. </w:t>
      </w:r>
      <w:r w:rsidR="00D95E3D">
        <w:t>naar aanleiding van vragen van het lid Kosti</w:t>
      </w:r>
      <w:r w:rsidR="00D82E47">
        <w:t>ć</w:t>
      </w:r>
      <w:r w:rsidR="00D95E3D">
        <w:t xml:space="preserve"> (PvdD)</w:t>
      </w:r>
      <w:r w:rsidR="00AD1E60">
        <w:t xml:space="preserve"> en conform verzoek van de vaste Kamercommissie IenW</w:t>
      </w:r>
      <w:r w:rsidR="00AD1E60">
        <w:rPr>
          <w:rStyle w:val="FootnoteReference"/>
        </w:rPr>
        <w:footnoteReference w:id="1"/>
      </w:r>
      <w:r w:rsidR="00D95E3D">
        <w:t xml:space="preserve">, </w:t>
      </w:r>
      <w:r>
        <w:t>stuur ik hierbij de rapportages met betrekking tot de berekeningen in de balanced approach</w:t>
      </w:r>
      <w:r w:rsidR="000E48F2">
        <w:t>-procedure voor Schiphol</w:t>
      </w:r>
      <w:r>
        <w:t xml:space="preserve">. </w:t>
      </w:r>
      <w:r w:rsidR="001E079A">
        <w:t>B</w:t>
      </w:r>
      <w:r>
        <w:t xml:space="preserve">ij het besluit van 6 december zijn </w:t>
      </w:r>
      <w:r w:rsidR="000E48F2">
        <w:t>de berekeningen en bijbehorende</w:t>
      </w:r>
      <w:r>
        <w:t xml:space="preserve"> rapportages gepubliceerd</w:t>
      </w:r>
      <w:r w:rsidR="00515580">
        <w:rPr>
          <w:rStyle w:val="FootnoteReference"/>
        </w:rPr>
        <w:footnoteReference w:id="2"/>
      </w:r>
      <w:r>
        <w:t xml:space="preserve">. Deze rapportages zijn </w:t>
      </w:r>
      <w:r w:rsidR="000E48F2">
        <w:t xml:space="preserve">door een ieder te </w:t>
      </w:r>
      <w:r>
        <w:t xml:space="preserve">raadplegen via </w:t>
      </w:r>
      <w:hyperlink w:history="1" r:id="rId9">
        <w:r w:rsidR="001E079A">
          <w:rPr>
            <w:rStyle w:val="Hyperlink"/>
          </w:rPr>
          <w:t>luchtvaartindetoekomst.nl</w:t>
        </w:r>
      </w:hyperlink>
      <w:r w:rsidR="000E48F2">
        <w:rPr>
          <w:rStyle w:val="Hyperlink"/>
        </w:rPr>
        <w:t xml:space="preserve">, </w:t>
      </w:r>
    </w:p>
    <w:p w:rsidR="007E6394" w:rsidP="007E6394" w:rsidRDefault="00925D4C" w14:paraId="02EB8AFA" w14:textId="1EE79FB2">
      <w:r>
        <w:t xml:space="preserve">maar volledigheidshalve </w:t>
      </w:r>
      <w:r w:rsidR="005578F9">
        <w:t xml:space="preserve">worden ze </w:t>
      </w:r>
      <w:r>
        <w:t>ook als bijlage bij deze brief gevoegd</w:t>
      </w:r>
      <w:r w:rsidR="005578F9">
        <w:t xml:space="preserve">. Het gaat over de volgende rapportages: </w:t>
      </w:r>
    </w:p>
    <w:p w:rsidR="00925D4C" w:rsidP="007E6394" w:rsidRDefault="00925D4C" w14:paraId="4EB60D78" w14:textId="77777777"/>
    <w:p w:rsidRPr="001E079A" w:rsidR="002045BA" w:rsidP="001E079A" w:rsidRDefault="002045BA" w14:paraId="09A25670" w14:textId="3CA296DA">
      <w:pPr>
        <w:pStyle w:val="ListParagraph"/>
        <w:numPr>
          <w:ilvl w:val="0"/>
          <w:numId w:val="24"/>
        </w:numPr>
        <w:rPr>
          <w:u w:val="single"/>
          <w:lang w:val="en-US"/>
        </w:rPr>
      </w:pPr>
      <w:r w:rsidRPr="001E079A">
        <w:rPr>
          <w:u w:val="single"/>
          <w:lang w:val="en-US"/>
        </w:rPr>
        <w:t>Bijlage I - Balanced approach study third addendum, To70</w:t>
      </w:r>
    </w:p>
    <w:p w:rsidRPr="000E48F2" w:rsidR="002045BA" w:rsidP="007E6394" w:rsidRDefault="002045BA" w14:paraId="2E6DA771" w14:textId="77777777">
      <w:pPr>
        <w:rPr>
          <w:i/>
          <w:iCs/>
          <w:u w:val="single"/>
          <w:lang w:val="en-US"/>
        </w:rPr>
      </w:pPr>
    </w:p>
    <w:p w:rsidRPr="005578F9" w:rsidR="005578F9" w:rsidP="005578F9" w:rsidRDefault="005578F9" w14:paraId="22A1D44A" w14:textId="7324188F">
      <w:pPr>
        <w:ind w:left="360"/>
        <w:rPr>
          <w:i/>
          <w:iCs/>
        </w:rPr>
      </w:pPr>
      <w:r w:rsidRPr="005578F9">
        <w:rPr>
          <w:i/>
          <w:iCs/>
        </w:rPr>
        <w:t>Betreft de resultaten van de berekeningen van het totale pakket en de impact op de capaciteit bij de keuze voor het geluidsdoel in de eerste fase van -17% voor november 2025</w:t>
      </w:r>
      <w:r>
        <w:rPr>
          <w:i/>
          <w:iCs/>
        </w:rPr>
        <w:t>.</w:t>
      </w:r>
    </w:p>
    <w:p w:rsidRPr="002045BA" w:rsidR="002045BA" w:rsidP="007E6394" w:rsidRDefault="002045BA" w14:paraId="110E91B0" w14:textId="76F7D5FD">
      <w:pPr>
        <w:rPr>
          <w:i/>
          <w:iCs/>
        </w:rPr>
      </w:pPr>
      <w:r w:rsidRPr="002045BA">
        <w:tab/>
      </w:r>
    </w:p>
    <w:p w:rsidRPr="001E079A" w:rsidR="002045BA" w:rsidP="001E079A" w:rsidRDefault="002045BA" w14:paraId="63DD8882" w14:textId="7579FB24">
      <w:pPr>
        <w:pStyle w:val="ListParagraph"/>
        <w:numPr>
          <w:ilvl w:val="0"/>
          <w:numId w:val="24"/>
        </w:numPr>
        <w:rPr>
          <w:u w:val="single"/>
          <w:lang w:val="en-US"/>
        </w:rPr>
      </w:pPr>
      <w:r w:rsidRPr="001E079A">
        <w:rPr>
          <w:u w:val="single"/>
          <w:lang w:val="en-US"/>
        </w:rPr>
        <w:t>Bijlage II - Additional calculation -15%, To70</w:t>
      </w:r>
    </w:p>
    <w:p w:rsidR="002045BA" w:rsidP="007E6394" w:rsidRDefault="002045BA" w14:paraId="39477985" w14:textId="77777777">
      <w:pPr>
        <w:rPr>
          <w:lang w:val="en-US"/>
        </w:rPr>
      </w:pPr>
    </w:p>
    <w:p w:rsidRPr="005578F9" w:rsidR="005578F9" w:rsidP="005578F9" w:rsidRDefault="005578F9" w14:paraId="59DF11F4" w14:textId="5D8B03D8">
      <w:pPr>
        <w:ind w:left="360"/>
        <w:rPr>
          <w:i/>
          <w:iCs/>
        </w:rPr>
      </w:pPr>
      <w:bookmarkStart w:name="_Hlk185416072" w:id="1"/>
      <w:r w:rsidRPr="005578F9">
        <w:rPr>
          <w:i/>
          <w:iCs/>
        </w:rPr>
        <w:t>Betreft de resultaten van de berekeningen en de impact op de capaciteit bij de keuze voor het geluidsdoel in de eerste fase van 15% voor november 2025</w:t>
      </w:r>
      <w:r>
        <w:rPr>
          <w:i/>
          <w:iCs/>
        </w:rPr>
        <w:t>.</w:t>
      </w:r>
    </w:p>
    <w:bookmarkEnd w:id="1"/>
    <w:p w:rsidRPr="005578F9" w:rsidR="002045BA" w:rsidP="007E6394" w:rsidRDefault="002045BA" w14:paraId="549DA18D" w14:textId="77777777"/>
    <w:p w:rsidRPr="001E079A" w:rsidR="002045BA" w:rsidP="001E079A" w:rsidRDefault="002045BA" w14:paraId="604C7882" w14:textId="3C5A0F88">
      <w:pPr>
        <w:pStyle w:val="ListParagraph"/>
        <w:numPr>
          <w:ilvl w:val="0"/>
          <w:numId w:val="24"/>
        </w:numPr>
        <w:rPr>
          <w:u w:val="single"/>
          <w:lang w:val="en-US"/>
        </w:rPr>
      </w:pPr>
      <w:r w:rsidRPr="001E079A">
        <w:rPr>
          <w:u w:val="single"/>
          <w:lang w:val="en-US"/>
        </w:rPr>
        <w:t>Bijlage III - BA Schiphol 4th assessment report, Decisio and Beelining</w:t>
      </w:r>
    </w:p>
    <w:p w:rsidRPr="001E079A" w:rsidR="002045BA" w:rsidP="007E6394" w:rsidRDefault="002045BA" w14:paraId="1811085C" w14:textId="77777777">
      <w:pPr>
        <w:rPr>
          <w:u w:val="single"/>
          <w:lang w:val="en-US"/>
        </w:rPr>
      </w:pPr>
    </w:p>
    <w:p w:rsidR="002045BA" w:rsidP="001E079A" w:rsidRDefault="002045BA" w14:paraId="550A1FDE" w14:textId="5C9BDD58">
      <w:pPr>
        <w:ind w:left="360"/>
        <w:rPr>
          <w:i/>
          <w:iCs/>
        </w:rPr>
      </w:pPr>
      <w:r w:rsidRPr="002045BA">
        <w:rPr>
          <w:i/>
          <w:iCs/>
        </w:rPr>
        <w:t>Betreft een overzicht van</w:t>
      </w:r>
      <w:r>
        <w:rPr>
          <w:i/>
          <w:iCs/>
        </w:rPr>
        <w:t xml:space="preserve"> berekeningen van de kosteneffectiviteit van de maatregelen en combinatie van maatregelen op basis van bovengenoemde resultaten van To70. </w:t>
      </w:r>
    </w:p>
    <w:p w:rsidRPr="002045BA" w:rsidR="002045BA" w:rsidP="007E6394" w:rsidRDefault="002045BA" w14:paraId="7E71EA7F" w14:textId="77777777">
      <w:pPr>
        <w:rPr>
          <w:i/>
          <w:iCs/>
        </w:rPr>
      </w:pPr>
    </w:p>
    <w:p w:rsidRPr="001E079A" w:rsidR="002045BA" w:rsidP="001E079A" w:rsidRDefault="002045BA" w14:paraId="3E46B60A" w14:textId="3AFB07A9">
      <w:pPr>
        <w:pStyle w:val="ListParagraph"/>
        <w:numPr>
          <w:ilvl w:val="0"/>
          <w:numId w:val="24"/>
        </w:numPr>
        <w:rPr>
          <w:u w:val="single"/>
        </w:rPr>
      </w:pPr>
      <w:r w:rsidRPr="001E079A">
        <w:rPr>
          <w:u w:val="single"/>
        </w:rPr>
        <w:t>Bijlage IV - Controles berekeningen balanced approach Schiphol, NLR</w:t>
      </w:r>
    </w:p>
    <w:p w:rsidR="002045BA" w:rsidP="007E6394" w:rsidRDefault="002045BA" w14:paraId="2AB2C4E0" w14:textId="77777777"/>
    <w:p w:rsidRPr="00464CBD" w:rsidR="002045BA" w:rsidP="001E079A" w:rsidRDefault="00464CBD" w14:paraId="0A3DB407" w14:textId="4C2D4796">
      <w:pPr>
        <w:ind w:left="360"/>
        <w:rPr>
          <w:i/>
          <w:iCs/>
        </w:rPr>
      </w:pPr>
      <w:r>
        <w:rPr>
          <w:i/>
          <w:iCs/>
        </w:rPr>
        <w:t xml:space="preserve">Betreft een overzicht van de uitkomst van de door NLR uitgevoerde controles. </w:t>
      </w:r>
      <w:r w:rsidRPr="00464CBD">
        <w:rPr>
          <w:i/>
          <w:iCs/>
        </w:rPr>
        <w:t>NLR heeft in opdracht van het Ministerie van Infrastructuur en Waterstaat (IenW) controles uitgevoerd op (tussen)resultaten van berekeningen</w:t>
      </w:r>
      <w:r>
        <w:rPr>
          <w:i/>
          <w:iCs/>
        </w:rPr>
        <w:t xml:space="preserve"> zoals </w:t>
      </w:r>
      <w:r>
        <w:rPr>
          <w:i/>
          <w:iCs/>
        </w:rPr>
        <w:lastRenderedPageBreak/>
        <w:t>uitgevoerd door To70</w:t>
      </w:r>
      <w:r w:rsidRPr="00464CBD">
        <w:rPr>
          <w:i/>
          <w:iCs/>
        </w:rPr>
        <w:t xml:space="preserve"> in het kader van de balanced approach (BA) procedure voor Schiphol. </w:t>
      </w:r>
    </w:p>
    <w:p w:rsidRPr="0061242A" w:rsidR="005578F9" w:rsidP="005578F9" w:rsidRDefault="005578F9" w14:paraId="4F0B1D56" w14:textId="77777777">
      <w:pPr>
        <w:rPr>
          <w:u w:val="single"/>
        </w:rPr>
      </w:pPr>
    </w:p>
    <w:p w:rsidRPr="005578F9" w:rsidR="00925D4C" w:rsidP="0061242A" w:rsidRDefault="002045BA" w14:paraId="0E9D9217" w14:textId="0152581E">
      <w:pPr>
        <w:pStyle w:val="ListParagraph"/>
        <w:keepNext/>
        <w:keepLines/>
        <w:numPr>
          <w:ilvl w:val="0"/>
          <w:numId w:val="24"/>
        </w:numPr>
        <w:rPr>
          <w:i/>
          <w:iCs/>
          <w:lang w:val="en-US"/>
        </w:rPr>
      </w:pPr>
      <w:r w:rsidRPr="005578F9">
        <w:rPr>
          <w:u w:val="single"/>
          <w:lang w:val="en-US"/>
        </w:rPr>
        <w:t xml:space="preserve">Bijlage V - Expert review BA </w:t>
      </w:r>
    </w:p>
    <w:p w:rsidR="005578F9" w:rsidP="0061242A" w:rsidRDefault="005578F9" w14:paraId="6F612385" w14:textId="77777777">
      <w:pPr>
        <w:keepNext/>
        <w:keepLines/>
        <w:ind w:left="360"/>
        <w:rPr>
          <w:i/>
          <w:iCs/>
        </w:rPr>
      </w:pPr>
    </w:p>
    <w:p w:rsidRPr="00464CBD" w:rsidR="00464CBD" w:rsidP="0061242A" w:rsidRDefault="00464CBD" w14:paraId="19BA7EAB" w14:textId="6009B492">
      <w:pPr>
        <w:keepNext/>
        <w:keepLines/>
        <w:ind w:left="360"/>
        <w:rPr>
          <w:i/>
          <w:iCs/>
        </w:rPr>
      </w:pPr>
      <w:r w:rsidRPr="00464CBD">
        <w:rPr>
          <w:i/>
          <w:iCs/>
        </w:rPr>
        <w:t xml:space="preserve">Betreft de uitkomst van een aanvullende expert review op de uitkomsten van de balanced approach studie en kijkt naar de geluidsmodellering in zijn geheel en de berekeningen die onderliggend zijn aan de balanced approach. </w:t>
      </w:r>
    </w:p>
    <w:p w:rsidRPr="00464CBD" w:rsidR="00464CBD" w:rsidP="007E6394" w:rsidRDefault="00464CBD" w14:paraId="0EAC3F0C" w14:textId="77777777"/>
    <w:p w:rsidRPr="001E079A" w:rsidR="002045BA" w:rsidP="001E079A" w:rsidRDefault="002045BA" w14:paraId="64F554EB" w14:textId="286A7BE2">
      <w:pPr>
        <w:pStyle w:val="ListParagraph"/>
        <w:numPr>
          <w:ilvl w:val="0"/>
          <w:numId w:val="24"/>
        </w:numPr>
        <w:rPr>
          <w:u w:val="single"/>
          <w:lang w:val="en-US"/>
        </w:rPr>
      </w:pPr>
      <w:r w:rsidRPr="001E079A">
        <w:rPr>
          <w:u w:val="single"/>
          <w:lang w:val="en-US"/>
        </w:rPr>
        <w:t>Bijlage VI - Expert review tariefdifferentiatie, Floris de Haan (Erasmus Centre for   Urban Port and Transport Economics)</w:t>
      </w:r>
    </w:p>
    <w:p w:rsidR="00464CBD" w:rsidP="002045BA" w:rsidRDefault="00464CBD" w14:paraId="6E551213" w14:textId="77777777">
      <w:pPr>
        <w:rPr>
          <w:lang w:val="en-US"/>
        </w:rPr>
      </w:pPr>
    </w:p>
    <w:p w:rsidR="00464CBD" w:rsidP="001E079A" w:rsidRDefault="001E079A" w14:paraId="24019875" w14:textId="0FDBF3BA">
      <w:pPr>
        <w:ind w:left="360"/>
        <w:rPr>
          <w:i/>
          <w:iCs/>
        </w:rPr>
      </w:pPr>
      <w:r w:rsidRPr="001E079A">
        <w:rPr>
          <w:i/>
          <w:iCs/>
        </w:rPr>
        <w:t xml:space="preserve">Betreft de uitkomsten van de expert review over de aannames </w:t>
      </w:r>
      <w:r>
        <w:rPr>
          <w:i/>
          <w:iCs/>
        </w:rPr>
        <w:t xml:space="preserve">van respectievelijk IenW en Luchthaven Schiphol, </w:t>
      </w:r>
      <w:r w:rsidRPr="001E079A">
        <w:rPr>
          <w:i/>
          <w:iCs/>
        </w:rPr>
        <w:t>ten aanzien van vlootvervanging als resultaat van</w:t>
      </w:r>
      <w:r>
        <w:rPr>
          <w:i/>
          <w:iCs/>
        </w:rPr>
        <w:t xml:space="preserve"> </w:t>
      </w:r>
      <w:r w:rsidRPr="001E079A">
        <w:rPr>
          <w:i/>
          <w:iCs/>
        </w:rPr>
        <w:t xml:space="preserve">tariefdifferentiatie door Schiphol.  </w:t>
      </w:r>
    </w:p>
    <w:p w:rsidRPr="001E079A" w:rsidR="001E079A" w:rsidP="002045BA" w:rsidRDefault="001E079A" w14:paraId="42CA80A6" w14:textId="77777777">
      <w:pPr>
        <w:rPr>
          <w:i/>
          <w:iCs/>
        </w:rPr>
      </w:pPr>
    </w:p>
    <w:p w:rsidRPr="001E079A" w:rsidR="002045BA" w:rsidP="001E079A" w:rsidRDefault="002045BA" w14:paraId="2F657BE7" w14:textId="024A90B7">
      <w:pPr>
        <w:pStyle w:val="ListParagraph"/>
        <w:numPr>
          <w:ilvl w:val="0"/>
          <w:numId w:val="24"/>
        </w:numPr>
        <w:rPr>
          <w:u w:val="single"/>
          <w:lang w:val="en-US"/>
        </w:rPr>
      </w:pPr>
      <w:r w:rsidRPr="001E079A">
        <w:rPr>
          <w:u w:val="single"/>
          <w:lang w:val="en-US"/>
        </w:rPr>
        <w:t>Bijlage VII – Expert review tariefdifferentiatie, Rogier Lieshout (Beelining)</w:t>
      </w:r>
    </w:p>
    <w:p w:rsidRPr="001E079A" w:rsidR="002045BA" w:rsidP="007E6394" w:rsidRDefault="002045BA" w14:paraId="6A8D3FF7" w14:textId="77777777">
      <w:pPr>
        <w:rPr>
          <w:u w:val="single"/>
          <w:lang w:val="en-US"/>
        </w:rPr>
      </w:pPr>
    </w:p>
    <w:p w:rsidR="001E079A" w:rsidP="001E079A" w:rsidRDefault="001E079A" w14:paraId="66FCF4BD" w14:textId="77777777">
      <w:pPr>
        <w:ind w:left="360"/>
        <w:rPr>
          <w:i/>
          <w:iCs/>
        </w:rPr>
      </w:pPr>
      <w:r w:rsidRPr="001E079A">
        <w:rPr>
          <w:i/>
          <w:iCs/>
        </w:rPr>
        <w:t xml:space="preserve">Betreft de uitkomsten van de expert review over de aannames </w:t>
      </w:r>
      <w:r>
        <w:rPr>
          <w:i/>
          <w:iCs/>
        </w:rPr>
        <w:t xml:space="preserve">van respectievelijk IenW en Luchthaven Schiphol, </w:t>
      </w:r>
      <w:r w:rsidRPr="001E079A">
        <w:rPr>
          <w:i/>
          <w:iCs/>
        </w:rPr>
        <w:t>ten aanzien van vlootvervanging als resultaat van</w:t>
      </w:r>
      <w:r>
        <w:rPr>
          <w:i/>
          <w:iCs/>
        </w:rPr>
        <w:t xml:space="preserve"> </w:t>
      </w:r>
      <w:r w:rsidRPr="001E079A">
        <w:rPr>
          <w:i/>
          <w:iCs/>
        </w:rPr>
        <w:t xml:space="preserve">tariefdifferentiatie door Schiphol.  </w:t>
      </w:r>
    </w:p>
    <w:p w:rsidRPr="001E079A" w:rsidR="007E6394" w:rsidP="007E6394" w:rsidRDefault="007E6394" w14:paraId="12004C93" w14:textId="77777777"/>
    <w:p w:rsidR="001E079A" w:rsidP="007E6394" w:rsidRDefault="001E079A" w14:paraId="131C22FD" w14:textId="77777777"/>
    <w:p w:rsidR="007E6394" w:rsidP="001E079A" w:rsidRDefault="005578F9" w14:paraId="6FA21976" w14:textId="05B5A3FB">
      <w:r>
        <w:t>Z</w:t>
      </w:r>
      <w:r w:rsidR="000E48F2">
        <w:t>oals toegezegd</w:t>
      </w:r>
      <w:r w:rsidR="00EE5353">
        <w:t xml:space="preserve"> naar aanleiding van vragen van het lid de Groot (VVD)</w:t>
      </w:r>
      <w:r w:rsidR="000E48F2">
        <w:t xml:space="preserve"> in het debat van 17 december</w:t>
      </w:r>
      <w:r>
        <w:t>, ben ik</w:t>
      </w:r>
      <w:r w:rsidR="000E48F2">
        <w:t xml:space="preserve"> graag </w:t>
      </w:r>
      <w:r w:rsidR="00822593">
        <w:t>bereid</w:t>
      </w:r>
      <w:r w:rsidR="007E6394">
        <w:t xml:space="preserve"> om een technische briefing te faciliteren met betrekking tot de berekeningen en het proces</w:t>
      </w:r>
      <w:r w:rsidR="00822593">
        <w:t xml:space="preserve"> van de balanced approach-procedure</w:t>
      </w:r>
      <w:r w:rsidR="007E6394">
        <w:t xml:space="preserve">. </w:t>
      </w:r>
      <w:r w:rsidR="00D82E47">
        <w:t xml:space="preserve">Eventuele aanvullende vragen kunnen tijdens deze technische briefing ook aan bod komen. </w:t>
      </w:r>
      <w:r w:rsidRPr="00AD1E60" w:rsidR="00016661">
        <w:t>Tot slot, wordt bij de Europese Commissie nagevraagd in hoeverre de ambtelijke correspondentie openbaar kan worden gemaakt voorafgaand aan het geplande commissiedebat van februari 2025</w:t>
      </w:r>
      <w:r w:rsidR="00AD1E60">
        <w:rPr>
          <w:rStyle w:val="FootnoteReference"/>
        </w:rPr>
        <w:footnoteReference w:id="3"/>
      </w:r>
      <w:r w:rsidRPr="00AD1E60" w:rsidR="00016661">
        <w:t>.</w:t>
      </w:r>
      <w:r w:rsidR="00016661">
        <w:t xml:space="preserve"> </w:t>
      </w:r>
    </w:p>
    <w:p w:rsidR="005740E6" w:rsidRDefault="0061242A" w14:paraId="07F9944A" w14:textId="1395A9DC">
      <w:pPr>
        <w:pStyle w:val="Slotzin"/>
      </w:pPr>
      <w:r>
        <w:t>Hoogachtend,</w:t>
      </w:r>
    </w:p>
    <w:p w:rsidR="005740E6" w:rsidRDefault="0061242A" w14:paraId="0CBA96E7" w14:textId="77777777">
      <w:pPr>
        <w:pStyle w:val="OndertekeningArea1"/>
      </w:pPr>
      <w:r>
        <w:t>DE MINISTER VAN INFRASTRUCTUUR EN WATERSTAAT,</w:t>
      </w:r>
    </w:p>
    <w:p w:rsidR="005740E6" w:rsidRDefault="005740E6" w14:paraId="6D3BE259" w14:textId="77777777"/>
    <w:p w:rsidR="005740E6" w:rsidRDefault="005740E6" w14:paraId="2D6766A5" w14:textId="77777777"/>
    <w:p w:rsidR="005740E6" w:rsidRDefault="005740E6" w14:paraId="72D99A96" w14:textId="77777777"/>
    <w:p w:rsidR="005740E6" w:rsidRDefault="005740E6" w14:paraId="210C53BF" w14:textId="77777777"/>
    <w:p w:rsidR="005740E6" w:rsidRDefault="0061242A" w14:paraId="70F5858C" w14:textId="77777777">
      <w:r>
        <w:t>Barry Madlener</w:t>
      </w:r>
    </w:p>
    <w:sectPr w:rsidR="005740E6">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98C49" w14:textId="77777777" w:rsidR="0064311C" w:rsidRDefault="0064311C">
      <w:pPr>
        <w:spacing w:line="240" w:lineRule="auto"/>
      </w:pPr>
      <w:r>
        <w:separator/>
      </w:r>
    </w:p>
  </w:endnote>
  <w:endnote w:type="continuationSeparator" w:id="0">
    <w:p w14:paraId="63255C29" w14:textId="77777777" w:rsidR="0064311C" w:rsidRDefault="006431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7EE04" w14:textId="77777777" w:rsidR="00E37E20" w:rsidRDefault="00E37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6A34F" w14:textId="77777777" w:rsidR="00E37E20" w:rsidRDefault="00E37E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8F9CE" w14:textId="77777777" w:rsidR="00E37E20" w:rsidRDefault="00E37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F9867" w14:textId="77777777" w:rsidR="0064311C" w:rsidRDefault="0064311C">
      <w:pPr>
        <w:spacing w:line="240" w:lineRule="auto"/>
      </w:pPr>
      <w:r>
        <w:separator/>
      </w:r>
    </w:p>
  </w:footnote>
  <w:footnote w:type="continuationSeparator" w:id="0">
    <w:p w14:paraId="5DC56D67" w14:textId="77777777" w:rsidR="0064311C" w:rsidRDefault="0064311C">
      <w:pPr>
        <w:spacing w:line="240" w:lineRule="auto"/>
      </w:pPr>
      <w:r>
        <w:continuationSeparator/>
      </w:r>
    </w:p>
  </w:footnote>
  <w:footnote w:id="1">
    <w:p w14:paraId="421E3BAF" w14:textId="599117B5" w:rsidR="00AD1E60" w:rsidRPr="00AD1E60" w:rsidRDefault="00AD1E60">
      <w:pPr>
        <w:pStyle w:val="FootnoteText"/>
        <w:rPr>
          <w:sz w:val="14"/>
          <w:szCs w:val="14"/>
        </w:rPr>
      </w:pPr>
      <w:r>
        <w:rPr>
          <w:rStyle w:val="FootnoteReference"/>
        </w:rPr>
        <w:footnoteRef/>
      </w:r>
      <w:r>
        <w:t xml:space="preserve"> </w:t>
      </w:r>
      <w:r w:rsidRPr="00AD1E60">
        <w:rPr>
          <w:sz w:val="14"/>
          <w:szCs w:val="14"/>
        </w:rPr>
        <w:t>29665-523/2024D50800</w:t>
      </w:r>
    </w:p>
  </w:footnote>
  <w:footnote w:id="2">
    <w:p w14:paraId="4EF151CC" w14:textId="5667EDCC" w:rsidR="00515580" w:rsidRPr="00515580" w:rsidRDefault="00515580">
      <w:pPr>
        <w:pStyle w:val="FootnoteText"/>
        <w:rPr>
          <w:sz w:val="14"/>
          <w:szCs w:val="14"/>
        </w:rPr>
      </w:pPr>
      <w:r w:rsidRPr="00515580">
        <w:rPr>
          <w:rStyle w:val="FootnoteReference"/>
          <w:sz w:val="14"/>
          <w:szCs w:val="14"/>
        </w:rPr>
        <w:footnoteRef/>
      </w:r>
      <w:r w:rsidRPr="00515580">
        <w:rPr>
          <w:sz w:val="14"/>
          <w:szCs w:val="14"/>
        </w:rPr>
        <w:t xml:space="preserve">  Kamerstukken II 2024/25, </w:t>
      </w:r>
      <w:r w:rsidRPr="00515580">
        <w:rPr>
          <w:rFonts w:cs="Calibri"/>
          <w:sz w:val="14"/>
          <w:szCs w:val="14"/>
        </w:rPr>
        <w:t>29 665, nr. 523</w:t>
      </w:r>
    </w:p>
  </w:footnote>
  <w:footnote w:id="3">
    <w:p w14:paraId="2460821E" w14:textId="3E47BAE6" w:rsidR="00AD1E60" w:rsidRDefault="00AD1E60">
      <w:pPr>
        <w:pStyle w:val="FootnoteText"/>
      </w:pPr>
      <w:r>
        <w:rPr>
          <w:rStyle w:val="FootnoteReference"/>
        </w:rPr>
        <w:footnoteRef/>
      </w:r>
      <w:r>
        <w:t xml:space="preserve"> </w:t>
      </w:r>
      <w:r w:rsidRPr="00AD1E60">
        <w:rPr>
          <w:sz w:val="14"/>
          <w:szCs w:val="14"/>
        </w:rPr>
        <w:t>29665-523/2024D50800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DFEA5" w14:textId="77777777" w:rsidR="00E37E20" w:rsidRDefault="00E37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664D0" w14:textId="77777777" w:rsidR="005740E6" w:rsidRDefault="0061242A">
    <w:r>
      <w:rPr>
        <w:noProof/>
        <w:lang w:val="en-GB" w:eastAsia="en-GB"/>
      </w:rPr>
      <mc:AlternateContent>
        <mc:Choice Requires="wps">
          <w:drawing>
            <wp:anchor distT="0" distB="0" distL="0" distR="0" simplePos="0" relativeHeight="251651584" behindDoc="0" locked="1" layoutInCell="1" allowOverlap="1" wp14:anchorId="5A865E7F" wp14:editId="6FE409EC">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A9F7186" w14:textId="77777777" w:rsidR="005740E6" w:rsidRDefault="0061242A">
                          <w:pPr>
                            <w:pStyle w:val="AfzendgegevensKop0"/>
                          </w:pPr>
                          <w:r>
                            <w:t>Ministerie van Infrastructuur en Waterstaat</w:t>
                          </w:r>
                        </w:p>
                        <w:p w14:paraId="1E646B16" w14:textId="77777777" w:rsidR="0061242A" w:rsidRDefault="0061242A" w:rsidP="0061242A"/>
                        <w:p w14:paraId="27D56860" w14:textId="77777777" w:rsidR="0061242A" w:rsidRPr="0061242A" w:rsidRDefault="0061242A" w:rsidP="0061242A">
                          <w:pPr>
                            <w:spacing w:line="276" w:lineRule="auto"/>
                            <w:rPr>
                              <w:b/>
                              <w:bCs/>
                              <w:sz w:val="13"/>
                              <w:szCs w:val="13"/>
                            </w:rPr>
                          </w:pPr>
                          <w:r w:rsidRPr="0061242A">
                            <w:rPr>
                              <w:b/>
                              <w:bCs/>
                              <w:sz w:val="13"/>
                              <w:szCs w:val="13"/>
                            </w:rPr>
                            <w:t>Kenmerk</w:t>
                          </w:r>
                        </w:p>
                        <w:p w14:paraId="4111EDDC" w14:textId="77777777" w:rsidR="0061242A" w:rsidRPr="0061242A" w:rsidRDefault="0061242A" w:rsidP="0061242A">
                          <w:pPr>
                            <w:spacing w:line="276" w:lineRule="auto"/>
                            <w:rPr>
                              <w:sz w:val="13"/>
                              <w:szCs w:val="13"/>
                            </w:rPr>
                          </w:pPr>
                          <w:r w:rsidRPr="0061242A">
                            <w:rPr>
                              <w:sz w:val="13"/>
                              <w:szCs w:val="13"/>
                            </w:rPr>
                            <w:t>IENW/BSK-2024/369554</w:t>
                          </w:r>
                        </w:p>
                        <w:p w14:paraId="24493726" w14:textId="77777777" w:rsidR="0061242A" w:rsidRPr="0061242A" w:rsidRDefault="0061242A" w:rsidP="0061242A"/>
                      </w:txbxContent>
                    </wps:txbx>
                    <wps:bodyPr vert="horz" wrap="square" lIns="0" tIns="0" rIns="0" bIns="0" anchor="t" anchorCtr="0"/>
                  </wps:wsp>
                </a:graphicData>
              </a:graphic>
            </wp:anchor>
          </w:drawing>
        </mc:Choice>
        <mc:Fallback>
          <w:pict>
            <v:shapetype w14:anchorId="5A865E7F"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A9F7186" w14:textId="77777777" w:rsidR="005740E6" w:rsidRDefault="0061242A">
                    <w:pPr>
                      <w:pStyle w:val="AfzendgegevensKop0"/>
                    </w:pPr>
                    <w:r>
                      <w:t>Ministerie van Infrastructuur en Waterstaat</w:t>
                    </w:r>
                  </w:p>
                  <w:p w14:paraId="1E646B16" w14:textId="77777777" w:rsidR="0061242A" w:rsidRDefault="0061242A" w:rsidP="0061242A"/>
                  <w:p w14:paraId="27D56860" w14:textId="77777777" w:rsidR="0061242A" w:rsidRPr="0061242A" w:rsidRDefault="0061242A" w:rsidP="0061242A">
                    <w:pPr>
                      <w:spacing w:line="276" w:lineRule="auto"/>
                      <w:rPr>
                        <w:b/>
                        <w:bCs/>
                        <w:sz w:val="13"/>
                        <w:szCs w:val="13"/>
                      </w:rPr>
                    </w:pPr>
                    <w:r w:rsidRPr="0061242A">
                      <w:rPr>
                        <w:b/>
                        <w:bCs/>
                        <w:sz w:val="13"/>
                        <w:szCs w:val="13"/>
                      </w:rPr>
                      <w:t>Kenmerk</w:t>
                    </w:r>
                  </w:p>
                  <w:p w14:paraId="4111EDDC" w14:textId="77777777" w:rsidR="0061242A" w:rsidRPr="0061242A" w:rsidRDefault="0061242A" w:rsidP="0061242A">
                    <w:pPr>
                      <w:spacing w:line="276" w:lineRule="auto"/>
                      <w:rPr>
                        <w:sz w:val="13"/>
                        <w:szCs w:val="13"/>
                      </w:rPr>
                    </w:pPr>
                    <w:r w:rsidRPr="0061242A">
                      <w:rPr>
                        <w:sz w:val="13"/>
                        <w:szCs w:val="13"/>
                      </w:rPr>
                      <w:t>IENW/BSK-2024/369554</w:t>
                    </w:r>
                  </w:p>
                  <w:p w14:paraId="24493726" w14:textId="77777777" w:rsidR="0061242A" w:rsidRPr="0061242A" w:rsidRDefault="0061242A" w:rsidP="0061242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A5D9022" wp14:editId="126F2353">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6724A33" w14:textId="77777777" w:rsidR="005740E6" w:rsidRDefault="0061242A">
                          <w:pPr>
                            <w:pStyle w:val="Referentiegegevens"/>
                          </w:pPr>
                          <w:r>
                            <w:t xml:space="preserve">Pagina </w:t>
                          </w:r>
                          <w:r>
                            <w:fldChar w:fldCharType="begin"/>
                          </w:r>
                          <w:r>
                            <w:instrText>PAGE</w:instrText>
                          </w:r>
                          <w:r>
                            <w:fldChar w:fldCharType="separate"/>
                          </w:r>
                          <w:r w:rsidR="001D2096">
                            <w:rPr>
                              <w:noProof/>
                            </w:rPr>
                            <w:t>1</w:t>
                          </w:r>
                          <w:r>
                            <w:fldChar w:fldCharType="end"/>
                          </w:r>
                          <w:r>
                            <w:t xml:space="preserve"> van </w:t>
                          </w:r>
                          <w:r>
                            <w:fldChar w:fldCharType="begin"/>
                          </w:r>
                          <w:r>
                            <w:instrText>NUMPAGES</w:instrText>
                          </w:r>
                          <w:r>
                            <w:fldChar w:fldCharType="separate"/>
                          </w:r>
                          <w:r w:rsidR="001D2096">
                            <w:rPr>
                              <w:noProof/>
                            </w:rPr>
                            <w:t>1</w:t>
                          </w:r>
                          <w:r>
                            <w:fldChar w:fldCharType="end"/>
                          </w:r>
                        </w:p>
                      </w:txbxContent>
                    </wps:txbx>
                    <wps:bodyPr vert="horz" wrap="square" lIns="0" tIns="0" rIns="0" bIns="0" anchor="t" anchorCtr="0"/>
                  </wps:wsp>
                </a:graphicData>
              </a:graphic>
            </wp:anchor>
          </w:drawing>
        </mc:Choice>
        <mc:Fallback>
          <w:pict>
            <v:shape w14:anchorId="1A5D902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6724A33" w14:textId="77777777" w:rsidR="005740E6" w:rsidRDefault="0061242A">
                    <w:pPr>
                      <w:pStyle w:val="Referentiegegevens"/>
                    </w:pPr>
                    <w:r>
                      <w:t xml:space="preserve">Pagina </w:t>
                    </w:r>
                    <w:r>
                      <w:fldChar w:fldCharType="begin"/>
                    </w:r>
                    <w:r>
                      <w:instrText>PAGE</w:instrText>
                    </w:r>
                    <w:r>
                      <w:fldChar w:fldCharType="separate"/>
                    </w:r>
                    <w:r w:rsidR="001D2096">
                      <w:rPr>
                        <w:noProof/>
                      </w:rPr>
                      <w:t>1</w:t>
                    </w:r>
                    <w:r>
                      <w:fldChar w:fldCharType="end"/>
                    </w:r>
                    <w:r>
                      <w:t xml:space="preserve"> van </w:t>
                    </w:r>
                    <w:r>
                      <w:fldChar w:fldCharType="begin"/>
                    </w:r>
                    <w:r>
                      <w:instrText>NUMPAGES</w:instrText>
                    </w:r>
                    <w:r>
                      <w:fldChar w:fldCharType="separate"/>
                    </w:r>
                    <w:r w:rsidR="001D209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CAAD8C1" wp14:editId="514A4764">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872A4B4" w14:textId="77777777" w:rsidR="00952264" w:rsidRDefault="00952264"/>
                      </w:txbxContent>
                    </wps:txbx>
                    <wps:bodyPr vert="horz" wrap="square" lIns="0" tIns="0" rIns="0" bIns="0" anchor="t" anchorCtr="0"/>
                  </wps:wsp>
                </a:graphicData>
              </a:graphic>
            </wp:anchor>
          </w:drawing>
        </mc:Choice>
        <mc:Fallback>
          <w:pict>
            <v:shape w14:anchorId="4CAAD8C1"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872A4B4" w14:textId="77777777" w:rsidR="00952264" w:rsidRDefault="0095226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9A1BB05" wp14:editId="3C9073AD">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E9226AB" w14:textId="77777777" w:rsidR="00952264" w:rsidRDefault="00952264"/>
                      </w:txbxContent>
                    </wps:txbx>
                    <wps:bodyPr vert="horz" wrap="square" lIns="0" tIns="0" rIns="0" bIns="0" anchor="t" anchorCtr="0"/>
                  </wps:wsp>
                </a:graphicData>
              </a:graphic>
            </wp:anchor>
          </w:drawing>
        </mc:Choice>
        <mc:Fallback>
          <w:pict>
            <v:shape w14:anchorId="29A1BB05"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E9226AB" w14:textId="77777777" w:rsidR="00952264" w:rsidRDefault="0095226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31397" w14:textId="77777777" w:rsidR="005740E6" w:rsidRDefault="0061242A">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CB28AEB" wp14:editId="38880F65">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4A0D89F" w14:textId="77777777" w:rsidR="00952264" w:rsidRDefault="00952264"/>
                      </w:txbxContent>
                    </wps:txbx>
                    <wps:bodyPr vert="horz" wrap="square" lIns="0" tIns="0" rIns="0" bIns="0" anchor="t" anchorCtr="0"/>
                  </wps:wsp>
                </a:graphicData>
              </a:graphic>
            </wp:anchor>
          </w:drawing>
        </mc:Choice>
        <mc:Fallback>
          <w:pict>
            <v:shapetype w14:anchorId="0CB28AEB"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4A0D89F" w14:textId="77777777" w:rsidR="00952264" w:rsidRDefault="0095226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6C36E1B" wp14:editId="2263E88A">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2427DFD" w14:textId="5C76C609" w:rsidR="005740E6" w:rsidRDefault="0061242A">
                          <w:pPr>
                            <w:pStyle w:val="Referentiegegevens"/>
                          </w:pPr>
                          <w:r>
                            <w:t xml:space="preserve">Pagina </w:t>
                          </w:r>
                          <w:r>
                            <w:fldChar w:fldCharType="begin"/>
                          </w:r>
                          <w:r>
                            <w:instrText>PAGE</w:instrText>
                          </w:r>
                          <w:r>
                            <w:fldChar w:fldCharType="separate"/>
                          </w:r>
                          <w:r w:rsidR="00C45D90">
                            <w:rPr>
                              <w:noProof/>
                            </w:rPr>
                            <w:t>1</w:t>
                          </w:r>
                          <w:r>
                            <w:fldChar w:fldCharType="end"/>
                          </w:r>
                          <w:r>
                            <w:t xml:space="preserve"> van </w:t>
                          </w:r>
                          <w:r>
                            <w:fldChar w:fldCharType="begin"/>
                          </w:r>
                          <w:r>
                            <w:instrText>NUMPAGES</w:instrText>
                          </w:r>
                          <w:r>
                            <w:fldChar w:fldCharType="separate"/>
                          </w:r>
                          <w:r w:rsidR="00C45D90">
                            <w:rPr>
                              <w:noProof/>
                            </w:rPr>
                            <w:t>1</w:t>
                          </w:r>
                          <w:r>
                            <w:fldChar w:fldCharType="end"/>
                          </w:r>
                        </w:p>
                      </w:txbxContent>
                    </wps:txbx>
                    <wps:bodyPr vert="horz" wrap="square" lIns="0" tIns="0" rIns="0" bIns="0" anchor="t" anchorCtr="0"/>
                  </wps:wsp>
                </a:graphicData>
              </a:graphic>
            </wp:anchor>
          </w:drawing>
        </mc:Choice>
        <mc:Fallback>
          <w:pict>
            <v:shape w14:anchorId="56C36E1B"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2427DFD" w14:textId="5C76C609" w:rsidR="005740E6" w:rsidRDefault="0061242A">
                    <w:pPr>
                      <w:pStyle w:val="Referentiegegevens"/>
                    </w:pPr>
                    <w:r>
                      <w:t xml:space="preserve">Pagina </w:t>
                    </w:r>
                    <w:r>
                      <w:fldChar w:fldCharType="begin"/>
                    </w:r>
                    <w:r>
                      <w:instrText>PAGE</w:instrText>
                    </w:r>
                    <w:r>
                      <w:fldChar w:fldCharType="separate"/>
                    </w:r>
                    <w:r w:rsidR="00C45D90">
                      <w:rPr>
                        <w:noProof/>
                      </w:rPr>
                      <w:t>1</w:t>
                    </w:r>
                    <w:r>
                      <w:fldChar w:fldCharType="end"/>
                    </w:r>
                    <w:r>
                      <w:t xml:space="preserve"> van </w:t>
                    </w:r>
                    <w:r>
                      <w:fldChar w:fldCharType="begin"/>
                    </w:r>
                    <w:r>
                      <w:instrText>NUMPAGES</w:instrText>
                    </w:r>
                    <w:r>
                      <w:fldChar w:fldCharType="separate"/>
                    </w:r>
                    <w:r w:rsidR="00C45D9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DDCAABB" wp14:editId="458EB567">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5AD6C0C" w14:textId="77777777" w:rsidR="005740E6" w:rsidRDefault="0061242A">
                          <w:pPr>
                            <w:pStyle w:val="AfzendgegevensKop0"/>
                          </w:pPr>
                          <w:r>
                            <w:t>Ministerie van Infrastructuur en Waterstaat</w:t>
                          </w:r>
                        </w:p>
                        <w:p w14:paraId="49170364" w14:textId="77777777" w:rsidR="005740E6" w:rsidRDefault="005740E6">
                          <w:pPr>
                            <w:pStyle w:val="WitregelW1"/>
                          </w:pPr>
                        </w:p>
                        <w:p w14:paraId="12E9F6E9" w14:textId="77777777" w:rsidR="005740E6" w:rsidRDefault="0061242A">
                          <w:pPr>
                            <w:pStyle w:val="Afzendgegevens"/>
                          </w:pPr>
                          <w:r>
                            <w:t>Rijnstraat 8</w:t>
                          </w:r>
                        </w:p>
                        <w:p w14:paraId="34B20B7B" w14:textId="77777777" w:rsidR="005740E6" w:rsidRPr="001D2096" w:rsidRDefault="0061242A">
                          <w:pPr>
                            <w:pStyle w:val="Afzendgegevens"/>
                            <w:rPr>
                              <w:lang w:val="de-DE"/>
                            </w:rPr>
                          </w:pPr>
                          <w:r w:rsidRPr="001D2096">
                            <w:rPr>
                              <w:lang w:val="de-DE"/>
                            </w:rPr>
                            <w:t>2515 XP  Den Haag</w:t>
                          </w:r>
                        </w:p>
                        <w:p w14:paraId="2D6F486C" w14:textId="77777777" w:rsidR="005740E6" w:rsidRPr="001D2096" w:rsidRDefault="0061242A">
                          <w:pPr>
                            <w:pStyle w:val="Afzendgegevens"/>
                            <w:rPr>
                              <w:lang w:val="de-DE"/>
                            </w:rPr>
                          </w:pPr>
                          <w:r w:rsidRPr="001D2096">
                            <w:rPr>
                              <w:lang w:val="de-DE"/>
                            </w:rPr>
                            <w:t>Postbus 20901</w:t>
                          </w:r>
                        </w:p>
                        <w:p w14:paraId="213A2FCD" w14:textId="77777777" w:rsidR="005740E6" w:rsidRPr="001D2096" w:rsidRDefault="0061242A">
                          <w:pPr>
                            <w:pStyle w:val="Afzendgegevens"/>
                            <w:rPr>
                              <w:lang w:val="de-DE"/>
                            </w:rPr>
                          </w:pPr>
                          <w:r w:rsidRPr="001D2096">
                            <w:rPr>
                              <w:lang w:val="de-DE"/>
                            </w:rPr>
                            <w:t>2500 EX Den Haag</w:t>
                          </w:r>
                        </w:p>
                        <w:p w14:paraId="504899C6" w14:textId="77777777" w:rsidR="005740E6" w:rsidRPr="001D2096" w:rsidRDefault="005740E6">
                          <w:pPr>
                            <w:pStyle w:val="WitregelW1"/>
                            <w:rPr>
                              <w:lang w:val="de-DE"/>
                            </w:rPr>
                          </w:pPr>
                        </w:p>
                        <w:p w14:paraId="0C4013A7" w14:textId="77777777" w:rsidR="005740E6" w:rsidRPr="001D2096" w:rsidRDefault="0061242A">
                          <w:pPr>
                            <w:pStyle w:val="Afzendgegevens"/>
                            <w:rPr>
                              <w:lang w:val="de-DE"/>
                            </w:rPr>
                          </w:pPr>
                          <w:r w:rsidRPr="001D2096">
                            <w:rPr>
                              <w:lang w:val="de-DE"/>
                            </w:rPr>
                            <w:t>T   070-456 0000</w:t>
                          </w:r>
                        </w:p>
                        <w:p w14:paraId="113EB587" w14:textId="77777777" w:rsidR="005740E6" w:rsidRDefault="0061242A">
                          <w:pPr>
                            <w:pStyle w:val="Afzendgegevens"/>
                          </w:pPr>
                          <w:r>
                            <w:t>F   070-456 1111</w:t>
                          </w:r>
                        </w:p>
                        <w:p w14:paraId="2F6E01FC" w14:textId="77777777" w:rsidR="0061242A" w:rsidRDefault="0061242A" w:rsidP="0061242A"/>
                        <w:p w14:paraId="319828C5" w14:textId="13EFBE58" w:rsidR="0061242A" w:rsidRPr="0061242A" w:rsidRDefault="0061242A" w:rsidP="0061242A">
                          <w:pPr>
                            <w:spacing w:line="276" w:lineRule="auto"/>
                            <w:rPr>
                              <w:b/>
                              <w:bCs/>
                              <w:sz w:val="13"/>
                              <w:szCs w:val="13"/>
                            </w:rPr>
                          </w:pPr>
                          <w:r w:rsidRPr="0061242A">
                            <w:rPr>
                              <w:b/>
                              <w:bCs/>
                              <w:sz w:val="13"/>
                              <w:szCs w:val="13"/>
                            </w:rPr>
                            <w:t>Kenmerk</w:t>
                          </w:r>
                        </w:p>
                        <w:p w14:paraId="340A0877" w14:textId="24E35DC1" w:rsidR="0061242A" w:rsidRPr="0061242A" w:rsidRDefault="0061242A" w:rsidP="0061242A">
                          <w:pPr>
                            <w:spacing w:line="276" w:lineRule="auto"/>
                            <w:rPr>
                              <w:sz w:val="13"/>
                              <w:szCs w:val="13"/>
                            </w:rPr>
                          </w:pPr>
                          <w:r w:rsidRPr="0061242A">
                            <w:rPr>
                              <w:sz w:val="13"/>
                              <w:szCs w:val="13"/>
                            </w:rPr>
                            <w:t>IENW/BSK-2024/369554</w:t>
                          </w:r>
                        </w:p>
                        <w:p w14:paraId="3EE0603F" w14:textId="77777777" w:rsidR="0061242A" w:rsidRPr="0061242A" w:rsidRDefault="0061242A" w:rsidP="0061242A">
                          <w:pPr>
                            <w:rPr>
                              <w:sz w:val="13"/>
                              <w:szCs w:val="13"/>
                            </w:rPr>
                          </w:pPr>
                        </w:p>
                        <w:p w14:paraId="656E7D12" w14:textId="5D791E02" w:rsidR="0061242A" w:rsidRPr="0061242A" w:rsidRDefault="0061242A" w:rsidP="0061242A">
                          <w:pPr>
                            <w:spacing w:line="276" w:lineRule="auto"/>
                            <w:rPr>
                              <w:b/>
                              <w:bCs/>
                              <w:sz w:val="13"/>
                              <w:szCs w:val="13"/>
                            </w:rPr>
                          </w:pPr>
                          <w:r w:rsidRPr="0061242A">
                            <w:rPr>
                              <w:b/>
                              <w:bCs/>
                              <w:sz w:val="13"/>
                              <w:szCs w:val="13"/>
                            </w:rPr>
                            <w:t>Bijlage(n)</w:t>
                          </w:r>
                        </w:p>
                        <w:p w14:paraId="13C9087B" w14:textId="76A49C08" w:rsidR="0061242A" w:rsidRPr="0061242A" w:rsidRDefault="00E37E20" w:rsidP="0061242A">
                          <w:pPr>
                            <w:spacing w:line="276" w:lineRule="auto"/>
                            <w:rPr>
                              <w:sz w:val="13"/>
                              <w:szCs w:val="13"/>
                            </w:rPr>
                          </w:pPr>
                          <w:r>
                            <w:rPr>
                              <w:sz w:val="13"/>
                              <w:szCs w:val="13"/>
                            </w:rPr>
                            <w:t>8</w:t>
                          </w:r>
                        </w:p>
                      </w:txbxContent>
                    </wps:txbx>
                    <wps:bodyPr vert="horz" wrap="square" lIns="0" tIns="0" rIns="0" bIns="0" anchor="t" anchorCtr="0"/>
                  </wps:wsp>
                </a:graphicData>
              </a:graphic>
            </wp:anchor>
          </w:drawing>
        </mc:Choice>
        <mc:Fallback>
          <w:pict>
            <v:shape w14:anchorId="6DDCAABB"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5AD6C0C" w14:textId="77777777" w:rsidR="005740E6" w:rsidRDefault="0061242A">
                    <w:pPr>
                      <w:pStyle w:val="AfzendgegevensKop0"/>
                    </w:pPr>
                    <w:r>
                      <w:t>Ministerie van Infrastructuur en Waterstaat</w:t>
                    </w:r>
                  </w:p>
                  <w:p w14:paraId="49170364" w14:textId="77777777" w:rsidR="005740E6" w:rsidRDefault="005740E6">
                    <w:pPr>
                      <w:pStyle w:val="WitregelW1"/>
                    </w:pPr>
                  </w:p>
                  <w:p w14:paraId="12E9F6E9" w14:textId="77777777" w:rsidR="005740E6" w:rsidRDefault="0061242A">
                    <w:pPr>
                      <w:pStyle w:val="Afzendgegevens"/>
                    </w:pPr>
                    <w:r>
                      <w:t>Rijnstraat 8</w:t>
                    </w:r>
                  </w:p>
                  <w:p w14:paraId="34B20B7B" w14:textId="77777777" w:rsidR="005740E6" w:rsidRPr="001D2096" w:rsidRDefault="0061242A">
                    <w:pPr>
                      <w:pStyle w:val="Afzendgegevens"/>
                      <w:rPr>
                        <w:lang w:val="de-DE"/>
                      </w:rPr>
                    </w:pPr>
                    <w:r w:rsidRPr="001D2096">
                      <w:rPr>
                        <w:lang w:val="de-DE"/>
                      </w:rPr>
                      <w:t>2515 XP  Den Haag</w:t>
                    </w:r>
                  </w:p>
                  <w:p w14:paraId="2D6F486C" w14:textId="77777777" w:rsidR="005740E6" w:rsidRPr="001D2096" w:rsidRDefault="0061242A">
                    <w:pPr>
                      <w:pStyle w:val="Afzendgegevens"/>
                      <w:rPr>
                        <w:lang w:val="de-DE"/>
                      </w:rPr>
                    </w:pPr>
                    <w:r w:rsidRPr="001D2096">
                      <w:rPr>
                        <w:lang w:val="de-DE"/>
                      </w:rPr>
                      <w:t>Postbus 20901</w:t>
                    </w:r>
                  </w:p>
                  <w:p w14:paraId="213A2FCD" w14:textId="77777777" w:rsidR="005740E6" w:rsidRPr="001D2096" w:rsidRDefault="0061242A">
                    <w:pPr>
                      <w:pStyle w:val="Afzendgegevens"/>
                      <w:rPr>
                        <w:lang w:val="de-DE"/>
                      </w:rPr>
                    </w:pPr>
                    <w:r w:rsidRPr="001D2096">
                      <w:rPr>
                        <w:lang w:val="de-DE"/>
                      </w:rPr>
                      <w:t>2500 EX Den Haag</w:t>
                    </w:r>
                  </w:p>
                  <w:p w14:paraId="504899C6" w14:textId="77777777" w:rsidR="005740E6" w:rsidRPr="001D2096" w:rsidRDefault="005740E6">
                    <w:pPr>
                      <w:pStyle w:val="WitregelW1"/>
                      <w:rPr>
                        <w:lang w:val="de-DE"/>
                      </w:rPr>
                    </w:pPr>
                  </w:p>
                  <w:p w14:paraId="0C4013A7" w14:textId="77777777" w:rsidR="005740E6" w:rsidRPr="001D2096" w:rsidRDefault="0061242A">
                    <w:pPr>
                      <w:pStyle w:val="Afzendgegevens"/>
                      <w:rPr>
                        <w:lang w:val="de-DE"/>
                      </w:rPr>
                    </w:pPr>
                    <w:r w:rsidRPr="001D2096">
                      <w:rPr>
                        <w:lang w:val="de-DE"/>
                      </w:rPr>
                      <w:t>T   070-456 0000</w:t>
                    </w:r>
                  </w:p>
                  <w:p w14:paraId="113EB587" w14:textId="77777777" w:rsidR="005740E6" w:rsidRDefault="0061242A">
                    <w:pPr>
                      <w:pStyle w:val="Afzendgegevens"/>
                    </w:pPr>
                    <w:r>
                      <w:t>F   070-456 1111</w:t>
                    </w:r>
                  </w:p>
                  <w:p w14:paraId="2F6E01FC" w14:textId="77777777" w:rsidR="0061242A" w:rsidRDefault="0061242A" w:rsidP="0061242A"/>
                  <w:p w14:paraId="319828C5" w14:textId="13EFBE58" w:rsidR="0061242A" w:rsidRPr="0061242A" w:rsidRDefault="0061242A" w:rsidP="0061242A">
                    <w:pPr>
                      <w:spacing w:line="276" w:lineRule="auto"/>
                      <w:rPr>
                        <w:b/>
                        <w:bCs/>
                        <w:sz w:val="13"/>
                        <w:szCs w:val="13"/>
                      </w:rPr>
                    </w:pPr>
                    <w:r w:rsidRPr="0061242A">
                      <w:rPr>
                        <w:b/>
                        <w:bCs/>
                        <w:sz w:val="13"/>
                        <w:szCs w:val="13"/>
                      </w:rPr>
                      <w:t>Kenmerk</w:t>
                    </w:r>
                  </w:p>
                  <w:p w14:paraId="340A0877" w14:textId="24E35DC1" w:rsidR="0061242A" w:rsidRPr="0061242A" w:rsidRDefault="0061242A" w:rsidP="0061242A">
                    <w:pPr>
                      <w:spacing w:line="276" w:lineRule="auto"/>
                      <w:rPr>
                        <w:sz w:val="13"/>
                        <w:szCs w:val="13"/>
                      </w:rPr>
                    </w:pPr>
                    <w:r w:rsidRPr="0061242A">
                      <w:rPr>
                        <w:sz w:val="13"/>
                        <w:szCs w:val="13"/>
                      </w:rPr>
                      <w:t>IENW/BSK-2024/369554</w:t>
                    </w:r>
                  </w:p>
                  <w:p w14:paraId="3EE0603F" w14:textId="77777777" w:rsidR="0061242A" w:rsidRPr="0061242A" w:rsidRDefault="0061242A" w:rsidP="0061242A">
                    <w:pPr>
                      <w:rPr>
                        <w:sz w:val="13"/>
                        <w:szCs w:val="13"/>
                      </w:rPr>
                    </w:pPr>
                  </w:p>
                  <w:p w14:paraId="656E7D12" w14:textId="5D791E02" w:rsidR="0061242A" w:rsidRPr="0061242A" w:rsidRDefault="0061242A" w:rsidP="0061242A">
                    <w:pPr>
                      <w:spacing w:line="276" w:lineRule="auto"/>
                      <w:rPr>
                        <w:b/>
                        <w:bCs/>
                        <w:sz w:val="13"/>
                        <w:szCs w:val="13"/>
                      </w:rPr>
                    </w:pPr>
                    <w:r w:rsidRPr="0061242A">
                      <w:rPr>
                        <w:b/>
                        <w:bCs/>
                        <w:sz w:val="13"/>
                        <w:szCs w:val="13"/>
                      </w:rPr>
                      <w:t>Bijlage(n)</w:t>
                    </w:r>
                  </w:p>
                  <w:p w14:paraId="13C9087B" w14:textId="76A49C08" w:rsidR="0061242A" w:rsidRPr="0061242A" w:rsidRDefault="00E37E20" w:rsidP="0061242A">
                    <w:pPr>
                      <w:spacing w:line="276" w:lineRule="auto"/>
                      <w:rPr>
                        <w:sz w:val="13"/>
                        <w:szCs w:val="13"/>
                      </w:rPr>
                    </w:pPr>
                    <w:r>
                      <w:rPr>
                        <w:sz w:val="13"/>
                        <w:szCs w:val="13"/>
                      </w:rPr>
                      <w:t>8</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ED218CC" wp14:editId="2D0DFE90">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B64E630" w14:textId="77777777" w:rsidR="005740E6" w:rsidRDefault="0061242A">
                          <w:pPr>
                            <w:spacing w:line="240" w:lineRule="auto"/>
                          </w:pPr>
                          <w:r>
                            <w:rPr>
                              <w:noProof/>
                              <w:lang w:val="en-GB" w:eastAsia="en-GB"/>
                            </w:rPr>
                            <w:drawing>
                              <wp:inline distT="0" distB="0" distL="0" distR="0" wp14:anchorId="24CBE918" wp14:editId="3DBA0CF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D218CC"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B64E630" w14:textId="77777777" w:rsidR="005740E6" w:rsidRDefault="0061242A">
                    <w:pPr>
                      <w:spacing w:line="240" w:lineRule="auto"/>
                    </w:pPr>
                    <w:r>
                      <w:rPr>
                        <w:noProof/>
                        <w:lang w:val="en-GB" w:eastAsia="en-GB"/>
                      </w:rPr>
                      <w:drawing>
                        <wp:inline distT="0" distB="0" distL="0" distR="0" wp14:anchorId="24CBE918" wp14:editId="3DBA0CF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CEB937C" wp14:editId="4485C63A">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1509546" w14:textId="77777777" w:rsidR="005740E6" w:rsidRDefault="0061242A">
                          <w:pPr>
                            <w:spacing w:line="240" w:lineRule="auto"/>
                          </w:pPr>
                          <w:r>
                            <w:rPr>
                              <w:noProof/>
                              <w:lang w:val="en-GB" w:eastAsia="en-GB"/>
                            </w:rPr>
                            <w:drawing>
                              <wp:inline distT="0" distB="0" distL="0" distR="0" wp14:anchorId="25914CDC" wp14:editId="523E4C9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CEB937C"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1509546" w14:textId="77777777" w:rsidR="005740E6" w:rsidRDefault="0061242A">
                    <w:pPr>
                      <w:spacing w:line="240" w:lineRule="auto"/>
                    </w:pPr>
                    <w:r>
                      <w:rPr>
                        <w:noProof/>
                        <w:lang w:val="en-GB" w:eastAsia="en-GB"/>
                      </w:rPr>
                      <w:drawing>
                        <wp:inline distT="0" distB="0" distL="0" distR="0" wp14:anchorId="25914CDC" wp14:editId="523E4C9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B12722A" wp14:editId="6DB29FF4">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823FEDF" w14:textId="77777777" w:rsidR="005740E6" w:rsidRDefault="0061242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B12722A"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823FEDF" w14:textId="77777777" w:rsidR="005740E6" w:rsidRDefault="0061242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8AF46A7" wp14:editId="77366DF9">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1F67DB5" w14:textId="77777777" w:rsidR="005740E6" w:rsidRDefault="0061242A">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8AF46A7"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1F67DB5" w14:textId="77777777" w:rsidR="005740E6" w:rsidRDefault="0061242A">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E25ECA7" wp14:editId="0FF4C4F9">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740E6" w14:paraId="66DC6B47" w14:textId="77777777">
                            <w:trPr>
                              <w:trHeight w:val="200"/>
                            </w:trPr>
                            <w:tc>
                              <w:tcPr>
                                <w:tcW w:w="1140" w:type="dxa"/>
                              </w:tcPr>
                              <w:p w14:paraId="29D013B0" w14:textId="77777777" w:rsidR="005740E6" w:rsidRDefault="005740E6"/>
                            </w:tc>
                            <w:tc>
                              <w:tcPr>
                                <w:tcW w:w="5400" w:type="dxa"/>
                              </w:tcPr>
                              <w:p w14:paraId="2E900A00" w14:textId="77777777" w:rsidR="005740E6" w:rsidRDefault="005740E6"/>
                            </w:tc>
                          </w:tr>
                          <w:tr w:rsidR="005740E6" w14:paraId="668F61FC" w14:textId="77777777">
                            <w:trPr>
                              <w:trHeight w:val="240"/>
                            </w:trPr>
                            <w:tc>
                              <w:tcPr>
                                <w:tcW w:w="1140" w:type="dxa"/>
                              </w:tcPr>
                              <w:p w14:paraId="310C755C" w14:textId="77777777" w:rsidR="005740E6" w:rsidRDefault="0061242A">
                                <w:r>
                                  <w:t>Datum</w:t>
                                </w:r>
                              </w:p>
                            </w:tc>
                            <w:tc>
                              <w:tcPr>
                                <w:tcW w:w="5400" w:type="dxa"/>
                              </w:tcPr>
                              <w:p w14:paraId="45FF19D9" w14:textId="16A4FA87" w:rsidR="005740E6" w:rsidRDefault="00E37E20">
                                <w:r>
                                  <w:t>20 december 2024</w:t>
                                </w:r>
                              </w:p>
                            </w:tc>
                          </w:tr>
                          <w:tr w:rsidR="005740E6" w14:paraId="45C2EE1B" w14:textId="77777777">
                            <w:trPr>
                              <w:trHeight w:val="240"/>
                            </w:trPr>
                            <w:tc>
                              <w:tcPr>
                                <w:tcW w:w="1140" w:type="dxa"/>
                              </w:tcPr>
                              <w:p w14:paraId="25AEFDAE" w14:textId="77777777" w:rsidR="005740E6" w:rsidRDefault="0061242A">
                                <w:r>
                                  <w:t>Betreft</w:t>
                                </w:r>
                              </w:p>
                            </w:tc>
                            <w:tc>
                              <w:tcPr>
                                <w:tcW w:w="5400" w:type="dxa"/>
                              </w:tcPr>
                              <w:p w14:paraId="4546BCB9" w14:textId="281AAF60" w:rsidR="005740E6" w:rsidRDefault="007E6394">
                                <w:r>
                                  <w:t xml:space="preserve">Rapportage berekeningen balanced approach-procedure </w:t>
                                </w:r>
                              </w:p>
                            </w:tc>
                          </w:tr>
                          <w:tr w:rsidR="005740E6" w14:paraId="6F0BEF97" w14:textId="77777777">
                            <w:trPr>
                              <w:trHeight w:val="200"/>
                            </w:trPr>
                            <w:tc>
                              <w:tcPr>
                                <w:tcW w:w="1140" w:type="dxa"/>
                              </w:tcPr>
                              <w:p w14:paraId="62356709" w14:textId="77777777" w:rsidR="005740E6" w:rsidRDefault="005740E6"/>
                            </w:tc>
                            <w:tc>
                              <w:tcPr>
                                <w:tcW w:w="5400" w:type="dxa"/>
                              </w:tcPr>
                              <w:p w14:paraId="35BEAD52" w14:textId="77777777" w:rsidR="005740E6" w:rsidRDefault="005740E6"/>
                            </w:tc>
                          </w:tr>
                        </w:tbl>
                        <w:p w14:paraId="37F354AA" w14:textId="77777777" w:rsidR="00952264" w:rsidRDefault="00952264"/>
                      </w:txbxContent>
                    </wps:txbx>
                    <wps:bodyPr vert="horz" wrap="square" lIns="0" tIns="0" rIns="0" bIns="0" anchor="t" anchorCtr="0"/>
                  </wps:wsp>
                </a:graphicData>
              </a:graphic>
            </wp:anchor>
          </w:drawing>
        </mc:Choice>
        <mc:Fallback>
          <w:pict>
            <v:shape w14:anchorId="7E25ECA7"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5740E6" w14:paraId="66DC6B47" w14:textId="77777777">
                      <w:trPr>
                        <w:trHeight w:val="200"/>
                      </w:trPr>
                      <w:tc>
                        <w:tcPr>
                          <w:tcW w:w="1140" w:type="dxa"/>
                        </w:tcPr>
                        <w:p w14:paraId="29D013B0" w14:textId="77777777" w:rsidR="005740E6" w:rsidRDefault="005740E6"/>
                      </w:tc>
                      <w:tc>
                        <w:tcPr>
                          <w:tcW w:w="5400" w:type="dxa"/>
                        </w:tcPr>
                        <w:p w14:paraId="2E900A00" w14:textId="77777777" w:rsidR="005740E6" w:rsidRDefault="005740E6"/>
                      </w:tc>
                    </w:tr>
                    <w:tr w:rsidR="005740E6" w14:paraId="668F61FC" w14:textId="77777777">
                      <w:trPr>
                        <w:trHeight w:val="240"/>
                      </w:trPr>
                      <w:tc>
                        <w:tcPr>
                          <w:tcW w:w="1140" w:type="dxa"/>
                        </w:tcPr>
                        <w:p w14:paraId="310C755C" w14:textId="77777777" w:rsidR="005740E6" w:rsidRDefault="0061242A">
                          <w:r>
                            <w:t>Datum</w:t>
                          </w:r>
                        </w:p>
                      </w:tc>
                      <w:tc>
                        <w:tcPr>
                          <w:tcW w:w="5400" w:type="dxa"/>
                        </w:tcPr>
                        <w:p w14:paraId="45FF19D9" w14:textId="16A4FA87" w:rsidR="005740E6" w:rsidRDefault="00E37E20">
                          <w:r>
                            <w:t>20 december 2024</w:t>
                          </w:r>
                        </w:p>
                      </w:tc>
                    </w:tr>
                    <w:tr w:rsidR="005740E6" w14:paraId="45C2EE1B" w14:textId="77777777">
                      <w:trPr>
                        <w:trHeight w:val="240"/>
                      </w:trPr>
                      <w:tc>
                        <w:tcPr>
                          <w:tcW w:w="1140" w:type="dxa"/>
                        </w:tcPr>
                        <w:p w14:paraId="25AEFDAE" w14:textId="77777777" w:rsidR="005740E6" w:rsidRDefault="0061242A">
                          <w:r>
                            <w:t>Betreft</w:t>
                          </w:r>
                        </w:p>
                      </w:tc>
                      <w:tc>
                        <w:tcPr>
                          <w:tcW w:w="5400" w:type="dxa"/>
                        </w:tcPr>
                        <w:p w14:paraId="4546BCB9" w14:textId="281AAF60" w:rsidR="005740E6" w:rsidRDefault="007E6394">
                          <w:r>
                            <w:t xml:space="preserve">Rapportage berekeningen balanced approach-procedure </w:t>
                          </w:r>
                        </w:p>
                      </w:tc>
                    </w:tr>
                    <w:tr w:rsidR="005740E6" w14:paraId="6F0BEF97" w14:textId="77777777">
                      <w:trPr>
                        <w:trHeight w:val="200"/>
                      </w:trPr>
                      <w:tc>
                        <w:tcPr>
                          <w:tcW w:w="1140" w:type="dxa"/>
                        </w:tcPr>
                        <w:p w14:paraId="62356709" w14:textId="77777777" w:rsidR="005740E6" w:rsidRDefault="005740E6"/>
                      </w:tc>
                      <w:tc>
                        <w:tcPr>
                          <w:tcW w:w="5400" w:type="dxa"/>
                        </w:tcPr>
                        <w:p w14:paraId="35BEAD52" w14:textId="77777777" w:rsidR="005740E6" w:rsidRDefault="005740E6"/>
                      </w:tc>
                    </w:tr>
                  </w:tbl>
                  <w:p w14:paraId="37F354AA" w14:textId="77777777" w:rsidR="00952264" w:rsidRDefault="0095226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C353323" wp14:editId="5FF7A5C5">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59B6F76" w14:textId="77777777" w:rsidR="00952264" w:rsidRDefault="00952264"/>
                      </w:txbxContent>
                    </wps:txbx>
                    <wps:bodyPr vert="horz" wrap="square" lIns="0" tIns="0" rIns="0" bIns="0" anchor="t" anchorCtr="0"/>
                  </wps:wsp>
                </a:graphicData>
              </a:graphic>
            </wp:anchor>
          </w:drawing>
        </mc:Choice>
        <mc:Fallback>
          <w:pict>
            <v:shape w14:anchorId="3C353323"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659B6F76" w14:textId="77777777" w:rsidR="00952264" w:rsidRDefault="0095226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9D6E65"/>
    <w:multiLevelType w:val="multilevel"/>
    <w:tmpl w:val="D3835C7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686D4F9"/>
    <w:multiLevelType w:val="multilevel"/>
    <w:tmpl w:val="D3F6BD5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A61F064"/>
    <w:multiLevelType w:val="multilevel"/>
    <w:tmpl w:val="E731FE8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B1A9318"/>
    <w:multiLevelType w:val="multilevel"/>
    <w:tmpl w:val="99E4BB8F"/>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14E1281"/>
    <w:multiLevelType w:val="multilevel"/>
    <w:tmpl w:val="4F76E514"/>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21D3075"/>
    <w:multiLevelType w:val="multilevel"/>
    <w:tmpl w:val="E5D5B91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F784211B"/>
    <w:multiLevelType w:val="multilevel"/>
    <w:tmpl w:val="AD85C0A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1156026"/>
    <w:multiLevelType w:val="multilevel"/>
    <w:tmpl w:val="3CB811E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3A044A"/>
    <w:multiLevelType w:val="multilevel"/>
    <w:tmpl w:val="AD2033A4"/>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5C2756"/>
    <w:multiLevelType w:val="multilevel"/>
    <w:tmpl w:val="D5FEA60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14C181C6"/>
    <w:multiLevelType w:val="multilevel"/>
    <w:tmpl w:val="3046698A"/>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8D83F5"/>
    <w:multiLevelType w:val="multilevel"/>
    <w:tmpl w:val="51381BF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47B9FB"/>
    <w:multiLevelType w:val="multilevel"/>
    <w:tmpl w:val="0157E6B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9D7782"/>
    <w:multiLevelType w:val="multilevel"/>
    <w:tmpl w:val="B253241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98E77D"/>
    <w:multiLevelType w:val="multilevel"/>
    <w:tmpl w:val="DA425D6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68ACC7"/>
    <w:multiLevelType w:val="multilevel"/>
    <w:tmpl w:val="E7E22E0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605D21"/>
    <w:multiLevelType w:val="multilevel"/>
    <w:tmpl w:val="77EB29B3"/>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12CE53"/>
    <w:multiLevelType w:val="multilevel"/>
    <w:tmpl w:val="F799ABED"/>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F54D2F"/>
    <w:multiLevelType w:val="multilevel"/>
    <w:tmpl w:val="80440E1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CB9FE3"/>
    <w:multiLevelType w:val="multilevel"/>
    <w:tmpl w:val="96BEA178"/>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8EA1AD"/>
    <w:multiLevelType w:val="multilevel"/>
    <w:tmpl w:val="5316FCC6"/>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75AD65"/>
    <w:multiLevelType w:val="multilevel"/>
    <w:tmpl w:val="09ACB53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C3D996"/>
    <w:multiLevelType w:val="multilevel"/>
    <w:tmpl w:val="E573B43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BD173D"/>
    <w:multiLevelType w:val="hybridMultilevel"/>
    <w:tmpl w:val="1B2A9D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8"/>
  </w:num>
  <w:num w:numId="4">
    <w:abstractNumId w:val="6"/>
  </w:num>
  <w:num w:numId="5">
    <w:abstractNumId w:val="5"/>
  </w:num>
  <w:num w:numId="6">
    <w:abstractNumId w:val="15"/>
  </w:num>
  <w:num w:numId="7">
    <w:abstractNumId w:val="22"/>
  </w:num>
  <w:num w:numId="8">
    <w:abstractNumId w:val="17"/>
  </w:num>
  <w:num w:numId="9">
    <w:abstractNumId w:val="4"/>
  </w:num>
  <w:num w:numId="10">
    <w:abstractNumId w:val="12"/>
  </w:num>
  <w:num w:numId="11">
    <w:abstractNumId w:val="0"/>
  </w:num>
  <w:num w:numId="12">
    <w:abstractNumId w:val="9"/>
  </w:num>
  <w:num w:numId="13">
    <w:abstractNumId w:val="11"/>
  </w:num>
  <w:num w:numId="14">
    <w:abstractNumId w:val="1"/>
  </w:num>
  <w:num w:numId="15">
    <w:abstractNumId w:val="13"/>
  </w:num>
  <w:num w:numId="16">
    <w:abstractNumId w:val="2"/>
  </w:num>
  <w:num w:numId="17">
    <w:abstractNumId w:val="18"/>
  </w:num>
  <w:num w:numId="18">
    <w:abstractNumId w:val="14"/>
  </w:num>
  <w:num w:numId="19">
    <w:abstractNumId w:val="19"/>
  </w:num>
  <w:num w:numId="20">
    <w:abstractNumId w:val="10"/>
  </w:num>
  <w:num w:numId="21">
    <w:abstractNumId w:val="16"/>
  </w:num>
  <w:num w:numId="22">
    <w:abstractNumId w:val="7"/>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96"/>
    <w:rsid w:val="00016661"/>
    <w:rsid w:val="000E48F2"/>
    <w:rsid w:val="00130FF1"/>
    <w:rsid w:val="001314C7"/>
    <w:rsid w:val="001D2096"/>
    <w:rsid w:val="001E079A"/>
    <w:rsid w:val="002045BA"/>
    <w:rsid w:val="00464CBD"/>
    <w:rsid w:val="004D1ECD"/>
    <w:rsid w:val="00515580"/>
    <w:rsid w:val="005578F9"/>
    <w:rsid w:val="005740E6"/>
    <w:rsid w:val="0061242A"/>
    <w:rsid w:val="0064311C"/>
    <w:rsid w:val="006D5B57"/>
    <w:rsid w:val="007E6394"/>
    <w:rsid w:val="00822593"/>
    <w:rsid w:val="008A32E3"/>
    <w:rsid w:val="00925D4C"/>
    <w:rsid w:val="009260CB"/>
    <w:rsid w:val="00952264"/>
    <w:rsid w:val="009B6C54"/>
    <w:rsid w:val="00AD1E60"/>
    <w:rsid w:val="00C45D90"/>
    <w:rsid w:val="00D82E47"/>
    <w:rsid w:val="00D95E3D"/>
    <w:rsid w:val="00E37E20"/>
    <w:rsid w:val="00EE5353"/>
    <w:rsid w:val="00F456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5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1D2096"/>
    <w:pPr>
      <w:tabs>
        <w:tab w:val="center" w:pos="4536"/>
        <w:tab w:val="right" w:pos="9072"/>
      </w:tabs>
      <w:spacing w:line="240" w:lineRule="auto"/>
    </w:pPr>
  </w:style>
  <w:style w:type="character" w:customStyle="1" w:styleId="HeaderChar">
    <w:name w:val="Header Char"/>
    <w:basedOn w:val="DefaultParagraphFont"/>
    <w:link w:val="Header"/>
    <w:uiPriority w:val="99"/>
    <w:rsid w:val="001D2096"/>
    <w:rPr>
      <w:rFonts w:ascii="Verdana" w:hAnsi="Verdana"/>
      <w:color w:val="000000"/>
      <w:sz w:val="18"/>
      <w:szCs w:val="18"/>
    </w:rPr>
  </w:style>
  <w:style w:type="paragraph" w:styleId="Footer">
    <w:name w:val="footer"/>
    <w:basedOn w:val="Normal"/>
    <w:link w:val="FooterChar"/>
    <w:uiPriority w:val="99"/>
    <w:unhideWhenUsed/>
    <w:rsid w:val="001D2096"/>
    <w:pPr>
      <w:tabs>
        <w:tab w:val="center" w:pos="4536"/>
        <w:tab w:val="right" w:pos="9072"/>
      </w:tabs>
      <w:spacing w:line="240" w:lineRule="auto"/>
    </w:pPr>
  </w:style>
  <w:style w:type="character" w:customStyle="1" w:styleId="FooterChar">
    <w:name w:val="Footer Char"/>
    <w:basedOn w:val="DefaultParagraphFont"/>
    <w:link w:val="Footer"/>
    <w:uiPriority w:val="99"/>
    <w:rsid w:val="001D2096"/>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1E079A"/>
    <w:rPr>
      <w:color w:val="605E5C"/>
      <w:shd w:val="clear" w:color="auto" w:fill="E1DFDD"/>
    </w:rPr>
  </w:style>
  <w:style w:type="paragraph" w:styleId="ListParagraph">
    <w:name w:val="List Paragraph"/>
    <w:basedOn w:val="Normal"/>
    <w:uiPriority w:val="34"/>
    <w:semiHidden/>
    <w:rsid w:val="001E079A"/>
    <w:pPr>
      <w:ind w:left="720"/>
      <w:contextualSpacing/>
    </w:pPr>
  </w:style>
  <w:style w:type="paragraph" w:styleId="Revision">
    <w:name w:val="Revision"/>
    <w:hidden/>
    <w:uiPriority w:val="99"/>
    <w:semiHidden/>
    <w:rsid w:val="000E48F2"/>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515580"/>
    <w:pPr>
      <w:spacing w:line="240" w:lineRule="auto"/>
    </w:pPr>
    <w:rPr>
      <w:sz w:val="20"/>
      <w:szCs w:val="20"/>
    </w:rPr>
  </w:style>
  <w:style w:type="character" w:customStyle="1" w:styleId="FootnoteTextChar">
    <w:name w:val="Footnote Text Char"/>
    <w:basedOn w:val="DefaultParagraphFont"/>
    <w:link w:val="FootnoteText"/>
    <w:uiPriority w:val="99"/>
    <w:semiHidden/>
    <w:rsid w:val="00515580"/>
    <w:rPr>
      <w:rFonts w:ascii="Verdana" w:hAnsi="Verdana"/>
      <w:color w:val="000000"/>
    </w:rPr>
  </w:style>
  <w:style w:type="character" w:styleId="FootnoteReference">
    <w:name w:val="footnote reference"/>
    <w:basedOn w:val="DefaultParagraphFont"/>
    <w:uiPriority w:val="99"/>
    <w:semiHidden/>
    <w:unhideWhenUsed/>
    <w:rsid w:val="005155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5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yperlink" Target="https://www.luchtvaartindetoekomst.nl/onderwerpen/besluit-minder-vluchten-schiphol/spoor-2-balanced-approach"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480</ap:Words>
  <ap:Characters>2742</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Brief aan Parlement - Toezegging twee minuten debat</vt:lpstr>
    </vt:vector>
  </ap:TitlesOfParts>
  <ap:LinksUpToDate>false</ap:LinksUpToDate>
  <ap:CharactersWithSpaces>3216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2024-12-20T14:15:00.0000000Z</dcterms:created>
  <dcterms:modified xsi:type="dcterms:W3CDTF">2024-12-20T14:15:00.0000000Z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Toezegging twee minuten debat</vt:lpwstr>
  </property>
  <property fmtid="{D5CDD505-2E9C-101B-9397-08002B2CF9AE}" pid="5" name="Publicatiedatum">
    <vt:lpwstr/>
  </property>
  <property fmtid="{D5CDD505-2E9C-101B-9397-08002B2CF9AE}" pid="6" name="Verantwoordelijke organisatie">
    <vt:lpwstr>Prog.dir. Omgeving Luchthaven Schiphol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A.M. Nanninga</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