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19E5" w:rsidR="005D19E5" w:rsidP="005D19E5" w:rsidRDefault="005D19E5" w14:paraId="1D2A1036" w14:textId="58E2B388">
      <w:pPr>
        <w:spacing w:line="240" w:lineRule="auto"/>
        <w:jc w:val="center"/>
        <w:rPr>
          <w:b/>
          <w:bCs/>
          <w:noProof/>
          <w:szCs w:val="18"/>
          <w:u w:val="single"/>
        </w:rPr>
      </w:pPr>
      <w:r w:rsidRPr="005D19E5">
        <w:rPr>
          <w:b/>
          <w:bCs/>
          <w:noProof/>
          <w:szCs w:val="18"/>
          <w:u w:val="single"/>
        </w:rPr>
        <w:t xml:space="preserve">Bijlage 1 - Beknopte toelichting op </w:t>
      </w:r>
      <w:r>
        <w:rPr>
          <w:b/>
          <w:bCs/>
          <w:noProof/>
          <w:szCs w:val="18"/>
          <w:u w:val="single"/>
        </w:rPr>
        <w:t>een aantal</w:t>
      </w:r>
      <w:r w:rsidRPr="005D19E5">
        <w:rPr>
          <w:b/>
          <w:bCs/>
          <w:noProof/>
          <w:szCs w:val="18"/>
          <w:u w:val="single"/>
        </w:rPr>
        <w:t xml:space="preserve"> wijzigingen in de IHR zoals aangenomen tijdens WHA77 (niet uitputtend)</w:t>
      </w:r>
    </w:p>
    <w:p w:rsidRPr="005D19E5" w:rsidR="005D19E5" w:rsidP="005D19E5" w:rsidRDefault="005D19E5" w14:paraId="71BCA20F" w14:textId="77777777">
      <w:pPr>
        <w:spacing w:line="240" w:lineRule="auto"/>
        <w:rPr>
          <w:noProof/>
          <w:szCs w:val="18"/>
        </w:rPr>
      </w:pPr>
    </w:p>
    <w:tbl>
      <w:tblPr>
        <w:tblStyle w:val="Tabelraster"/>
        <w:tblW w:w="0" w:type="auto"/>
        <w:tblLook w:val="04A0" w:firstRow="1" w:lastRow="0" w:firstColumn="1" w:lastColumn="0" w:noHBand="0" w:noVBand="1"/>
      </w:tblPr>
      <w:tblGrid>
        <w:gridCol w:w="1103"/>
        <w:gridCol w:w="4006"/>
        <w:gridCol w:w="3908"/>
      </w:tblGrid>
      <w:tr w:rsidRPr="005D19E5" w:rsidR="005D19E5" w:rsidTr="00B23C71" w14:paraId="636D1C5E" w14:textId="77777777">
        <w:tc>
          <w:tcPr>
            <w:tcW w:w="0" w:type="auto"/>
          </w:tcPr>
          <w:p w:rsidRPr="005D19E5" w:rsidR="005D19E5" w:rsidP="00B23C71" w:rsidRDefault="005D19E5" w14:paraId="6CA20D5C" w14:textId="77777777">
            <w:pPr>
              <w:rPr>
                <w:rFonts w:ascii="Verdana" w:hAnsi="Verdana"/>
                <w:b/>
                <w:bCs/>
                <w:sz w:val="18"/>
                <w:szCs w:val="18"/>
              </w:rPr>
            </w:pPr>
            <w:r w:rsidRPr="005D19E5">
              <w:rPr>
                <w:rFonts w:ascii="Verdana" w:hAnsi="Verdana"/>
                <w:b/>
                <w:bCs/>
                <w:sz w:val="18"/>
                <w:szCs w:val="18"/>
              </w:rPr>
              <w:t>Artikel</w:t>
            </w:r>
          </w:p>
        </w:tc>
        <w:tc>
          <w:tcPr>
            <w:tcW w:w="0" w:type="auto"/>
          </w:tcPr>
          <w:p w:rsidRPr="005D19E5" w:rsidR="005D19E5" w:rsidP="00B23C71" w:rsidRDefault="005D19E5" w14:paraId="1FE782A0" w14:textId="77777777">
            <w:pPr>
              <w:rPr>
                <w:rFonts w:ascii="Verdana" w:hAnsi="Verdana"/>
                <w:b/>
                <w:bCs/>
                <w:sz w:val="18"/>
                <w:szCs w:val="18"/>
              </w:rPr>
            </w:pPr>
            <w:r w:rsidRPr="005D19E5">
              <w:rPr>
                <w:rFonts w:ascii="Verdana" w:hAnsi="Verdana"/>
                <w:b/>
                <w:bCs/>
                <w:sz w:val="18"/>
                <w:szCs w:val="18"/>
              </w:rPr>
              <w:t>Omschrijving wijziging</w:t>
            </w:r>
          </w:p>
        </w:tc>
        <w:tc>
          <w:tcPr>
            <w:tcW w:w="0" w:type="auto"/>
          </w:tcPr>
          <w:p w:rsidRPr="005D19E5" w:rsidR="005D19E5" w:rsidP="00B23C71" w:rsidRDefault="005D19E5" w14:paraId="0F8B05E0" w14:textId="77777777">
            <w:pPr>
              <w:rPr>
                <w:rFonts w:ascii="Verdana" w:hAnsi="Verdana"/>
                <w:b/>
                <w:bCs/>
                <w:sz w:val="18"/>
                <w:szCs w:val="18"/>
              </w:rPr>
            </w:pPr>
            <w:r w:rsidRPr="005D19E5">
              <w:rPr>
                <w:rFonts w:ascii="Verdana" w:hAnsi="Verdana"/>
                <w:b/>
                <w:bCs/>
                <w:sz w:val="18"/>
                <w:szCs w:val="18"/>
              </w:rPr>
              <w:t>Beknopte toelichting</w:t>
            </w:r>
          </w:p>
        </w:tc>
      </w:tr>
      <w:tr w:rsidRPr="005D19E5" w:rsidR="005D19E5" w:rsidTr="00B23C71" w14:paraId="09170CDB" w14:textId="77777777">
        <w:tc>
          <w:tcPr>
            <w:tcW w:w="0" w:type="auto"/>
          </w:tcPr>
          <w:p w:rsidRPr="005D19E5" w:rsidR="005D19E5" w:rsidP="00B23C71" w:rsidRDefault="005D19E5" w14:paraId="6BE6329D" w14:textId="77777777">
            <w:pPr>
              <w:rPr>
                <w:rFonts w:ascii="Verdana" w:hAnsi="Verdana"/>
                <w:sz w:val="18"/>
                <w:szCs w:val="18"/>
              </w:rPr>
            </w:pPr>
            <w:r w:rsidRPr="005D19E5">
              <w:rPr>
                <w:rFonts w:ascii="Verdana" w:hAnsi="Verdana"/>
                <w:sz w:val="18"/>
                <w:szCs w:val="18"/>
              </w:rPr>
              <w:t>Artikel 1</w:t>
            </w:r>
          </w:p>
        </w:tc>
        <w:tc>
          <w:tcPr>
            <w:tcW w:w="0" w:type="auto"/>
          </w:tcPr>
          <w:p w:rsidRPr="005D19E5" w:rsidR="005D19E5" w:rsidP="00B23C71" w:rsidRDefault="005D19E5" w14:paraId="7930A386" w14:textId="77777777">
            <w:pPr>
              <w:rPr>
                <w:rFonts w:ascii="Verdana" w:hAnsi="Verdana"/>
                <w:sz w:val="18"/>
                <w:szCs w:val="18"/>
              </w:rPr>
            </w:pPr>
            <w:r w:rsidRPr="005D19E5">
              <w:rPr>
                <w:rFonts w:ascii="Verdana" w:hAnsi="Verdana"/>
                <w:sz w:val="18"/>
                <w:szCs w:val="18"/>
              </w:rPr>
              <w:t xml:space="preserve">Toevoeging van en definitie voor de </w:t>
            </w:r>
            <w:r w:rsidRPr="005D19E5">
              <w:rPr>
                <w:rFonts w:ascii="Verdana" w:hAnsi="Verdana"/>
                <w:i/>
                <w:iCs/>
                <w:sz w:val="18"/>
                <w:szCs w:val="18"/>
              </w:rPr>
              <w:t>Nationale IHR autoriteit,</w:t>
            </w:r>
            <w:r w:rsidRPr="005D19E5">
              <w:rPr>
                <w:rFonts w:ascii="Verdana" w:hAnsi="Verdana"/>
                <w:sz w:val="18"/>
                <w:szCs w:val="18"/>
              </w:rPr>
              <w:t xml:space="preserve"> die verantwoordelijk is voor de implementatie van de IHR.</w:t>
            </w:r>
          </w:p>
        </w:tc>
        <w:tc>
          <w:tcPr>
            <w:tcW w:w="0" w:type="auto"/>
          </w:tcPr>
          <w:p w:rsidRPr="005D19E5" w:rsidR="005D19E5" w:rsidP="00B23C71" w:rsidRDefault="005D19E5" w14:paraId="59FE3A7F" w14:textId="77777777">
            <w:pPr>
              <w:rPr>
                <w:rFonts w:ascii="Verdana" w:hAnsi="Verdana"/>
                <w:sz w:val="18"/>
                <w:szCs w:val="18"/>
              </w:rPr>
            </w:pPr>
            <w:r w:rsidRPr="005D19E5">
              <w:rPr>
                <w:rFonts w:ascii="Verdana" w:hAnsi="Verdana"/>
                <w:sz w:val="18"/>
                <w:szCs w:val="18"/>
              </w:rPr>
              <w:t>Deze definitie is toegevoegd omdat in sommige staten de coördinatie van crisisparaatheid niet bij de gezondheidsautoriteit ligt.</w:t>
            </w:r>
          </w:p>
        </w:tc>
      </w:tr>
      <w:tr w:rsidRPr="005D19E5" w:rsidR="005D19E5" w:rsidTr="00B23C71" w14:paraId="4D12624E" w14:textId="77777777">
        <w:tc>
          <w:tcPr>
            <w:tcW w:w="0" w:type="auto"/>
          </w:tcPr>
          <w:p w:rsidRPr="005D19E5" w:rsidR="005D19E5" w:rsidP="00B23C71" w:rsidRDefault="005D19E5" w14:paraId="5454E48E" w14:textId="77777777">
            <w:pPr>
              <w:rPr>
                <w:rFonts w:ascii="Verdana" w:hAnsi="Verdana"/>
                <w:sz w:val="18"/>
                <w:szCs w:val="18"/>
              </w:rPr>
            </w:pPr>
          </w:p>
        </w:tc>
        <w:tc>
          <w:tcPr>
            <w:tcW w:w="0" w:type="auto"/>
          </w:tcPr>
          <w:p w:rsidRPr="005D19E5" w:rsidR="005D19E5" w:rsidP="00B23C71" w:rsidRDefault="005D19E5" w14:paraId="57D101DD" w14:textId="77777777">
            <w:pPr>
              <w:rPr>
                <w:rFonts w:ascii="Verdana" w:hAnsi="Verdana"/>
                <w:sz w:val="18"/>
                <w:szCs w:val="18"/>
              </w:rPr>
            </w:pPr>
            <w:r w:rsidRPr="005D19E5">
              <w:rPr>
                <w:rFonts w:ascii="Verdana" w:hAnsi="Verdana"/>
                <w:sz w:val="18"/>
                <w:szCs w:val="18"/>
              </w:rPr>
              <w:t xml:space="preserve">Toevoeging van een definitie van een </w:t>
            </w:r>
            <w:r w:rsidRPr="005D19E5">
              <w:rPr>
                <w:rFonts w:ascii="Verdana" w:hAnsi="Verdana"/>
                <w:i/>
                <w:iCs/>
                <w:sz w:val="18"/>
                <w:szCs w:val="18"/>
              </w:rPr>
              <w:t xml:space="preserve">‘pandemische noodsituatie’ </w:t>
            </w:r>
            <w:r w:rsidRPr="005D19E5">
              <w:rPr>
                <w:rFonts w:ascii="Verdana" w:hAnsi="Verdana"/>
                <w:sz w:val="18"/>
                <w:szCs w:val="18"/>
              </w:rPr>
              <w:t>en de criteria op basis waarvan deze uitgeroepen kan worden.</w:t>
            </w:r>
          </w:p>
        </w:tc>
        <w:tc>
          <w:tcPr>
            <w:tcW w:w="0" w:type="auto"/>
          </w:tcPr>
          <w:p w:rsidRPr="005D19E5" w:rsidR="005D19E5" w:rsidP="00B23C71" w:rsidRDefault="005D19E5" w14:paraId="084152CE" w14:textId="77777777">
            <w:pPr>
              <w:rPr>
                <w:rFonts w:ascii="Verdana" w:hAnsi="Verdana"/>
                <w:sz w:val="18"/>
                <w:szCs w:val="18"/>
              </w:rPr>
            </w:pPr>
            <w:r w:rsidRPr="005D19E5">
              <w:rPr>
                <w:rFonts w:ascii="Verdana" w:hAnsi="Verdana"/>
                <w:sz w:val="18"/>
                <w:szCs w:val="18"/>
              </w:rPr>
              <w:t xml:space="preserve">Deze definitie is toegevoegd om een pandemische noodsituatie beter te kunnen onderscheiden van de </w:t>
            </w:r>
            <w:r w:rsidRPr="005D19E5">
              <w:rPr>
                <w:rFonts w:ascii="Verdana" w:hAnsi="Verdana"/>
                <w:i/>
                <w:iCs/>
                <w:sz w:val="18"/>
                <w:szCs w:val="18"/>
              </w:rPr>
              <w:t xml:space="preserve">noodsituatie op het gebied van de volksgezondheid van internationaal belang (PHEIC) </w:t>
            </w:r>
            <w:r w:rsidRPr="005D19E5">
              <w:rPr>
                <w:rFonts w:ascii="Verdana" w:hAnsi="Verdana"/>
                <w:sz w:val="18"/>
                <w:szCs w:val="18"/>
              </w:rPr>
              <w:t xml:space="preserve">zoals deze in art. 12 staat omschreven. </w:t>
            </w:r>
          </w:p>
        </w:tc>
      </w:tr>
      <w:tr w:rsidRPr="005D19E5" w:rsidR="005D19E5" w:rsidTr="00B23C71" w14:paraId="33B92988" w14:textId="77777777">
        <w:tc>
          <w:tcPr>
            <w:tcW w:w="0" w:type="auto"/>
          </w:tcPr>
          <w:p w:rsidRPr="005D19E5" w:rsidR="005D19E5" w:rsidP="00B23C71" w:rsidRDefault="005D19E5" w14:paraId="55523063" w14:textId="77777777">
            <w:pPr>
              <w:rPr>
                <w:rFonts w:ascii="Verdana" w:hAnsi="Verdana"/>
                <w:sz w:val="18"/>
                <w:szCs w:val="18"/>
              </w:rPr>
            </w:pPr>
          </w:p>
        </w:tc>
        <w:tc>
          <w:tcPr>
            <w:tcW w:w="0" w:type="auto"/>
          </w:tcPr>
          <w:p w:rsidRPr="005D19E5" w:rsidR="005D19E5" w:rsidP="00B23C71" w:rsidRDefault="005D19E5" w14:paraId="4D172EF0" w14:textId="77777777">
            <w:pPr>
              <w:rPr>
                <w:rFonts w:ascii="Verdana" w:hAnsi="Verdana"/>
                <w:sz w:val="18"/>
                <w:szCs w:val="18"/>
              </w:rPr>
            </w:pPr>
            <w:r w:rsidRPr="005D19E5">
              <w:rPr>
                <w:rFonts w:ascii="Verdana" w:hAnsi="Verdana"/>
                <w:sz w:val="18"/>
                <w:szCs w:val="18"/>
              </w:rPr>
              <w:t xml:space="preserve">Toevoeging van een definitie inzake </w:t>
            </w:r>
            <w:r w:rsidRPr="005D19E5">
              <w:rPr>
                <w:rFonts w:ascii="Verdana" w:hAnsi="Verdana"/>
                <w:i/>
                <w:iCs/>
                <w:sz w:val="18"/>
                <w:szCs w:val="18"/>
              </w:rPr>
              <w:t>‘relevante gezondheidsproducten’.</w:t>
            </w:r>
          </w:p>
        </w:tc>
        <w:tc>
          <w:tcPr>
            <w:tcW w:w="0" w:type="auto"/>
          </w:tcPr>
          <w:p w:rsidRPr="005D19E5" w:rsidR="005D19E5" w:rsidP="00B23C71" w:rsidRDefault="005D19E5" w14:paraId="0D709963" w14:textId="77777777">
            <w:pPr>
              <w:rPr>
                <w:rFonts w:ascii="Verdana" w:hAnsi="Verdana"/>
                <w:sz w:val="18"/>
                <w:szCs w:val="18"/>
              </w:rPr>
            </w:pPr>
            <w:r w:rsidRPr="005D19E5">
              <w:rPr>
                <w:rFonts w:ascii="Verdana" w:hAnsi="Verdana"/>
                <w:sz w:val="18"/>
                <w:szCs w:val="18"/>
              </w:rPr>
              <w:t>Deze definitie is toegevoegd in verband met nieuwe bepalingen omtrent de beschikbaarheid van medische producten in een noodsituatie in artikelen 13, 15, 16, 17, .18 en bijlage 1</w:t>
            </w:r>
          </w:p>
        </w:tc>
      </w:tr>
      <w:tr w:rsidRPr="005D19E5" w:rsidR="005D19E5" w:rsidTr="00B23C71" w14:paraId="49522290" w14:textId="77777777">
        <w:tc>
          <w:tcPr>
            <w:tcW w:w="0" w:type="auto"/>
          </w:tcPr>
          <w:p w:rsidRPr="005D19E5" w:rsidR="005D19E5" w:rsidP="00B23C71" w:rsidRDefault="005D19E5" w14:paraId="617B1395" w14:textId="77777777">
            <w:pPr>
              <w:rPr>
                <w:rFonts w:ascii="Verdana" w:hAnsi="Verdana"/>
                <w:sz w:val="18"/>
                <w:szCs w:val="18"/>
              </w:rPr>
            </w:pPr>
            <w:r w:rsidRPr="005D19E5">
              <w:rPr>
                <w:rFonts w:ascii="Verdana" w:hAnsi="Verdana"/>
                <w:sz w:val="18"/>
                <w:szCs w:val="18"/>
              </w:rPr>
              <w:t>Artikel 2</w:t>
            </w:r>
          </w:p>
        </w:tc>
        <w:tc>
          <w:tcPr>
            <w:tcW w:w="0" w:type="auto"/>
          </w:tcPr>
          <w:p w:rsidRPr="005D19E5" w:rsidR="005D19E5" w:rsidP="00B23C71" w:rsidRDefault="005D19E5" w14:paraId="49AB186A" w14:textId="77777777">
            <w:pPr>
              <w:rPr>
                <w:rFonts w:ascii="Verdana" w:hAnsi="Verdana"/>
                <w:sz w:val="18"/>
                <w:szCs w:val="18"/>
              </w:rPr>
            </w:pPr>
            <w:r w:rsidRPr="005D19E5">
              <w:rPr>
                <w:rFonts w:ascii="Verdana" w:hAnsi="Verdana"/>
                <w:sz w:val="18"/>
                <w:szCs w:val="18"/>
              </w:rPr>
              <w:t xml:space="preserve">Toevoeging van </w:t>
            </w:r>
            <w:r w:rsidRPr="005D19E5">
              <w:rPr>
                <w:rFonts w:ascii="Verdana" w:hAnsi="Verdana"/>
                <w:i/>
                <w:iCs/>
                <w:sz w:val="18"/>
                <w:szCs w:val="18"/>
              </w:rPr>
              <w:t>‘voorbereiden op’</w:t>
            </w:r>
            <w:r w:rsidRPr="005D19E5">
              <w:rPr>
                <w:rFonts w:ascii="Verdana" w:hAnsi="Verdana"/>
                <w:sz w:val="18"/>
                <w:szCs w:val="18"/>
              </w:rPr>
              <w:t xml:space="preserve"> bij het doel en reikwijdte van de IHR.</w:t>
            </w:r>
          </w:p>
        </w:tc>
        <w:tc>
          <w:tcPr>
            <w:tcW w:w="0" w:type="auto"/>
          </w:tcPr>
          <w:p w:rsidRPr="005D19E5" w:rsidR="005D19E5" w:rsidP="00B23C71" w:rsidRDefault="005D19E5" w14:paraId="43D479D1" w14:textId="77777777">
            <w:pPr>
              <w:rPr>
                <w:rFonts w:ascii="Verdana" w:hAnsi="Verdana"/>
                <w:sz w:val="18"/>
                <w:szCs w:val="18"/>
              </w:rPr>
            </w:pPr>
            <w:r w:rsidRPr="005D19E5">
              <w:rPr>
                <w:rFonts w:ascii="Verdana" w:hAnsi="Verdana"/>
                <w:sz w:val="18"/>
                <w:szCs w:val="18"/>
              </w:rPr>
              <w:t>Hiermee wordt het belang van paraatheid op internationale noodsituaties benadrukt, ook wanneer er geen crisis is.</w:t>
            </w:r>
          </w:p>
        </w:tc>
      </w:tr>
      <w:tr w:rsidRPr="005D19E5" w:rsidR="005D19E5" w:rsidTr="00B23C71" w14:paraId="0126FB72" w14:textId="77777777">
        <w:tc>
          <w:tcPr>
            <w:tcW w:w="0" w:type="auto"/>
          </w:tcPr>
          <w:p w:rsidRPr="005D19E5" w:rsidR="005D19E5" w:rsidP="00B23C71" w:rsidRDefault="005D19E5" w14:paraId="6F04CDC5" w14:textId="77777777">
            <w:pPr>
              <w:rPr>
                <w:rFonts w:ascii="Verdana" w:hAnsi="Verdana"/>
                <w:sz w:val="18"/>
                <w:szCs w:val="18"/>
              </w:rPr>
            </w:pPr>
            <w:r w:rsidRPr="005D19E5">
              <w:rPr>
                <w:rFonts w:ascii="Verdana" w:hAnsi="Verdana"/>
                <w:sz w:val="18"/>
                <w:szCs w:val="18"/>
              </w:rPr>
              <w:t>Artikel 4</w:t>
            </w:r>
          </w:p>
        </w:tc>
        <w:tc>
          <w:tcPr>
            <w:tcW w:w="0" w:type="auto"/>
          </w:tcPr>
          <w:p w:rsidRPr="005D19E5" w:rsidR="005D19E5" w:rsidP="00B23C71" w:rsidRDefault="005D19E5" w14:paraId="2656E824" w14:textId="77777777">
            <w:pPr>
              <w:rPr>
                <w:rFonts w:ascii="Verdana" w:hAnsi="Verdana"/>
                <w:sz w:val="18"/>
                <w:szCs w:val="18"/>
              </w:rPr>
            </w:pPr>
            <w:r w:rsidRPr="005D19E5">
              <w:rPr>
                <w:rFonts w:ascii="Verdana" w:hAnsi="Verdana"/>
                <w:sz w:val="18"/>
                <w:szCs w:val="18"/>
              </w:rPr>
              <w:t>Toevoeging van een verplichting om een nationale IHR-autoriteit aan te wijzen dan wel op te richten.</w:t>
            </w:r>
          </w:p>
        </w:tc>
        <w:tc>
          <w:tcPr>
            <w:tcW w:w="0" w:type="auto"/>
          </w:tcPr>
          <w:p w:rsidRPr="005D19E5" w:rsidR="005D19E5" w:rsidP="00B23C71" w:rsidRDefault="005D19E5" w14:paraId="6F14845E" w14:textId="77777777">
            <w:pPr>
              <w:rPr>
                <w:rFonts w:ascii="Verdana" w:hAnsi="Verdana"/>
                <w:sz w:val="18"/>
                <w:szCs w:val="18"/>
              </w:rPr>
            </w:pPr>
            <w:r w:rsidRPr="005D19E5">
              <w:rPr>
                <w:rFonts w:ascii="Verdana" w:hAnsi="Verdana"/>
                <w:sz w:val="18"/>
                <w:szCs w:val="18"/>
              </w:rPr>
              <w:t>De IHR-autoriteit is verantwoordelijk voor de coördinatie van de implementatie van de IHR binnen het Koninkrijk. Deze autoriteit kan identiek zijn aan het al bestaande nationale coördinatiepunt voor de Internationale Gezondheidsregeling.</w:t>
            </w:r>
            <w:r w:rsidRPr="005D19E5">
              <w:rPr>
                <w:rStyle w:val="Voetnootmarkering"/>
                <w:rFonts w:ascii="Verdana" w:hAnsi="Verdana"/>
                <w:sz w:val="18"/>
                <w:szCs w:val="18"/>
              </w:rPr>
              <w:footnoteReference w:id="1"/>
            </w:r>
            <w:r w:rsidRPr="005D19E5">
              <w:rPr>
                <w:rFonts w:ascii="Verdana" w:hAnsi="Verdana"/>
                <w:sz w:val="18"/>
                <w:szCs w:val="18"/>
              </w:rPr>
              <w:t xml:space="preserve"> </w:t>
            </w:r>
          </w:p>
        </w:tc>
      </w:tr>
      <w:tr w:rsidRPr="005D19E5" w:rsidR="005D19E5" w:rsidTr="00B23C71" w14:paraId="094E59F6" w14:textId="77777777">
        <w:tc>
          <w:tcPr>
            <w:tcW w:w="0" w:type="auto"/>
          </w:tcPr>
          <w:p w:rsidRPr="005D19E5" w:rsidR="005D19E5" w:rsidP="00B23C71" w:rsidRDefault="005D19E5" w14:paraId="4F88EA1A" w14:textId="77777777">
            <w:pPr>
              <w:rPr>
                <w:rFonts w:ascii="Verdana" w:hAnsi="Verdana"/>
                <w:sz w:val="18"/>
                <w:szCs w:val="18"/>
              </w:rPr>
            </w:pPr>
            <w:r w:rsidRPr="005D19E5">
              <w:rPr>
                <w:rFonts w:ascii="Verdana" w:hAnsi="Verdana"/>
                <w:sz w:val="18"/>
                <w:szCs w:val="18"/>
              </w:rPr>
              <w:t>Artikel 5</w:t>
            </w:r>
          </w:p>
        </w:tc>
        <w:tc>
          <w:tcPr>
            <w:tcW w:w="0" w:type="auto"/>
          </w:tcPr>
          <w:p w:rsidRPr="005D19E5" w:rsidR="005D19E5" w:rsidP="00B23C71" w:rsidRDefault="005D19E5" w14:paraId="5289CF4C" w14:textId="77777777">
            <w:pPr>
              <w:rPr>
                <w:rFonts w:ascii="Verdana" w:hAnsi="Verdana"/>
                <w:sz w:val="18"/>
                <w:szCs w:val="18"/>
              </w:rPr>
            </w:pPr>
            <w:r w:rsidRPr="005D19E5">
              <w:rPr>
                <w:rFonts w:ascii="Verdana" w:hAnsi="Verdana"/>
                <w:sz w:val="18"/>
                <w:szCs w:val="18"/>
              </w:rPr>
              <w:t xml:space="preserve">Toevoeging van preventie als doelstelling voor basisvereisten </w:t>
            </w:r>
            <w:r w:rsidRPr="005D19E5">
              <w:rPr>
                <w:rFonts w:ascii="Verdana" w:hAnsi="Verdana"/>
                <w:i/>
                <w:iCs/>
                <w:sz w:val="18"/>
                <w:szCs w:val="18"/>
              </w:rPr>
              <w:t>(</w:t>
            </w:r>
            <w:proofErr w:type="spellStart"/>
            <w:r w:rsidRPr="005D19E5">
              <w:rPr>
                <w:rFonts w:ascii="Verdana" w:hAnsi="Verdana"/>
                <w:i/>
                <w:iCs/>
                <w:sz w:val="18"/>
                <w:szCs w:val="18"/>
              </w:rPr>
              <w:t>core</w:t>
            </w:r>
            <w:proofErr w:type="spellEnd"/>
            <w:r w:rsidRPr="005D19E5">
              <w:rPr>
                <w:rFonts w:ascii="Verdana" w:hAnsi="Verdana"/>
                <w:i/>
                <w:iCs/>
                <w:sz w:val="18"/>
                <w:szCs w:val="18"/>
              </w:rPr>
              <w:t xml:space="preserve"> </w:t>
            </w:r>
            <w:proofErr w:type="spellStart"/>
            <w:r w:rsidRPr="005D19E5">
              <w:rPr>
                <w:rFonts w:ascii="Verdana" w:hAnsi="Verdana"/>
                <w:i/>
                <w:iCs/>
                <w:sz w:val="18"/>
                <w:szCs w:val="18"/>
              </w:rPr>
              <w:t>capacities</w:t>
            </w:r>
            <w:proofErr w:type="spellEnd"/>
            <w:r w:rsidRPr="005D19E5">
              <w:rPr>
                <w:rFonts w:ascii="Verdana" w:hAnsi="Verdana"/>
                <w:i/>
                <w:iCs/>
                <w:sz w:val="18"/>
                <w:szCs w:val="18"/>
              </w:rPr>
              <w:t>)</w:t>
            </w:r>
            <w:r w:rsidRPr="005D19E5">
              <w:rPr>
                <w:rFonts w:ascii="Verdana" w:hAnsi="Verdana"/>
                <w:sz w:val="18"/>
                <w:szCs w:val="18"/>
              </w:rPr>
              <w:t xml:space="preserve"> op het vlak van surveillance en monitoring van gezondheidsbedreigingen.</w:t>
            </w:r>
          </w:p>
        </w:tc>
        <w:tc>
          <w:tcPr>
            <w:tcW w:w="0" w:type="auto"/>
          </w:tcPr>
          <w:p w:rsidRPr="005D19E5" w:rsidR="005D19E5" w:rsidP="00B23C71" w:rsidRDefault="005D19E5" w14:paraId="0BE2727A" w14:textId="77777777">
            <w:pPr>
              <w:rPr>
                <w:rFonts w:ascii="Verdana" w:hAnsi="Verdana"/>
                <w:sz w:val="18"/>
                <w:szCs w:val="18"/>
              </w:rPr>
            </w:pPr>
            <w:r w:rsidRPr="005D19E5">
              <w:rPr>
                <w:rFonts w:ascii="Verdana" w:hAnsi="Verdana"/>
                <w:sz w:val="18"/>
                <w:szCs w:val="18"/>
              </w:rPr>
              <w:t>Dit kan bijvoorbeeld gaan om betrekking op het routinematig verzamelen van data over infecties zoals in zorginstellingen, zonder dat er sprake is van een uitbraak.</w:t>
            </w:r>
          </w:p>
        </w:tc>
      </w:tr>
      <w:tr w:rsidRPr="005D19E5" w:rsidR="005D19E5" w:rsidTr="00B23C71" w14:paraId="0D1BC14B" w14:textId="77777777">
        <w:tc>
          <w:tcPr>
            <w:tcW w:w="0" w:type="auto"/>
          </w:tcPr>
          <w:p w:rsidRPr="005D19E5" w:rsidR="005D19E5" w:rsidP="00B23C71" w:rsidRDefault="005D19E5" w14:paraId="1DDDE938" w14:textId="77777777">
            <w:pPr>
              <w:rPr>
                <w:rFonts w:ascii="Verdana" w:hAnsi="Verdana"/>
                <w:sz w:val="18"/>
                <w:szCs w:val="18"/>
              </w:rPr>
            </w:pPr>
            <w:r w:rsidRPr="005D19E5">
              <w:rPr>
                <w:rFonts w:ascii="Verdana" w:hAnsi="Verdana"/>
                <w:sz w:val="18"/>
                <w:szCs w:val="18"/>
              </w:rPr>
              <w:t>Artikel 6</w:t>
            </w:r>
          </w:p>
          <w:p w:rsidRPr="005D19E5" w:rsidR="005D19E5" w:rsidP="00B23C71" w:rsidRDefault="005D19E5" w14:paraId="6548BB52" w14:textId="77777777">
            <w:pPr>
              <w:rPr>
                <w:rFonts w:ascii="Verdana" w:hAnsi="Verdana"/>
                <w:i/>
                <w:iCs/>
                <w:sz w:val="18"/>
                <w:szCs w:val="18"/>
              </w:rPr>
            </w:pPr>
          </w:p>
        </w:tc>
        <w:tc>
          <w:tcPr>
            <w:tcW w:w="0" w:type="auto"/>
          </w:tcPr>
          <w:p w:rsidRPr="005D19E5" w:rsidR="005D19E5" w:rsidP="00B23C71" w:rsidRDefault="005D19E5" w14:paraId="3247188C" w14:textId="77777777">
            <w:pPr>
              <w:rPr>
                <w:rFonts w:ascii="Verdana" w:hAnsi="Verdana"/>
                <w:sz w:val="18"/>
                <w:szCs w:val="18"/>
              </w:rPr>
            </w:pPr>
            <w:r w:rsidRPr="005D19E5">
              <w:rPr>
                <w:rFonts w:ascii="Verdana" w:hAnsi="Verdana"/>
                <w:sz w:val="18"/>
                <w:szCs w:val="18"/>
              </w:rPr>
              <w:t>Toevoeging van supranationale organisaties aan de bestaande afspraken over verplichte gegevensdeling door WHO.</w:t>
            </w:r>
          </w:p>
          <w:p w:rsidRPr="005D19E5" w:rsidR="005D19E5" w:rsidP="00B23C71" w:rsidRDefault="005D19E5" w14:paraId="6C8591F1" w14:textId="77777777">
            <w:pPr>
              <w:rPr>
                <w:rFonts w:ascii="Verdana" w:hAnsi="Verdana"/>
                <w:sz w:val="18"/>
                <w:szCs w:val="18"/>
              </w:rPr>
            </w:pPr>
          </w:p>
          <w:p w:rsidRPr="005D19E5" w:rsidR="005D19E5" w:rsidP="00B23C71" w:rsidRDefault="005D19E5" w14:paraId="5B3CB7A5" w14:textId="77777777">
            <w:pPr>
              <w:rPr>
                <w:rFonts w:ascii="Verdana" w:hAnsi="Verdana"/>
                <w:sz w:val="18"/>
                <w:szCs w:val="18"/>
              </w:rPr>
            </w:pPr>
            <w:r w:rsidRPr="005D19E5">
              <w:rPr>
                <w:rFonts w:ascii="Verdana" w:hAnsi="Verdana"/>
                <w:i/>
                <w:iCs/>
                <w:sz w:val="18"/>
                <w:szCs w:val="18"/>
              </w:rPr>
              <w:t>(te zien in samenhang met artikel 14).</w:t>
            </w:r>
          </w:p>
        </w:tc>
        <w:tc>
          <w:tcPr>
            <w:tcW w:w="0" w:type="auto"/>
          </w:tcPr>
          <w:p w:rsidRPr="005D19E5" w:rsidR="005D19E5" w:rsidP="00B23C71" w:rsidRDefault="005D19E5" w14:paraId="435E20C3" w14:textId="77777777">
            <w:pPr>
              <w:rPr>
                <w:rFonts w:ascii="Verdana" w:hAnsi="Verdana"/>
                <w:sz w:val="18"/>
                <w:szCs w:val="18"/>
              </w:rPr>
            </w:pPr>
            <w:r w:rsidRPr="005D19E5">
              <w:rPr>
                <w:rFonts w:ascii="Verdana" w:hAnsi="Verdana"/>
                <w:sz w:val="18"/>
                <w:szCs w:val="18"/>
              </w:rPr>
              <w:t xml:space="preserve">Deze wijziging creëert een plicht tot informatie-uitwisseling tussen supranationale organisaties en bevordert een integrale risicobeoordeling door lidstaten </w:t>
            </w:r>
            <w:r w:rsidRPr="005D19E5">
              <w:rPr>
                <w:rFonts w:ascii="Verdana" w:hAnsi="Verdana"/>
                <w:i/>
                <w:iCs/>
                <w:sz w:val="18"/>
                <w:szCs w:val="18"/>
              </w:rPr>
              <w:t>(bijvoorbeeld inzake zoönose, voedsel, wild-life gevaren en transmissie).</w:t>
            </w:r>
          </w:p>
        </w:tc>
      </w:tr>
      <w:tr w:rsidRPr="005D19E5" w:rsidR="005D19E5" w:rsidTr="00B23C71" w14:paraId="02193DB6" w14:textId="77777777">
        <w:tc>
          <w:tcPr>
            <w:tcW w:w="0" w:type="auto"/>
          </w:tcPr>
          <w:p w:rsidRPr="005D19E5" w:rsidR="005D19E5" w:rsidP="00B23C71" w:rsidRDefault="005D19E5" w14:paraId="7CD315A9" w14:textId="77777777">
            <w:pPr>
              <w:rPr>
                <w:rFonts w:ascii="Verdana" w:hAnsi="Verdana"/>
                <w:sz w:val="18"/>
                <w:szCs w:val="18"/>
              </w:rPr>
            </w:pPr>
            <w:r w:rsidRPr="005D19E5">
              <w:rPr>
                <w:rFonts w:ascii="Verdana" w:hAnsi="Verdana"/>
                <w:sz w:val="18"/>
                <w:szCs w:val="18"/>
              </w:rPr>
              <w:t>Artikel 8</w:t>
            </w:r>
          </w:p>
        </w:tc>
        <w:tc>
          <w:tcPr>
            <w:tcW w:w="0" w:type="auto"/>
          </w:tcPr>
          <w:p w:rsidRPr="005D19E5" w:rsidR="005D19E5" w:rsidP="00B23C71" w:rsidRDefault="005D19E5" w14:paraId="48F2F62C" w14:textId="77777777">
            <w:pPr>
              <w:rPr>
                <w:rFonts w:ascii="Verdana" w:hAnsi="Verdana"/>
                <w:sz w:val="18"/>
                <w:szCs w:val="18"/>
              </w:rPr>
            </w:pPr>
            <w:r w:rsidRPr="005D19E5">
              <w:rPr>
                <w:rFonts w:ascii="Verdana" w:hAnsi="Verdana"/>
                <w:sz w:val="18"/>
                <w:szCs w:val="18"/>
              </w:rPr>
              <w:t xml:space="preserve">Aanscherping van de bepaling dat IHR-staten waar zich incidenten voordoen maar waar nog onvoldoende informatie over beschikbaar is, de WHO tijdig </w:t>
            </w:r>
            <w:r w:rsidRPr="005D19E5">
              <w:rPr>
                <w:rFonts w:ascii="Verdana" w:hAnsi="Verdana"/>
                <w:i/>
                <w:iCs/>
                <w:sz w:val="18"/>
                <w:szCs w:val="18"/>
                <w:u w:val="single"/>
              </w:rPr>
              <w:t>moeten</w:t>
            </w:r>
            <w:r w:rsidRPr="005D19E5">
              <w:rPr>
                <w:rFonts w:ascii="Verdana" w:hAnsi="Verdana"/>
                <w:sz w:val="18"/>
                <w:szCs w:val="18"/>
              </w:rPr>
              <w:t xml:space="preserve"> informeren over deze incidenten.</w:t>
            </w:r>
          </w:p>
        </w:tc>
        <w:tc>
          <w:tcPr>
            <w:tcW w:w="0" w:type="auto"/>
          </w:tcPr>
          <w:p w:rsidRPr="005D19E5" w:rsidR="005D19E5" w:rsidP="00B23C71" w:rsidRDefault="005D19E5" w14:paraId="2BDAC08A" w14:textId="77777777">
            <w:pPr>
              <w:rPr>
                <w:rFonts w:ascii="Verdana" w:hAnsi="Verdana"/>
                <w:sz w:val="18"/>
                <w:szCs w:val="18"/>
              </w:rPr>
            </w:pPr>
            <w:r w:rsidRPr="005D19E5">
              <w:rPr>
                <w:rFonts w:ascii="Verdana" w:hAnsi="Verdana"/>
                <w:sz w:val="18"/>
                <w:szCs w:val="18"/>
              </w:rPr>
              <w:t>Hiermee wordt het belang van volledige en tijdige informatiedeling over potentiële gezondheidsrisico’s geborgd. Dit was voorheen optioneel en zonder tijdsbepaling.</w:t>
            </w:r>
          </w:p>
        </w:tc>
      </w:tr>
      <w:tr w:rsidRPr="005D19E5" w:rsidR="005D19E5" w:rsidTr="00B23C71" w14:paraId="4DEC76BA" w14:textId="77777777">
        <w:tc>
          <w:tcPr>
            <w:tcW w:w="0" w:type="auto"/>
          </w:tcPr>
          <w:p w:rsidRPr="005D19E5" w:rsidR="005D19E5" w:rsidP="00B23C71" w:rsidRDefault="005D19E5" w14:paraId="1D611ED9" w14:textId="77777777">
            <w:pPr>
              <w:rPr>
                <w:rFonts w:ascii="Verdana" w:hAnsi="Verdana"/>
                <w:sz w:val="18"/>
                <w:szCs w:val="18"/>
              </w:rPr>
            </w:pPr>
            <w:r w:rsidRPr="005D19E5">
              <w:rPr>
                <w:rFonts w:ascii="Verdana" w:hAnsi="Verdana"/>
                <w:sz w:val="18"/>
                <w:szCs w:val="18"/>
              </w:rPr>
              <w:t>Artikel 10</w:t>
            </w:r>
          </w:p>
        </w:tc>
        <w:tc>
          <w:tcPr>
            <w:tcW w:w="0" w:type="auto"/>
          </w:tcPr>
          <w:p w:rsidRPr="005D19E5" w:rsidR="005D19E5" w:rsidP="00B23C71" w:rsidRDefault="005D19E5" w14:paraId="31E9395C" w14:textId="77777777">
            <w:pPr>
              <w:rPr>
                <w:rFonts w:ascii="Verdana" w:hAnsi="Verdana"/>
                <w:sz w:val="18"/>
                <w:szCs w:val="18"/>
              </w:rPr>
            </w:pPr>
            <w:r w:rsidRPr="005D19E5">
              <w:rPr>
                <w:rFonts w:ascii="Verdana" w:hAnsi="Verdana"/>
                <w:sz w:val="18"/>
                <w:szCs w:val="18"/>
              </w:rPr>
              <w:t xml:space="preserve">Aanscherping van de bepaling dat WHO gegevens over een mogelijke uitbraak of incident in een land </w:t>
            </w:r>
            <w:r w:rsidRPr="005D19E5">
              <w:rPr>
                <w:rFonts w:ascii="Verdana" w:hAnsi="Verdana"/>
                <w:sz w:val="18"/>
                <w:szCs w:val="18"/>
                <w:u w:val="single"/>
              </w:rPr>
              <w:t>moet</w:t>
            </w:r>
            <w:r w:rsidRPr="005D19E5">
              <w:rPr>
                <w:rFonts w:ascii="Verdana" w:hAnsi="Verdana"/>
                <w:sz w:val="18"/>
                <w:szCs w:val="18"/>
              </w:rPr>
              <w:t xml:space="preserve"> delen met de andere IHR-partijen, wanneer het potentiële risico van een gezondheidsbedreiging dat vereist.</w:t>
            </w:r>
          </w:p>
        </w:tc>
        <w:tc>
          <w:tcPr>
            <w:tcW w:w="0" w:type="auto"/>
          </w:tcPr>
          <w:p w:rsidRPr="005D19E5" w:rsidR="005D19E5" w:rsidP="00B23C71" w:rsidRDefault="005D19E5" w14:paraId="5B4A56B0" w14:textId="77777777">
            <w:pPr>
              <w:rPr>
                <w:rFonts w:ascii="Verdana" w:hAnsi="Verdana"/>
                <w:sz w:val="18"/>
                <w:szCs w:val="18"/>
              </w:rPr>
            </w:pPr>
            <w:r w:rsidRPr="005D19E5">
              <w:rPr>
                <w:rFonts w:ascii="Verdana" w:hAnsi="Verdana"/>
                <w:sz w:val="18"/>
                <w:szCs w:val="18"/>
              </w:rPr>
              <w:t>WHO kan een lidstaat die een bedreiging zoals een uitbraak van een infectieziekte meldt hulp aanbieden. Als een land dat weigert en informatie niet wil delen, dan is WHO voortaan gehouden relevante informatie te delen met de IHR-partijen.</w:t>
            </w:r>
          </w:p>
        </w:tc>
      </w:tr>
      <w:tr w:rsidRPr="005D19E5" w:rsidR="005D19E5" w:rsidTr="00B23C71" w14:paraId="0A276200" w14:textId="77777777">
        <w:tc>
          <w:tcPr>
            <w:tcW w:w="0" w:type="auto"/>
          </w:tcPr>
          <w:p w:rsidRPr="005D19E5" w:rsidR="005D19E5" w:rsidP="00B23C71" w:rsidRDefault="005D19E5" w14:paraId="0393A0C8" w14:textId="77777777">
            <w:pPr>
              <w:rPr>
                <w:rFonts w:ascii="Verdana" w:hAnsi="Verdana"/>
                <w:sz w:val="18"/>
                <w:szCs w:val="18"/>
              </w:rPr>
            </w:pPr>
            <w:r w:rsidRPr="005D19E5">
              <w:rPr>
                <w:rFonts w:ascii="Verdana" w:hAnsi="Verdana"/>
                <w:sz w:val="18"/>
                <w:szCs w:val="18"/>
              </w:rPr>
              <w:lastRenderedPageBreak/>
              <w:t>Artikelen 11, 12, 15, 48, 49</w:t>
            </w:r>
          </w:p>
        </w:tc>
        <w:tc>
          <w:tcPr>
            <w:tcW w:w="0" w:type="auto"/>
          </w:tcPr>
          <w:p w:rsidRPr="005D19E5" w:rsidR="005D19E5" w:rsidP="00B23C71" w:rsidRDefault="005D19E5" w14:paraId="518BB8A6" w14:textId="77777777">
            <w:pPr>
              <w:rPr>
                <w:rFonts w:ascii="Verdana" w:hAnsi="Verdana"/>
                <w:sz w:val="18"/>
                <w:szCs w:val="18"/>
              </w:rPr>
            </w:pPr>
            <w:r w:rsidRPr="005D19E5">
              <w:rPr>
                <w:rFonts w:ascii="Verdana" w:hAnsi="Verdana"/>
                <w:sz w:val="18"/>
                <w:szCs w:val="18"/>
              </w:rPr>
              <w:t xml:space="preserve">Invoeging van de nieuwe definitie rondom de pandemische noodsituatie in de operationele delen van de IHR, aansluitend op de noodsituatie van de volksgezondheid van internationaal belang (PHEIC). </w:t>
            </w:r>
          </w:p>
        </w:tc>
        <w:tc>
          <w:tcPr>
            <w:tcW w:w="0" w:type="auto"/>
          </w:tcPr>
          <w:p w:rsidRPr="005D19E5" w:rsidR="005D19E5" w:rsidP="00B23C71" w:rsidRDefault="005D19E5" w14:paraId="7837A7A5" w14:textId="77777777">
            <w:pPr>
              <w:rPr>
                <w:rFonts w:ascii="Verdana" w:hAnsi="Verdana"/>
                <w:sz w:val="18"/>
                <w:szCs w:val="18"/>
              </w:rPr>
            </w:pPr>
            <w:r w:rsidRPr="005D19E5">
              <w:rPr>
                <w:rFonts w:ascii="Verdana" w:hAnsi="Verdana"/>
                <w:sz w:val="18"/>
                <w:szCs w:val="18"/>
              </w:rPr>
              <w:t>Hiermee worden de nadere voorwaarden ingevuld voor het uitroepen van een pandemische noodsituatie, alsook de gevolgen die dit heeft voor de aanbevelingen die de Directeur-Generaal van de WHO tijdens een gezondheidscrisis kan doen, geoperationaliseerd.</w:t>
            </w:r>
          </w:p>
        </w:tc>
      </w:tr>
      <w:tr w:rsidRPr="005D19E5" w:rsidR="005D19E5" w:rsidTr="00B23C71" w14:paraId="7C1E816D" w14:textId="77777777">
        <w:tc>
          <w:tcPr>
            <w:tcW w:w="0" w:type="auto"/>
          </w:tcPr>
          <w:p w:rsidRPr="005D19E5" w:rsidR="005D19E5" w:rsidP="00B23C71" w:rsidRDefault="005D19E5" w14:paraId="23E7539F" w14:textId="77777777">
            <w:pPr>
              <w:rPr>
                <w:rFonts w:ascii="Verdana" w:hAnsi="Verdana"/>
                <w:sz w:val="18"/>
                <w:szCs w:val="18"/>
              </w:rPr>
            </w:pPr>
            <w:r w:rsidRPr="005D19E5">
              <w:rPr>
                <w:rFonts w:ascii="Verdana" w:hAnsi="Verdana"/>
                <w:sz w:val="18"/>
                <w:szCs w:val="18"/>
              </w:rPr>
              <w:t>Artikel 13</w:t>
            </w:r>
          </w:p>
        </w:tc>
        <w:tc>
          <w:tcPr>
            <w:tcW w:w="0" w:type="auto"/>
          </w:tcPr>
          <w:p w:rsidRPr="005D19E5" w:rsidR="005D19E5" w:rsidP="00B23C71" w:rsidRDefault="005D19E5" w14:paraId="7C7FC862" w14:textId="77777777">
            <w:pPr>
              <w:rPr>
                <w:rFonts w:ascii="Verdana" w:hAnsi="Verdana"/>
                <w:sz w:val="18"/>
                <w:szCs w:val="18"/>
              </w:rPr>
            </w:pPr>
            <w:r w:rsidRPr="005D19E5">
              <w:rPr>
                <w:rFonts w:ascii="Verdana" w:hAnsi="Verdana"/>
                <w:sz w:val="18"/>
                <w:szCs w:val="18"/>
              </w:rPr>
              <w:t>Toevoeging van preventie en paraatheid aan de basisvereisten (</w:t>
            </w:r>
            <w:proofErr w:type="spellStart"/>
            <w:r w:rsidRPr="005D19E5">
              <w:rPr>
                <w:rFonts w:ascii="Verdana" w:hAnsi="Verdana"/>
                <w:i/>
                <w:iCs/>
                <w:sz w:val="18"/>
                <w:szCs w:val="18"/>
              </w:rPr>
              <w:t>core</w:t>
            </w:r>
            <w:proofErr w:type="spellEnd"/>
            <w:r w:rsidRPr="005D19E5">
              <w:rPr>
                <w:rFonts w:ascii="Verdana" w:hAnsi="Verdana"/>
                <w:i/>
                <w:iCs/>
                <w:sz w:val="18"/>
                <w:szCs w:val="18"/>
              </w:rPr>
              <w:t xml:space="preserve"> </w:t>
            </w:r>
            <w:proofErr w:type="spellStart"/>
            <w:r w:rsidRPr="005D19E5">
              <w:rPr>
                <w:rFonts w:ascii="Verdana" w:hAnsi="Verdana"/>
                <w:i/>
                <w:iCs/>
                <w:sz w:val="18"/>
                <w:szCs w:val="18"/>
              </w:rPr>
              <w:t>capacities</w:t>
            </w:r>
            <w:proofErr w:type="spellEnd"/>
            <w:r w:rsidRPr="005D19E5">
              <w:rPr>
                <w:rFonts w:ascii="Verdana" w:hAnsi="Verdana"/>
                <w:i/>
                <w:iCs/>
                <w:sz w:val="18"/>
                <w:szCs w:val="18"/>
              </w:rPr>
              <w:t xml:space="preserve">) </w:t>
            </w:r>
            <w:r w:rsidRPr="005D19E5">
              <w:rPr>
                <w:rFonts w:ascii="Verdana" w:hAnsi="Verdana"/>
                <w:sz w:val="18"/>
                <w:szCs w:val="18"/>
              </w:rPr>
              <w:t>die</w:t>
            </w:r>
            <w:r w:rsidRPr="005D19E5">
              <w:rPr>
                <w:rFonts w:ascii="Verdana" w:hAnsi="Verdana"/>
                <w:i/>
                <w:iCs/>
                <w:sz w:val="18"/>
                <w:szCs w:val="18"/>
              </w:rPr>
              <w:t xml:space="preserve"> </w:t>
            </w:r>
            <w:r w:rsidRPr="005D19E5">
              <w:rPr>
                <w:rFonts w:ascii="Verdana" w:hAnsi="Verdana"/>
                <w:sz w:val="18"/>
                <w:szCs w:val="18"/>
              </w:rPr>
              <w:t xml:space="preserve">lidstaten moeten ontwikkelen voor een goede voorbereiding op en bestrijding van een crisis. Daarnaast toevoeging van bepalingen over de rol van de WHO bij de internationale bestrijding van een noodsituatie m.b.t. het faciliteren van de beschikbaarheid van relevante medische producten. </w:t>
            </w:r>
          </w:p>
        </w:tc>
        <w:tc>
          <w:tcPr>
            <w:tcW w:w="0" w:type="auto"/>
          </w:tcPr>
          <w:p w:rsidRPr="005D19E5" w:rsidR="005D19E5" w:rsidP="00B23C71" w:rsidRDefault="005D19E5" w14:paraId="4D375EB2" w14:textId="77777777">
            <w:pPr>
              <w:rPr>
                <w:rFonts w:ascii="Verdana" w:hAnsi="Verdana"/>
                <w:sz w:val="18"/>
                <w:szCs w:val="18"/>
              </w:rPr>
            </w:pPr>
            <w:r w:rsidRPr="005D19E5">
              <w:rPr>
                <w:rFonts w:ascii="Verdana" w:hAnsi="Verdana"/>
                <w:sz w:val="18"/>
                <w:szCs w:val="18"/>
              </w:rPr>
              <w:t xml:space="preserve">Preventie en paraatheid zijn vaak al onderdeel van nationaal beleid. </w:t>
            </w:r>
          </w:p>
          <w:p w:rsidRPr="005D19E5" w:rsidR="005D19E5" w:rsidP="00B23C71" w:rsidRDefault="005D19E5" w14:paraId="6038BFAF" w14:textId="77777777">
            <w:pPr>
              <w:rPr>
                <w:rFonts w:ascii="Verdana" w:hAnsi="Verdana"/>
                <w:sz w:val="18"/>
                <w:szCs w:val="18"/>
              </w:rPr>
            </w:pPr>
            <w:r w:rsidRPr="005D19E5">
              <w:rPr>
                <w:rFonts w:ascii="Verdana" w:hAnsi="Verdana"/>
                <w:sz w:val="18"/>
                <w:szCs w:val="18"/>
              </w:rPr>
              <w:t xml:space="preserve">Met de aanvullende taken rondom beschikbaarheid van medische producten kan WHO onder meer partijen bijeenbrengen, lokale productie bevorderen, </w:t>
            </w:r>
            <w:proofErr w:type="spellStart"/>
            <w:r w:rsidRPr="005D19E5">
              <w:rPr>
                <w:rFonts w:ascii="Verdana" w:hAnsi="Verdana"/>
                <w:sz w:val="18"/>
                <w:szCs w:val="18"/>
              </w:rPr>
              <w:t>regulatoire</w:t>
            </w:r>
            <w:proofErr w:type="spellEnd"/>
            <w:r w:rsidRPr="005D19E5">
              <w:rPr>
                <w:rFonts w:ascii="Verdana" w:hAnsi="Verdana"/>
                <w:sz w:val="18"/>
                <w:szCs w:val="18"/>
              </w:rPr>
              <w:t xml:space="preserve"> belemmeringen helpen wegnemen, de behoefte aan relevante medische producten inventariseren en ondersteunen dat deze op de juiste plek terecht komen.</w:t>
            </w:r>
          </w:p>
        </w:tc>
      </w:tr>
      <w:tr w:rsidRPr="005D19E5" w:rsidR="005D19E5" w:rsidTr="00B23C71" w14:paraId="65B9B65E" w14:textId="77777777">
        <w:tc>
          <w:tcPr>
            <w:tcW w:w="0" w:type="auto"/>
          </w:tcPr>
          <w:p w:rsidRPr="005D19E5" w:rsidR="005D19E5" w:rsidP="00B23C71" w:rsidRDefault="005D19E5" w14:paraId="39581F2B" w14:textId="77777777">
            <w:pPr>
              <w:rPr>
                <w:rFonts w:ascii="Verdana" w:hAnsi="Verdana"/>
                <w:sz w:val="18"/>
                <w:szCs w:val="18"/>
              </w:rPr>
            </w:pPr>
            <w:r w:rsidRPr="005D19E5">
              <w:rPr>
                <w:rFonts w:ascii="Verdana" w:hAnsi="Verdana"/>
                <w:sz w:val="18"/>
                <w:szCs w:val="18"/>
              </w:rPr>
              <w:t>Artikel 15</w:t>
            </w:r>
          </w:p>
        </w:tc>
        <w:tc>
          <w:tcPr>
            <w:tcW w:w="0" w:type="auto"/>
          </w:tcPr>
          <w:p w:rsidRPr="005D19E5" w:rsidR="005D19E5" w:rsidP="00B23C71" w:rsidRDefault="005D19E5" w14:paraId="04B0961B" w14:textId="77777777">
            <w:pPr>
              <w:rPr>
                <w:rFonts w:ascii="Verdana" w:hAnsi="Verdana"/>
                <w:sz w:val="18"/>
                <w:szCs w:val="18"/>
              </w:rPr>
            </w:pPr>
            <w:r w:rsidRPr="005D19E5">
              <w:rPr>
                <w:rFonts w:ascii="Verdana" w:hAnsi="Verdana"/>
                <w:sz w:val="18"/>
                <w:szCs w:val="18"/>
              </w:rPr>
              <w:t xml:space="preserve">Toevoeging van aanvullende bepalingen dat de DG van de WHO tijdelijke informatie kan verstrekken over WHO en andere netwerken en mechanismen voor de verdeling van relevante medische producten. </w:t>
            </w:r>
          </w:p>
        </w:tc>
        <w:tc>
          <w:tcPr>
            <w:tcW w:w="0" w:type="auto"/>
          </w:tcPr>
          <w:p w:rsidRPr="005D19E5" w:rsidR="005D19E5" w:rsidP="00B23C71" w:rsidRDefault="005D19E5" w14:paraId="057B495A" w14:textId="77777777">
            <w:pPr>
              <w:rPr>
                <w:rFonts w:ascii="Verdana" w:hAnsi="Verdana"/>
                <w:sz w:val="18"/>
                <w:szCs w:val="18"/>
              </w:rPr>
            </w:pPr>
            <w:r w:rsidRPr="005D19E5">
              <w:rPr>
                <w:rFonts w:ascii="Verdana" w:hAnsi="Verdana"/>
                <w:sz w:val="18"/>
                <w:szCs w:val="18"/>
              </w:rPr>
              <w:t>Bij een gezondheidscrisis kan de behoefte aan specifieke medische producten zoals vaccins snel toenemen. De WHO kan met de wijzigingen meer gericht advies uitbrengen over beschikbaarheid van medische producten en een eerlijke distributie ervan bevorderen.</w:t>
            </w:r>
          </w:p>
        </w:tc>
      </w:tr>
      <w:tr w:rsidRPr="005D19E5" w:rsidR="005D19E5" w:rsidTr="00B23C71" w14:paraId="2A636186" w14:textId="77777777">
        <w:tc>
          <w:tcPr>
            <w:tcW w:w="0" w:type="auto"/>
          </w:tcPr>
          <w:p w:rsidRPr="005D19E5" w:rsidR="005D19E5" w:rsidP="00B23C71" w:rsidRDefault="005D19E5" w14:paraId="20962897" w14:textId="77777777">
            <w:pPr>
              <w:rPr>
                <w:rFonts w:ascii="Verdana" w:hAnsi="Verdana"/>
                <w:sz w:val="18"/>
                <w:szCs w:val="18"/>
              </w:rPr>
            </w:pPr>
            <w:r w:rsidRPr="005D19E5">
              <w:rPr>
                <w:rFonts w:ascii="Verdana" w:hAnsi="Verdana"/>
                <w:sz w:val="18"/>
                <w:szCs w:val="18"/>
              </w:rPr>
              <w:t>Artikel 18</w:t>
            </w:r>
          </w:p>
        </w:tc>
        <w:tc>
          <w:tcPr>
            <w:tcW w:w="0" w:type="auto"/>
          </w:tcPr>
          <w:p w:rsidRPr="005D19E5" w:rsidR="005D19E5" w:rsidP="00B23C71" w:rsidRDefault="005D19E5" w14:paraId="3B9FE6AC" w14:textId="77777777">
            <w:pPr>
              <w:rPr>
                <w:rFonts w:ascii="Verdana" w:hAnsi="Verdana"/>
                <w:sz w:val="18"/>
                <w:szCs w:val="18"/>
              </w:rPr>
            </w:pPr>
            <w:r w:rsidRPr="005D19E5">
              <w:rPr>
                <w:rFonts w:ascii="Verdana" w:hAnsi="Verdana"/>
                <w:sz w:val="18"/>
                <w:szCs w:val="18"/>
              </w:rPr>
              <w:t xml:space="preserve">Tijdens een </w:t>
            </w:r>
            <w:r w:rsidRPr="005D19E5">
              <w:rPr>
                <w:rFonts w:ascii="Verdana" w:hAnsi="Verdana"/>
                <w:i/>
                <w:iCs/>
                <w:sz w:val="18"/>
                <w:szCs w:val="18"/>
              </w:rPr>
              <w:t>internationale noodsituatie van de volksgezondheid van internationaal belang</w:t>
            </w:r>
            <w:r w:rsidRPr="005D19E5">
              <w:rPr>
                <w:rFonts w:ascii="Verdana" w:hAnsi="Verdana"/>
                <w:sz w:val="18"/>
                <w:szCs w:val="18"/>
              </w:rPr>
              <w:t xml:space="preserve"> en/of </w:t>
            </w:r>
            <w:r w:rsidRPr="005D19E5">
              <w:rPr>
                <w:rFonts w:ascii="Verdana" w:hAnsi="Verdana"/>
                <w:i/>
                <w:iCs/>
                <w:sz w:val="18"/>
                <w:szCs w:val="18"/>
              </w:rPr>
              <w:t xml:space="preserve">pandemische noodsituatie </w:t>
            </w:r>
            <w:r w:rsidRPr="005D19E5">
              <w:rPr>
                <w:rFonts w:ascii="Verdana" w:hAnsi="Verdana"/>
                <w:sz w:val="18"/>
                <w:szCs w:val="18"/>
              </w:rPr>
              <w:t>kan de WHO voortaan aanbevelingen over bijvoorbeeld reisontheffingen voor specifieke groepen burgers, professionals, en mensen in levensbedreigende of humanitaire omstandigheden alsook rondom het in standhouden van aanvoerlijnen van medische producten en voedsel.</w:t>
            </w:r>
          </w:p>
        </w:tc>
        <w:tc>
          <w:tcPr>
            <w:tcW w:w="0" w:type="auto"/>
          </w:tcPr>
          <w:p w:rsidRPr="005D19E5" w:rsidR="005D19E5" w:rsidP="00B23C71" w:rsidRDefault="005D19E5" w14:paraId="006128B5" w14:textId="77777777">
            <w:pPr>
              <w:rPr>
                <w:rFonts w:ascii="Verdana" w:hAnsi="Verdana"/>
                <w:sz w:val="18"/>
                <w:szCs w:val="18"/>
              </w:rPr>
            </w:pPr>
            <w:r w:rsidRPr="005D19E5">
              <w:rPr>
                <w:rFonts w:ascii="Verdana" w:hAnsi="Verdana"/>
                <w:sz w:val="18"/>
                <w:szCs w:val="18"/>
              </w:rPr>
              <w:t>Met deze bepaling kan de WHO aanbevelingen doen over mogelijke uitzonderingen op internationale reisrestricties voor personen alsook ter om de continuïteit van het vervoer van medische producten te borgen.</w:t>
            </w:r>
          </w:p>
        </w:tc>
      </w:tr>
      <w:tr w:rsidRPr="005D19E5" w:rsidR="005D19E5" w:rsidTr="00B23C71" w14:paraId="239C9CDF" w14:textId="77777777">
        <w:tc>
          <w:tcPr>
            <w:tcW w:w="0" w:type="auto"/>
          </w:tcPr>
          <w:p w:rsidRPr="005D19E5" w:rsidR="005D19E5" w:rsidP="00B23C71" w:rsidRDefault="005D19E5" w14:paraId="41A12D3E" w14:textId="77777777">
            <w:pPr>
              <w:rPr>
                <w:rFonts w:ascii="Verdana" w:hAnsi="Verdana"/>
                <w:sz w:val="18"/>
                <w:szCs w:val="18"/>
              </w:rPr>
            </w:pPr>
            <w:r w:rsidRPr="005D19E5">
              <w:rPr>
                <w:rFonts w:ascii="Verdana" w:hAnsi="Verdana"/>
                <w:sz w:val="18"/>
                <w:szCs w:val="18"/>
              </w:rPr>
              <w:t>Artikel 24</w:t>
            </w:r>
          </w:p>
        </w:tc>
        <w:tc>
          <w:tcPr>
            <w:tcW w:w="0" w:type="auto"/>
          </w:tcPr>
          <w:p w:rsidRPr="005D19E5" w:rsidR="005D19E5" w:rsidP="00B23C71" w:rsidRDefault="005D19E5" w14:paraId="5F518A66" w14:textId="77777777">
            <w:pPr>
              <w:rPr>
                <w:rFonts w:ascii="Verdana" w:hAnsi="Verdana"/>
                <w:sz w:val="18"/>
                <w:szCs w:val="18"/>
              </w:rPr>
            </w:pPr>
            <w:r w:rsidRPr="005D19E5">
              <w:rPr>
                <w:rFonts w:ascii="Verdana" w:hAnsi="Verdana"/>
                <w:sz w:val="18"/>
                <w:szCs w:val="18"/>
              </w:rPr>
              <w:t>Aanscherping van de naleving van maatregelen en informatieverstrekking die partijen bij de IHR dienen te borgen richting vervoerders, waaronder passagiersvervoerders zoals luchtvaartmaatschappijen maar ook vervoerders van goederen.</w:t>
            </w:r>
          </w:p>
        </w:tc>
        <w:tc>
          <w:tcPr>
            <w:tcW w:w="0" w:type="auto"/>
          </w:tcPr>
          <w:p w:rsidRPr="005D19E5" w:rsidR="005D19E5" w:rsidP="00B23C71" w:rsidRDefault="005D19E5" w14:paraId="563753F4" w14:textId="77777777">
            <w:pPr>
              <w:rPr>
                <w:rFonts w:ascii="Verdana" w:hAnsi="Verdana"/>
                <w:sz w:val="18"/>
                <w:szCs w:val="18"/>
              </w:rPr>
            </w:pPr>
            <w:r w:rsidRPr="005D19E5">
              <w:rPr>
                <w:rFonts w:ascii="Verdana" w:hAnsi="Verdana"/>
                <w:sz w:val="18"/>
                <w:szCs w:val="18"/>
              </w:rPr>
              <w:t>Deze vervoerders dienden voorheen gezondheidsmaatregelen die door de WHO worden aanbevolen en door staten verplicht gesteld, na te leven aan boord. Voortaan geldt de verplichting ook voor maatregelen bij het in- en uitstappen.</w:t>
            </w:r>
          </w:p>
        </w:tc>
      </w:tr>
      <w:tr w:rsidRPr="005D19E5" w:rsidR="005D19E5" w:rsidTr="00B23C71" w14:paraId="6179CC40" w14:textId="77777777">
        <w:tc>
          <w:tcPr>
            <w:tcW w:w="0" w:type="auto"/>
          </w:tcPr>
          <w:p w:rsidRPr="005D19E5" w:rsidR="005D19E5" w:rsidP="00B23C71" w:rsidRDefault="005D19E5" w14:paraId="4A3AD9B3" w14:textId="77777777">
            <w:pPr>
              <w:rPr>
                <w:rFonts w:ascii="Verdana" w:hAnsi="Verdana"/>
                <w:sz w:val="18"/>
                <w:szCs w:val="18"/>
              </w:rPr>
            </w:pPr>
            <w:r w:rsidRPr="005D19E5">
              <w:rPr>
                <w:rFonts w:ascii="Verdana" w:hAnsi="Verdana"/>
                <w:sz w:val="18"/>
                <w:szCs w:val="18"/>
              </w:rPr>
              <w:t>Artikel 35</w:t>
            </w:r>
          </w:p>
        </w:tc>
        <w:tc>
          <w:tcPr>
            <w:tcW w:w="0" w:type="auto"/>
          </w:tcPr>
          <w:p w:rsidRPr="005D19E5" w:rsidR="005D19E5" w:rsidP="00B23C71" w:rsidRDefault="005D19E5" w14:paraId="4EBE74D4" w14:textId="77777777">
            <w:pPr>
              <w:rPr>
                <w:rFonts w:ascii="Verdana" w:hAnsi="Verdana"/>
                <w:sz w:val="18"/>
                <w:szCs w:val="18"/>
              </w:rPr>
            </w:pPr>
            <w:r w:rsidRPr="005D19E5">
              <w:rPr>
                <w:rFonts w:ascii="Verdana" w:hAnsi="Verdana"/>
                <w:sz w:val="18"/>
                <w:szCs w:val="18"/>
              </w:rPr>
              <w:t xml:space="preserve">Toevoeging van de mogelijkheid om gezondheidsbewijzen onder de IHR naast papier ook digitaal uit te geven. </w:t>
            </w:r>
          </w:p>
          <w:p w:rsidRPr="005D19E5" w:rsidR="005D19E5" w:rsidP="00B23C71" w:rsidRDefault="005D19E5" w14:paraId="7B94C9D2" w14:textId="77777777">
            <w:pPr>
              <w:rPr>
                <w:rFonts w:ascii="Verdana" w:hAnsi="Verdana"/>
                <w:sz w:val="18"/>
                <w:szCs w:val="18"/>
              </w:rPr>
            </w:pPr>
            <w:r w:rsidRPr="005D19E5">
              <w:rPr>
                <w:rFonts w:ascii="Verdana" w:hAnsi="Verdana"/>
                <w:sz w:val="18"/>
                <w:szCs w:val="18"/>
              </w:rPr>
              <w:t>Daarnaast wordt benadrukt welke gegevens er minimaal op de gezondheidsbewijzen moet staan.</w:t>
            </w:r>
          </w:p>
          <w:p w:rsidRPr="005D19E5" w:rsidR="005D19E5" w:rsidP="00B23C71" w:rsidRDefault="005D19E5" w14:paraId="160F7135" w14:textId="77777777">
            <w:pPr>
              <w:rPr>
                <w:rFonts w:ascii="Verdana" w:hAnsi="Verdana"/>
                <w:sz w:val="18"/>
                <w:szCs w:val="18"/>
              </w:rPr>
            </w:pPr>
            <w:r w:rsidRPr="005D19E5">
              <w:rPr>
                <w:rFonts w:ascii="Verdana" w:hAnsi="Verdana"/>
                <w:sz w:val="18"/>
                <w:szCs w:val="18"/>
              </w:rPr>
              <w:t>WHO krijgt de taak om technische specificaties en standaarden voor digitale en niet-digitale bewijzen uit te werken, in afstemming met de partijen bij de IHR.</w:t>
            </w:r>
          </w:p>
        </w:tc>
        <w:tc>
          <w:tcPr>
            <w:tcW w:w="0" w:type="auto"/>
          </w:tcPr>
          <w:p w:rsidRPr="005D19E5" w:rsidR="005D19E5" w:rsidP="00B23C71" w:rsidRDefault="005D19E5" w14:paraId="6976B1BA" w14:textId="77777777">
            <w:pPr>
              <w:rPr>
                <w:rFonts w:ascii="Verdana" w:hAnsi="Verdana"/>
                <w:sz w:val="18"/>
                <w:szCs w:val="18"/>
              </w:rPr>
            </w:pPr>
            <w:r w:rsidRPr="005D19E5">
              <w:rPr>
                <w:rFonts w:ascii="Verdana" w:hAnsi="Verdana"/>
                <w:sz w:val="18"/>
                <w:szCs w:val="18"/>
              </w:rPr>
              <w:t>Deze wijziging maakt het mogelijk om in de toekomst bewijzen zoals het gele boekje ook digitaal uit te geven.</w:t>
            </w:r>
          </w:p>
          <w:p w:rsidRPr="005D19E5" w:rsidR="005D19E5" w:rsidP="00B23C71" w:rsidRDefault="005D19E5" w14:paraId="098D249C" w14:textId="77777777">
            <w:pPr>
              <w:rPr>
                <w:rFonts w:ascii="Verdana" w:hAnsi="Verdana"/>
                <w:sz w:val="18"/>
                <w:szCs w:val="18"/>
              </w:rPr>
            </w:pPr>
            <w:r w:rsidRPr="005D19E5">
              <w:rPr>
                <w:rFonts w:ascii="Verdana" w:hAnsi="Verdana"/>
                <w:sz w:val="18"/>
                <w:szCs w:val="18"/>
              </w:rPr>
              <w:t>De minimale eisen aan de gezondheidsbewijzen werden en worden voorgeschreven in de modellen in bijlagen 6 en 7.</w:t>
            </w:r>
          </w:p>
          <w:p w:rsidRPr="005D19E5" w:rsidR="005D19E5" w:rsidP="00B23C71" w:rsidRDefault="005D19E5" w14:paraId="06C227B4" w14:textId="77777777">
            <w:pPr>
              <w:rPr>
                <w:rFonts w:ascii="Verdana" w:hAnsi="Verdana"/>
                <w:sz w:val="18"/>
                <w:szCs w:val="18"/>
              </w:rPr>
            </w:pPr>
          </w:p>
        </w:tc>
      </w:tr>
      <w:tr w:rsidRPr="005D19E5" w:rsidR="005D19E5" w:rsidTr="00B23C71" w14:paraId="720576D1" w14:textId="77777777">
        <w:tc>
          <w:tcPr>
            <w:tcW w:w="0" w:type="auto"/>
          </w:tcPr>
          <w:p w:rsidRPr="005D19E5" w:rsidR="005D19E5" w:rsidP="00B23C71" w:rsidRDefault="005D19E5" w14:paraId="189DA55E" w14:textId="77777777">
            <w:pPr>
              <w:rPr>
                <w:rFonts w:ascii="Verdana" w:hAnsi="Verdana"/>
                <w:sz w:val="18"/>
                <w:szCs w:val="18"/>
              </w:rPr>
            </w:pPr>
            <w:r w:rsidRPr="005D19E5">
              <w:rPr>
                <w:rFonts w:ascii="Verdana" w:hAnsi="Verdana"/>
                <w:sz w:val="18"/>
                <w:szCs w:val="18"/>
              </w:rPr>
              <w:t xml:space="preserve">Artikel 37 (en </w:t>
            </w:r>
            <w:r w:rsidRPr="005D19E5">
              <w:rPr>
                <w:rFonts w:ascii="Verdana" w:hAnsi="Verdana"/>
                <w:sz w:val="18"/>
                <w:szCs w:val="18"/>
              </w:rPr>
              <w:lastRenderedPageBreak/>
              <w:t>bijlage 8)</w:t>
            </w:r>
          </w:p>
        </w:tc>
        <w:tc>
          <w:tcPr>
            <w:tcW w:w="0" w:type="auto"/>
          </w:tcPr>
          <w:p w:rsidRPr="005D19E5" w:rsidR="005D19E5" w:rsidP="00B23C71" w:rsidRDefault="005D19E5" w14:paraId="72DDD31F" w14:textId="77777777">
            <w:pPr>
              <w:rPr>
                <w:rFonts w:ascii="Verdana" w:hAnsi="Verdana"/>
                <w:sz w:val="18"/>
                <w:szCs w:val="18"/>
              </w:rPr>
            </w:pPr>
            <w:r w:rsidRPr="005D19E5">
              <w:rPr>
                <w:rFonts w:ascii="Verdana" w:hAnsi="Verdana"/>
                <w:sz w:val="18"/>
                <w:szCs w:val="18"/>
              </w:rPr>
              <w:lastRenderedPageBreak/>
              <w:t xml:space="preserve">Verruiming van de maritieme gezondheidsverklaring, hetgeen schepen </w:t>
            </w:r>
            <w:r w:rsidRPr="005D19E5">
              <w:rPr>
                <w:rFonts w:ascii="Verdana" w:hAnsi="Verdana"/>
                <w:sz w:val="18"/>
                <w:szCs w:val="18"/>
              </w:rPr>
              <w:lastRenderedPageBreak/>
              <w:t xml:space="preserve">moeten kunnen overleggen om aan te geven of (o.a.) passagiers lijdend aan infectiezieken aan boord zijn, naar een </w:t>
            </w:r>
            <w:r w:rsidRPr="005D19E5">
              <w:rPr>
                <w:rFonts w:ascii="Verdana" w:hAnsi="Verdana"/>
                <w:i/>
                <w:iCs/>
                <w:sz w:val="18"/>
                <w:szCs w:val="18"/>
              </w:rPr>
              <w:t>‘scheeps-gezondheidsverklaring’,</w:t>
            </w:r>
            <w:r w:rsidRPr="005D19E5">
              <w:rPr>
                <w:rFonts w:ascii="Verdana" w:hAnsi="Verdana"/>
                <w:sz w:val="18"/>
                <w:szCs w:val="18"/>
              </w:rPr>
              <w:t xml:space="preserve"> om ook van toepassing te laten zijn voor schepen op rivieren.</w:t>
            </w:r>
          </w:p>
        </w:tc>
        <w:tc>
          <w:tcPr>
            <w:tcW w:w="0" w:type="auto"/>
          </w:tcPr>
          <w:p w:rsidRPr="005D19E5" w:rsidR="005D19E5" w:rsidP="00B23C71" w:rsidRDefault="005D19E5" w14:paraId="42F95382" w14:textId="77777777">
            <w:pPr>
              <w:rPr>
                <w:rFonts w:ascii="Verdana" w:hAnsi="Verdana"/>
                <w:sz w:val="18"/>
                <w:szCs w:val="18"/>
              </w:rPr>
            </w:pPr>
            <w:r w:rsidRPr="005D19E5">
              <w:rPr>
                <w:rFonts w:ascii="Verdana" w:hAnsi="Verdana"/>
                <w:sz w:val="18"/>
                <w:szCs w:val="18"/>
              </w:rPr>
              <w:lastRenderedPageBreak/>
              <w:t xml:space="preserve">Deze wijziging maakt het mogelijk om bijvoorbeeld in Nederland rivierschepen, </w:t>
            </w:r>
            <w:r w:rsidRPr="005D19E5">
              <w:rPr>
                <w:rFonts w:ascii="Verdana" w:hAnsi="Verdana"/>
                <w:sz w:val="18"/>
                <w:szCs w:val="18"/>
              </w:rPr>
              <w:lastRenderedPageBreak/>
              <w:t xml:space="preserve">komend uit het buitenland, zoals over de Rijn, Maas, om een </w:t>
            </w:r>
            <w:proofErr w:type="spellStart"/>
            <w:r w:rsidRPr="005D19E5">
              <w:rPr>
                <w:rFonts w:ascii="Verdana" w:hAnsi="Verdana"/>
                <w:sz w:val="18"/>
                <w:szCs w:val="18"/>
              </w:rPr>
              <w:t>scheepsgezondheids</w:t>
            </w:r>
            <w:proofErr w:type="spellEnd"/>
            <w:r w:rsidRPr="005D19E5">
              <w:rPr>
                <w:rFonts w:ascii="Verdana" w:hAnsi="Verdana"/>
                <w:sz w:val="18"/>
                <w:szCs w:val="18"/>
              </w:rPr>
              <w:t>-verklaring te vragen. Daardoor kan vroegtijdig introductie van infectieziekten ondervangen worden, c.q. uitbraken aan boord zoals vastgesteld in omringende landen opgevolgd worden en de nodige ondersteuning bij de beheersing van een uitbraak aan boord gegeven worden.</w:t>
            </w:r>
          </w:p>
        </w:tc>
      </w:tr>
      <w:tr w:rsidRPr="005D19E5" w:rsidR="005D19E5" w:rsidTr="00B23C71" w14:paraId="4C24014B" w14:textId="77777777">
        <w:tc>
          <w:tcPr>
            <w:tcW w:w="0" w:type="auto"/>
          </w:tcPr>
          <w:p w:rsidRPr="005D19E5" w:rsidR="005D19E5" w:rsidP="00B23C71" w:rsidRDefault="005D19E5" w14:paraId="56AC32E6" w14:textId="77777777">
            <w:pPr>
              <w:rPr>
                <w:rFonts w:ascii="Verdana" w:hAnsi="Verdana"/>
                <w:sz w:val="18"/>
                <w:szCs w:val="18"/>
              </w:rPr>
            </w:pPr>
            <w:r w:rsidRPr="005D19E5">
              <w:rPr>
                <w:rFonts w:ascii="Verdana" w:hAnsi="Verdana"/>
                <w:sz w:val="18"/>
                <w:szCs w:val="18"/>
              </w:rPr>
              <w:lastRenderedPageBreak/>
              <w:t>Artikel 43</w:t>
            </w:r>
          </w:p>
        </w:tc>
        <w:tc>
          <w:tcPr>
            <w:tcW w:w="0" w:type="auto"/>
          </w:tcPr>
          <w:p w:rsidRPr="005D19E5" w:rsidR="005D19E5" w:rsidP="00B23C71" w:rsidRDefault="005D19E5" w14:paraId="27298EE0" w14:textId="77777777">
            <w:pPr>
              <w:rPr>
                <w:rFonts w:ascii="Verdana" w:hAnsi="Verdana"/>
                <w:sz w:val="18"/>
                <w:szCs w:val="18"/>
              </w:rPr>
            </w:pPr>
            <w:r w:rsidRPr="005D19E5">
              <w:rPr>
                <w:rFonts w:ascii="Verdana" w:hAnsi="Verdana"/>
                <w:sz w:val="18"/>
                <w:szCs w:val="18"/>
              </w:rPr>
              <w:t>Staten die partij zijn bij de IHR kunnen beslissen om bij de aanpak van specifieke gezondheidsbedreigingen of bij een noodsituatie van de volksgezondheid van internationaal belang aanvullende maatregelen te nemen, die verder gaan dan WHO aanbevelingen of andere specifieke IHR-bepalingen.</w:t>
            </w:r>
          </w:p>
          <w:p w:rsidRPr="005D19E5" w:rsidR="005D19E5" w:rsidP="00B23C71" w:rsidRDefault="005D19E5" w14:paraId="005B01BE" w14:textId="77777777">
            <w:pPr>
              <w:rPr>
                <w:rFonts w:ascii="Verdana" w:hAnsi="Verdana"/>
                <w:sz w:val="18"/>
                <w:szCs w:val="18"/>
              </w:rPr>
            </w:pPr>
            <w:r w:rsidRPr="005D19E5">
              <w:rPr>
                <w:rFonts w:ascii="Verdana" w:hAnsi="Verdana"/>
                <w:sz w:val="18"/>
                <w:szCs w:val="18"/>
              </w:rPr>
              <w:t>In de IHR is nu toegevoegd dat landen die daar de (nadelige) gevolgen van ondervinden dan wel de WHO zo’n land kunnen verzoeken om maatregelen – indien gewenst vertrouwelijk - af te stemmen.</w:t>
            </w:r>
          </w:p>
        </w:tc>
        <w:tc>
          <w:tcPr>
            <w:tcW w:w="0" w:type="auto"/>
          </w:tcPr>
          <w:p w:rsidRPr="005D19E5" w:rsidR="005D19E5" w:rsidP="00B23C71" w:rsidRDefault="005D19E5" w14:paraId="3E5E8BBF" w14:textId="77777777">
            <w:pPr>
              <w:rPr>
                <w:rFonts w:ascii="Verdana" w:hAnsi="Verdana"/>
                <w:sz w:val="18"/>
                <w:szCs w:val="18"/>
              </w:rPr>
            </w:pPr>
            <w:r w:rsidRPr="005D19E5">
              <w:rPr>
                <w:rFonts w:ascii="Verdana" w:hAnsi="Verdana"/>
                <w:sz w:val="18"/>
                <w:szCs w:val="18"/>
              </w:rPr>
              <w:t xml:space="preserve">Sommige eenzijdige (aanvullende) bepalingen kunnen (sterk) nadelige gevolgen hebben voor buur- of andere landen. Met deze bepaling wordt de mogelijkheid van onderlinge afstemming bevorderd. </w:t>
            </w:r>
          </w:p>
        </w:tc>
      </w:tr>
      <w:tr w:rsidRPr="005D19E5" w:rsidR="005D19E5" w:rsidTr="00B23C71" w14:paraId="72133EA0" w14:textId="77777777">
        <w:tc>
          <w:tcPr>
            <w:tcW w:w="0" w:type="auto"/>
          </w:tcPr>
          <w:p w:rsidRPr="005D19E5" w:rsidR="005D19E5" w:rsidP="00B23C71" w:rsidRDefault="005D19E5" w14:paraId="1C52797C" w14:textId="77777777">
            <w:pPr>
              <w:rPr>
                <w:rFonts w:ascii="Verdana" w:hAnsi="Verdana"/>
                <w:sz w:val="18"/>
                <w:szCs w:val="18"/>
              </w:rPr>
            </w:pPr>
            <w:r w:rsidRPr="005D19E5">
              <w:rPr>
                <w:rFonts w:ascii="Verdana" w:hAnsi="Verdana"/>
                <w:sz w:val="18"/>
                <w:szCs w:val="18"/>
              </w:rPr>
              <w:t>Artikel 44</w:t>
            </w:r>
          </w:p>
        </w:tc>
        <w:tc>
          <w:tcPr>
            <w:tcW w:w="0" w:type="auto"/>
          </w:tcPr>
          <w:p w:rsidRPr="005D19E5" w:rsidR="005D19E5" w:rsidP="00B23C71" w:rsidRDefault="005D19E5" w14:paraId="230B385B" w14:textId="77777777">
            <w:pPr>
              <w:rPr>
                <w:rFonts w:ascii="Verdana" w:hAnsi="Verdana"/>
                <w:sz w:val="18"/>
                <w:szCs w:val="18"/>
              </w:rPr>
            </w:pPr>
            <w:r w:rsidRPr="005D19E5">
              <w:rPr>
                <w:rFonts w:ascii="Verdana" w:hAnsi="Verdana"/>
                <w:sz w:val="18"/>
                <w:szCs w:val="18"/>
              </w:rPr>
              <w:t>Versterking van de internationale samenwerking rondom capaciteitsontwikkeling, expliciete verwijzing naar financiering van preventie, paraatheid en respons (PPR).</w:t>
            </w:r>
          </w:p>
        </w:tc>
        <w:tc>
          <w:tcPr>
            <w:tcW w:w="0" w:type="auto"/>
          </w:tcPr>
          <w:p w:rsidRPr="005D19E5" w:rsidR="005D19E5" w:rsidP="00B23C71" w:rsidRDefault="005D19E5" w14:paraId="007DB847" w14:textId="77777777">
            <w:pPr>
              <w:rPr>
                <w:rFonts w:ascii="Verdana" w:hAnsi="Verdana"/>
                <w:sz w:val="18"/>
                <w:szCs w:val="18"/>
              </w:rPr>
            </w:pPr>
            <w:r w:rsidRPr="005D19E5">
              <w:rPr>
                <w:rFonts w:ascii="Verdana" w:hAnsi="Verdana"/>
                <w:sz w:val="18"/>
                <w:szCs w:val="18"/>
              </w:rPr>
              <w:t xml:space="preserve">Met deze wijzigingen worden lidstaten opgeroepen om – conform nationale wetgeving en beschikbare middelen - voldoende financiële middelen beschikbaar te stellen voor nationale capaciteitsontwikkeling, en ook voor (regionale) samenwerking. </w:t>
            </w:r>
          </w:p>
        </w:tc>
      </w:tr>
      <w:tr w:rsidRPr="005D19E5" w:rsidR="005D19E5" w:rsidTr="00B23C71" w14:paraId="10913CBB" w14:textId="77777777">
        <w:tc>
          <w:tcPr>
            <w:tcW w:w="0" w:type="auto"/>
          </w:tcPr>
          <w:p w:rsidRPr="005D19E5" w:rsidR="005D19E5" w:rsidP="00B23C71" w:rsidRDefault="005D19E5" w14:paraId="6756813A" w14:textId="77777777">
            <w:pPr>
              <w:rPr>
                <w:rFonts w:ascii="Verdana" w:hAnsi="Verdana"/>
                <w:sz w:val="18"/>
                <w:szCs w:val="18"/>
              </w:rPr>
            </w:pPr>
            <w:r w:rsidRPr="005D19E5">
              <w:rPr>
                <w:rFonts w:ascii="Verdana" w:hAnsi="Verdana"/>
                <w:sz w:val="18"/>
                <w:szCs w:val="18"/>
              </w:rPr>
              <w:t>Artikel 44bis</w:t>
            </w:r>
          </w:p>
        </w:tc>
        <w:tc>
          <w:tcPr>
            <w:tcW w:w="0" w:type="auto"/>
          </w:tcPr>
          <w:p w:rsidRPr="005D19E5" w:rsidR="005D19E5" w:rsidP="00B23C71" w:rsidRDefault="005D19E5" w14:paraId="7CA8723F" w14:textId="77777777">
            <w:pPr>
              <w:rPr>
                <w:rFonts w:ascii="Verdana" w:hAnsi="Verdana"/>
                <w:sz w:val="18"/>
                <w:szCs w:val="18"/>
              </w:rPr>
            </w:pPr>
            <w:r w:rsidRPr="005D19E5">
              <w:rPr>
                <w:rFonts w:ascii="Verdana" w:hAnsi="Verdana"/>
                <w:sz w:val="18"/>
                <w:szCs w:val="18"/>
              </w:rPr>
              <w:t xml:space="preserve">Inrichting van een </w:t>
            </w:r>
            <w:proofErr w:type="spellStart"/>
            <w:r w:rsidRPr="005D19E5">
              <w:rPr>
                <w:rFonts w:ascii="Verdana" w:hAnsi="Verdana"/>
                <w:sz w:val="18"/>
                <w:szCs w:val="18"/>
              </w:rPr>
              <w:t>Coordinating</w:t>
            </w:r>
            <w:proofErr w:type="spellEnd"/>
            <w:r w:rsidRPr="005D19E5">
              <w:rPr>
                <w:rFonts w:ascii="Verdana" w:hAnsi="Verdana"/>
                <w:sz w:val="18"/>
                <w:szCs w:val="18"/>
              </w:rPr>
              <w:t xml:space="preserve"> Financial </w:t>
            </w:r>
            <w:proofErr w:type="spellStart"/>
            <w:r w:rsidRPr="005D19E5">
              <w:rPr>
                <w:rFonts w:ascii="Verdana" w:hAnsi="Verdana"/>
                <w:sz w:val="18"/>
                <w:szCs w:val="18"/>
              </w:rPr>
              <w:t>Mechanism</w:t>
            </w:r>
            <w:proofErr w:type="spellEnd"/>
            <w:r w:rsidRPr="005D19E5">
              <w:rPr>
                <w:rFonts w:ascii="Verdana" w:hAnsi="Verdana"/>
                <w:sz w:val="18"/>
                <w:szCs w:val="18"/>
              </w:rPr>
              <w:t xml:space="preserve"> (CFM) voor preventie, paraatheid en respons (PPR). </w:t>
            </w:r>
          </w:p>
        </w:tc>
        <w:tc>
          <w:tcPr>
            <w:tcW w:w="0" w:type="auto"/>
          </w:tcPr>
          <w:p w:rsidRPr="005D19E5" w:rsidR="005D19E5" w:rsidP="00B23C71" w:rsidRDefault="005D19E5" w14:paraId="6533D578" w14:textId="77777777">
            <w:pPr>
              <w:rPr>
                <w:rFonts w:ascii="Verdana" w:hAnsi="Verdana"/>
                <w:sz w:val="18"/>
                <w:szCs w:val="18"/>
              </w:rPr>
            </w:pPr>
            <w:r w:rsidRPr="005D19E5">
              <w:rPr>
                <w:rFonts w:ascii="Verdana" w:hAnsi="Verdana"/>
                <w:sz w:val="18"/>
                <w:szCs w:val="18"/>
              </w:rPr>
              <w:t>Dit CFM heeft als doel om - met name bestaande – financieringsstromen voor PPR te coördineren, zodat financiering beter gericht kan worden op capaciteitsontwikkeling waar deze het meeste nodig is.</w:t>
            </w:r>
          </w:p>
        </w:tc>
      </w:tr>
      <w:tr w:rsidRPr="005D19E5" w:rsidR="005D19E5" w:rsidTr="00B23C71" w14:paraId="2DEF1351" w14:textId="77777777">
        <w:tc>
          <w:tcPr>
            <w:tcW w:w="0" w:type="auto"/>
          </w:tcPr>
          <w:p w:rsidRPr="005D19E5" w:rsidR="005D19E5" w:rsidP="00B23C71" w:rsidRDefault="005D19E5" w14:paraId="2ED38722" w14:textId="77777777">
            <w:pPr>
              <w:rPr>
                <w:rFonts w:ascii="Verdana" w:hAnsi="Verdana"/>
                <w:sz w:val="18"/>
                <w:szCs w:val="18"/>
              </w:rPr>
            </w:pPr>
            <w:r w:rsidRPr="005D19E5">
              <w:rPr>
                <w:rFonts w:ascii="Verdana" w:hAnsi="Verdana"/>
                <w:sz w:val="18"/>
                <w:szCs w:val="18"/>
              </w:rPr>
              <w:t>Artikel 54bis</w:t>
            </w:r>
          </w:p>
        </w:tc>
        <w:tc>
          <w:tcPr>
            <w:tcW w:w="0" w:type="auto"/>
          </w:tcPr>
          <w:p w:rsidRPr="005D19E5" w:rsidR="005D19E5" w:rsidP="00B23C71" w:rsidRDefault="005D19E5" w14:paraId="03F3FBD9" w14:textId="77777777">
            <w:pPr>
              <w:rPr>
                <w:rFonts w:ascii="Verdana" w:hAnsi="Verdana"/>
                <w:sz w:val="18"/>
                <w:szCs w:val="18"/>
              </w:rPr>
            </w:pPr>
            <w:r w:rsidRPr="005D19E5">
              <w:rPr>
                <w:rFonts w:ascii="Verdana" w:hAnsi="Verdana"/>
                <w:sz w:val="18"/>
                <w:szCs w:val="18"/>
              </w:rPr>
              <w:t xml:space="preserve">Oprichting van een </w:t>
            </w:r>
            <w:proofErr w:type="spellStart"/>
            <w:r w:rsidRPr="005D19E5">
              <w:rPr>
                <w:rFonts w:ascii="Verdana" w:hAnsi="Verdana"/>
                <w:sz w:val="18"/>
                <w:szCs w:val="18"/>
              </w:rPr>
              <w:t>States</w:t>
            </w:r>
            <w:proofErr w:type="spellEnd"/>
            <w:r w:rsidRPr="005D19E5">
              <w:rPr>
                <w:rFonts w:ascii="Verdana" w:hAnsi="Verdana"/>
                <w:sz w:val="18"/>
                <w:szCs w:val="18"/>
              </w:rPr>
              <w:t xml:space="preserve"> </w:t>
            </w:r>
            <w:proofErr w:type="spellStart"/>
            <w:r w:rsidRPr="005D19E5">
              <w:rPr>
                <w:rFonts w:ascii="Verdana" w:hAnsi="Verdana"/>
                <w:sz w:val="18"/>
                <w:szCs w:val="18"/>
              </w:rPr>
              <w:t>Parties</w:t>
            </w:r>
            <w:proofErr w:type="spellEnd"/>
            <w:r w:rsidRPr="005D19E5">
              <w:rPr>
                <w:rFonts w:ascii="Verdana" w:hAnsi="Verdana"/>
                <w:sz w:val="18"/>
                <w:szCs w:val="18"/>
              </w:rPr>
              <w:t xml:space="preserve"> </w:t>
            </w:r>
            <w:proofErr w:type="spellStart"/>
            <w:r w:rsidRPr="005D19E5">
              <w:rPr>
                <w:rFonts w:ascii="Verdana" w:hAnsi="Verdana"/>
                <w:sz w:val="18"/>
                <w:szCs w:val="18"/>
              </w:rPr>
              <w:t>Committee</w:t>
            </w:r>
            <w:proofErr w:type="spellEnd"/>
            <w:r w:rsidRPr="005D19E5">
              <w:rPr>
                <w:rFonts w:ascii="Verdana" w:hAnsi="Verdana"/>
                <w:sz w:val="18"/>
                <w:szCs w:val="18"/>
              </w:rPr>
              <w:t xml:space="preserve"> (SPC) voor de implementatie van de IHR 2005.</w:t>
            </w:r>
          </w:p>
        </w:tc>
        <w:tc>
          <w:tcPr>
            <w:tcW w:w="0" w:type="auto"/>
          </w:tcPr>
          <w:p w:rsidRPr="005D19E5" w:rsidR="005D19E5" w:rsidP="00B23C71" w:rsidRDefault="005D19E5" w14:paraId="421154CD" w14:textId="77777777">
            <w:pPr>
              <w:rPr>
                <w:rFonts w:ascii="Verdana" w:hAnsi="Verdana"/>
                <w:sz w:val="18"/>
                <w:szCs w:val="18"/>
              </w:rPr>
            </w:pPr>
            <w:r w:rsidRPr="005D19E5">
              <w:rPr>
                <w:rFonts w:ascii="Verdana" w:hAnsi="Verdana"/>
                <w:sz w:val="18"/>
                <w:szCs w:val="18"/>
              </w:rPr>
              <w:t>Dit nieuwe comité, waar alle Staten die partij zijn bij de IHR zitting in zullen hebben, zal zich met name richten op de kwalitatieve aspecten van de implementatie van de IHR, waarbij landen ook met elkaar in gesprek kunnen gaan over vraagstukken rondom implementatie.</w:t>
            </w:r>
          </w:p>
        </w:tc>
      </w:tr>
      <w:tr w:rsidRPr="005D19E5" w:rsidR="005D19E5" w:rsidTr="00B23C71" w14:paraId="3B5E0F40" w14:textId="77777777">
        <w:tc>
          <w:tcPr>
            <w:tcW w:w="0" w:type="auto"/>
          </w:tcPr>
          <w:p w:rsidRPr="005D19E5" w:rsidR="005D19E5" w:rsidP="00B23C71" w:rsidRDefault="005D19E5" w14:paraId="47C4D1E8" w14:textId="77777777">
            <w:pPr>
              <w:rPr>
                <w:rFonts w:ascii="Verdana" w:hAnsi="Verdana"/>
                <w:sz w:val="18"/>
                <w:szCs w:val="18"/>
              </w:rPr>
            </w:pPr>
            <w:r w:rsidRPr="005D19E5">
              <w:rPr>
                <w:rFonts w:ascii="Verdana" w:hAnsi="Verdana"/>
                <w:sz w:val="18"/>
                <w:szCs w:val="18"/>
              </w:rPr>
              <w:t>Bijlage 1</w:t>
            </w:r>
          </w:p>
        </w:tc>
        <w:tc>
          <w:tcPr>
            <w:tcW w:w="0" w:type="auto"/>
          </w:tcPr>
          <w:p w:rsidRPr="005D19E5" w:rsidR="005D19E5" w:rsidP="00B23C71" w:rsidRDefault="005D19E5" w14:paraId="64B5960F" w14:textId="77777777">
            <w:pPr>
              <w:rPr>
                <w:rFonts w:ascii="Verdana" w:hAnsi="Verdana"/>
                <w:sz w:val="18"/>
                <w:szCs w:val="18"/>
              </w:rPr>
            </w:pPr>
            <w:r w:rsidRPr="005D19E5">
              <w:rPr>
                <w:rFonts w:ascii="Verdana" w:hAnsi="Verdana"/>
                <w:sz w:val="18"/>
                <w:szCs w:val="18"/>
              </w:rPr>
              <w:t>Uitbreiding van de capaciteiten waarover een land dient te beschikken ten behoeve van signalering en respons.</w:t>
            </w:r>
          </w:p>
        </w:tc>
        <w:tc>
          <w:tcPr>
            <w:tcW w:w="0" w:type="auto"/>
          </w:tcPr>
          <w:p w:rsidRPr="005D19E5" w:rsidR="005D19E5" w:rsidP="00B23C71" w:rsidRDefault="005D19E5" w14:paraId="254AA30E" w14:textId="77777777">
            <w:pPr>
              <w:rPr>
                <w:rFonts w:ascii="Verdana" w:hAnsi="Verdana"/>
                <w:sz w:val="18"/>
                <w:szCs w:val="18"/>
              </w:rPr>
            </w:pPr>
            <w:r w:rsidRPr="005D19E5">
              <w:rPr>
                <w:rFonts w:ascii="Verdana" w:hAnsi="Verdana"/>
                <w:sz w:val="18"/>
                <w:szCs w:val="18"/>
              </w:rPr>
              <w:t xml:space="preserve">De uitbreiding betreft capaciteiten voor preventie en paraatheid, waaronder toegang tot medische zorg en medische producten voor uitbraakbestrijding, alsook capaciteiten rondom risicocommunicatie en logistieke ondersteuning. De capaciteiten zijn hiermee in lijn gebracht met de monitoring of IHR-implementatie volgens de State Party </w:t>
            </w:r>
            <w:proofErr w:type="spellStart"/>
            <w:r w:rsidRPr="005D19E5">
              <w:rPr>
                <w:rFonts w:ascii="Verdana" w:hAnsi="Verdana"/>
                <w:sz w:val="18"/>
                <w:szCs w:val="18"/>
              </w:rPr>
              <w:t>Annual</w:t>
            </w:r>
            <w:proofErr w:type="spellEnd"/>
            <w:r w:rsidRPr="005D19E5">
              <w:rPr>
                <w:rFonts w:ascii="Verdana" w:hAnsi="Verdana"/>
                <w:sz w:val="18"/>
                <w:szCs w:val="18"/>
              </w:rPr>
              <w:t xml:space="preserve"> Reporting </w:t>
            </w:r>
            <w:r w:rsidRPr="005D19E5">
              <w:rPr>
                <w:rFonts w:ascii="Verdana" w:hAnsi="Verdana"/>
                <w:sz w:val="18"/>
                <w:szCs w:val="18"/>
              </w:rPr>
              <w:lastRenderedPageBreak/>
              <w:t>(SPAR).</w:t>
            </w:r>
            <w:r w:rsidRPr="005D19E5">
              <w:rPr>
                <w:rStyle w:val="Voetnootmarkering"/>
                <w:rFonts w:ascii="Verdana" w:hAnsi="Verdana"/>
                <w:sz w:val="18"/>
                <w:szCs w:val="18"/>
              </w:rPr>
              <w:footnoteReference w:id="2"/>
            </w:r>
          </w:p>
        </w:tc>
      </w:tr>
      <w:tr w:rsidRPr="005D19E5" w:rsidR="005D19E5" w:rsidTr="00B23C71" w14:paraId="2F8764D3" w14:textId="77777777">
        <w:tc>
          <w:tcPr>
            <w:tcW w:w="0" w:type="auto"/>
          </w:tcPr>
          <w:p w:rsidRPr="005D19E5" w:rsidR="005D19E5" w:rsidP="00B23C71" w:rsidRDefault="005D19E5" w14:paraId="227BE8D0" w14:textId="77777777">
            <w:pPr>
              <w:rPr>
                <w:rFonts w:ascii="Verdana" w:hAnsi="Verdana"/>
                <w:sz w:val="18"/>
                <w:szCs w:val="18"/>
              </w:rPr>
            </w:pPr>
            <w:r w:rsidRPr="005D19E5">
              <w:rPr>
                <w:rFonts w:ascii="Verdana" w:hAnsi="Verdana"/>
                <w:sz w:val="18"/>
                <w:szCs w:val="18"/>
              </w:rPr>
              <w:lastRenderedPageBreak/>
              <w:t>Bijlage 2</w:t>
            </w:r>
          </w:p>
        </w:tc>
        <w:tc>
          <w:tcPr>
            <w:tcW w:w="0" w:type="auto"/>
          </w:tcPr>
          <w:p w:rsidRPr="005D19E5" w:rsidR="005D19E5" w:rsidP="00B23C71" w:rsidRDefault="005D19E5" w14:paraId="069F2FE2" w14:textId="77777777">
            <w:pPr>
              <w:rPr>
                <w:rFonts w:ascii="Verdana" w:hAnsi="Verdana"/>
                <w:sz w:val="18"/>
                <w:szCs w:val="18"/>
              </w:rPr>
            </w:pPr>
            <w:r w:rsidRPr="005D19E5">
              <w:rPr>
                <w:rFonts w:ascii="Verdana" w:hAnsi="Verdana"/>
                <w:sz w:val="18"/>
                <w:szCs w:val="18"/>
              </w:rPr>
              <w:t>In het stroomdiagram waarmee specifieke gezondheids-bedreigingen worden geclassificeerd, wordt nieuwe of onbekende acute respiratoire aandoeningen, toegevoegd als categorie die specifiek aandacht vereist.</w:t>
            </w:r>
          </w:p>
        </w:tc>
        <w:tc>
          <w:tcPr>
            <w:tcW w:w="0" w:type="auto"/>
          </w:tcPr>
          <w:p w:rsidRPr="005D19E5" w:rsidR="005D19E5" w:rsidP="00B23C71" w:rsidRDefault="005D19E5" w14:paraId="23FCAD0C" w14:textId="77777777">
            <w:pPr>
              <w:rPr>
                <w:rFonts w:ascii="Verdana" w:hAnsi="Verdana"/>
                <w:sz w:val="18"/>
                <w:szCs w:val="18"/>
              </w:rPr>
            </w:pPr>
            <w:r w:rsidRPr="005D19E5">
              <w:rPr>
                <w:rFonts w:ascii="Verdana" w:hAnsi="Verdana"/>
                <w:sz w:val="18"/>
                <w:szCs w:val="18"/>
              </w:rPr>
              <w:t>Hiermee kan mogelijk eerder beoordeeld worden of een nieuwe uitbraak een potentiële (internationale) bedreiging vormt.</w:t>
            </w:r>
          </w:p>
        </w:tc>
      </w:tr>
      <w:tr w:rsidRPr="005D19E5" w:rsidR="005D19E5" w:rsidTr="00B23C71" w14:paraId="1CDB6A65" w14:textId="77777777">
        <w:tc>
          <w:tcPr>
            <w:tcW w:w="0" w:type="auto"/>
          </w:tcPr>
          <w:p w:rsidRPr="005D19E5" w:rsidR="005D19E5" w:rsidP="00B23C71" w:rsidRDefault="005D19E5" w14:paraId="7833C6B8" w14:textId="77777777">
            <w:pPr>
              <w:rPr>
                <w:rFonts w:ascii="Verdana" w:hAnsi="Verdana"/>
                <w:sz w:val="18"/>
                <w:szCs w:val="18"/>
              </w:rPr>
            </w:pPr>
            <w:r w:rsidRPr="005D19E5">
              <w:rPr>
                <w:rFonts w:ascii="Verdana" w:hAnsi="Verdana"/>
                <w:sz w:val="18"/>
                <w:szCs w:val="18"/>
              </w:rPr>
              <w:t>Bijlage 4</w:t>
            </w:r>
          </w:p>
        </w:tc>
        <w:tc>
          <w:tcPr>
            <w:tcW w:w="0" w:type="auto"/>
          </w:tcPr>
          <w:p w:rsidRPr="005D19E5" w:rsidR="005D19E5" w:rsidP="00B23C71" w:rsidRDefault="005D19E5" w14:paraId="755B7967" w14:textId="77777777">
            <w:pPr>
              <w:rPr>
                <w:rFonts w:ascii="Verdana" w:hAnsi="Verdana"/>
                <w:sz w:val="18"/>
                <w:szCs w:val="18"/>
              </w:rPr>
            </w:pPr>
            <w:r w:rsidRPr="005D19E5">
              <w:rPr>
                <w:rFonts w:ascii="Verdana" w:hAnsi="Verdana"/>
                <w:sz w:val="18"/>
                <w:szCs w:val="18"/>
              </w:rPr>
              <w:t xml:space="preserve">In deze bijlage zijn de technische vereisten aangepast voor exploitanten van internationale voertuigen zoals (cruise)schepen verruimd. Exploitanten dienen ook voorbereid te zijn op het uitvoeren van gezondheidsmaatregelen. </w:t>
            </w:r>
          </w:p>
        </w:tc>
        <w:tc>
          <w:tcPr>
            <w:tcW w:w="0" w:type="auto"/>
          </w:tcPr>
          <w:p w:rsidRPr="005D19E5" w:rsidR="005D19E5" w:rsidP="00B23C71" w:rsidRDefault="005D19E5" w14:paraId="514D484C" w14:textId="77777777">
            <w:pPr>
              <w:rPr>
                <w:rFonts w:ascii="Verdana" w:hAnsi="Verdana"/>
                <w:sz w:val="18"/>
                <w:szCs w:val="18"/>
              </w:rPr>
            </w:pPr>
            <w:r w:rsidRPr="005D19E5">
              <w:rPr>
                <w:rFonts w:ascii="Verdana" w:hAnsi="Verdana"/>
                <w:sz w:val="18"/>
                <w:szCs w:val="18"/>
              </w:rPr>
              <w:t>Hiermee zullen o.a. cruisemaatschappijen beter uitgerust zijn om uitbraken aan boord, zoals duidelijk werd in de beginfase van Covid-19, te voorkomen dan wel te signaleren. Een uniforme toepassing van deze eisen kan overheden ondersteunen bij het beperken van uitbraken.</w:t>
            </w:r>
          </w:p>
        </w:tc>
      </w:tr>
    </w:tbl>
    <w:p w:rsidRPr="005D19E5" w:rsidR="00B06701" w:rsidRDefault="00B06701" w14:paraId="73B43A56" w14:textId="77777777">
      <w:pPr>
        <w:rPr>
          <w:szCs w:val="18"/>
        </w:rPr>
      </w:pPr>
    </w:p>
    <w:sectPr w:rsidRPr="005D19E5" w:rsidR="00B067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93059" w14:textId="77777777" w:rsidR="00F71173" w:rsidRDefault="00F71173" w:rsidP="005D19E5">
      <w:pPr>
        <w:spacing w:line="240" w:lineRule="auto"/>
      </w:pPr>
      <w:r>
        <w:separator/>
      </w:r>
    </w:p>
  </w:endnote>
  <w:endnote w:type="continuationSeparator" w:id="0">
    <w:p w14:paraId="4E9B1BC3" w14:textId="77777777" w:rsidR="00F71173" w:rsidRDefault="00F71173" w:rsidP="005D19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sig w:usb0="00000000" w:usb1="00000000" w:usb2="00000000" w:usb3="00000000" w:csb0="00000001"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D8169" w14:textId="77777777" w:rsidR="00F71173" w:rsidRDefault="00F71173" w:rsidP="005D19E5">
      <w:pPr>
        <w:spacing w:line="240" w:lineRule="auto"/>
      </w:pPr>
      <w:r>
        <w:separator/>
      </w:r>
    </w:p>
  </w:footnote>
  <w:footnote w:type="continuationSeparator" w:id="0">
    <w:p w14:paraId="11841A1F" w14:textId="77777777" w:rsidR="00F71173" w:rsidRDefault="00F71173" w:rsidP="005D19E5">
      <w:pPr>
        <w:spacing w:line="240" w:lineRule="auto"/>
      </w:pPr>
      <w:r>
        <w:continuationSeparator/>
      </w:r>
    </w:p>
  </w:footnote>
  <w:footnote w:id="1">
    <w:p w14:paraId="55F167F3" w14:textId="77777777" w:rsidR="005D19E5" w:rsidRPr="005E4C4C" w:rsidRDefault="005D19E5" w:rsidP="005D19E5">
      <w:pPr>
        <w:pStyle w:val="Voetnoottekst"/>
        <w:rPr>
          <w:sz w:val="16"/>
          <w:szCs w:val="16"/>
        </w:rPr>
      </w:pPr>
      <w:r w:rsidRPr="005E4C4C">
        <w:rPr>
          <w:rStyle w:val="Voetnootmarkering"/>
          <w:sz w:val="16"/>
          <w:szCs w:val="16"/>
        </w:rPr>
        <w:footnoteRef/>
      </w:r>
      <w:r w:rsidRPr="005E4C4C">
        <w:rPr>
          <w:sz w:val="16"/>
          <w:szCs w:val="16"/>
        </w:rPr>
        <w:t xml:space="preserve"> Het Nederlandse IGR-coördinatiepunt is het Centrum voor Infectieziektebestrijding (CIB) van het RIVM.</w:t>
      </w:r>
    </w:p>
  </w:footnote>
  <w:footnote w:id="2">
    <w:p w14:paraId="292DBC3B" w14:textId="77777777" w:rsidR="005D19E5" w:rsidRPr="00AA399D" w:rsidRDefault="005D19E5" w:rsidP="005D19E5">
      <w:pPr>
        <w:pStyle w:val="Voetnoottekst"/>
        <w:rPr>
          <w:sz w:val="16"/>
          <w:szCs w:val="16"/>
        </w:rPr>
      </w:pPr>
      <w:r w:rsidRPr="00AA399D">
        <w:rPr>
          <w:rStyle w:val="Voetnootmarkering"/>
          <w:sz w:val="16"/>
          <w:szCs w:val="16"/>
        </w:rPr>
        <w:footnoteRef/>
      </w:r>
      <w:r w:rsidRPr="00AA399D">
        <w:rPr>
          <w:sz w:val="16"/>
          <w:szCs w:val="16"/>
        </w:rPr>
        <w:t xml:space="preserve"> De SPAR is een zelfevaluatie instrument voor implementatie van de IHR die alle staten die partij zijn bij de IHR jaarlijks invullen. Zie ook: </w:t>
      </w:r>
      <w:hyperlink r:id="rId1" w:history="1">
        <w:proofErr w:type="spellStart"/>
        <w:r w:rsidRPr="00AA399D">
          <w:rPr>
            <w:rStyle w:val="Hyperlink"/>
            <w:sz w:val="16"/>
            <w:szCs w:val="16"/>
          </w:rPr>
          <w:t>States</w:t>
        </w:r>
        <w:proofErr w:type="spellEnd"/>
        <w:r w:rsidRPr="00AA399D">
          <w:rPr>
            <w:rStyle w:val="Hyperlink"/>
            <w:sz w:val="16"/>
            <w:szCs w:val="16"/>
          </w:rPr>
          <w:t xml:space="preserve"> </w:t>
        </w:r>
        <w:proofErr w:type="spellStart"/>
        <w:r w:rsidRPr="00AA399D">
          <w:rPr>
            <w:rStyle w:val="Hyperlink"/>
            <w:sz w:val="16"/>
            <w:szCs w:val="16"/>
          </w:rPr>
          <w:t>Parties</w:t>
        </w:r>
        <w:proofErr w:type="spellEnd"/>
        <w:r w:rsidRPr="00AA399D">
          <w:rPr>
            <w:rStyle w:val="Hyperlink"/>
            <w:sz w:val="16"/>
            <w:szCs w:val="16"/>
          </w:rPr>
          <w:t xml:space="preserve"> </w:t>
        </w:r>
        <w:proofErr w:type="spellStart"/>
        <w:r w:rsidRPr="00AA399D">
          <w:rPr>
            <w:rStyle w:val="Hyperlink"/>
            <w:sz w:val="16"/>
            <w:szCs w:val="16"/>
          </w:rPr>
          <w:t>Self</w:t>
        </w:r>
        <w:proofErr w:type="spellEnd"/>
        <w:r w:rsidRPr="00AA399D">
          <w:rPr>
            <w:rStyle w:val="Hyperlink"/>
            <w:sz w:val="16"/>
            <w:szCs w:val="16"/>
          </w:rPr>
          <w:t xml:space="preserve">-Assessment </w:t>
        </w:r>
        <w:proofErr w:type="spellStart"/>
        <w:r w:rsidRPr="00AA399D">
          <w:rPr>
            <w:rStyle w:val="Hyperlink"/>
            <w:sz w:val="16"/>
            <w:szCs w:val="16"/>
          </w:rPr>
          <w:t>Annual</w:t>
        </w:r>
        <w:proofErr w:type="spellEnd"/>
        <w:r w:rsidRPr="00AA399D">
          <w:rPr>
            <w:rStyle w:val="Hyperlink"/>
            <w:sz w:val="16"/>
            <w:szCs w:val="16"/>
          </w:rPr>
          <w:t xml:space="preserve"> Reporting</w:t>
        </w:r>
      </w:hyperlink>
      <w:r w:rsidRPr="00AA399D">
        <w:rPr>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E5"/>
    <w:rsid w:val="001E6A24"/>
    <w:rsid w:val="005B4382"/>
    <w:rsid w:val="005D19E5"/>
    <w:rsid w:val="00B06701"/>
    <w:rsid w:val="00D662A6"/>
    <w:rsid w:val="00F7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3E20"/>
  <w15:chartTrackingRefBased/>
  <w15:docId w15:val="{DE94664E-B24B-4AE5-9472-473A1826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19E5"/>
    <w:pPr>
      <w:widowControl w:val="0"/>
      <w:suppressAutoHyphens/>
      <w:autoSpaceDN w:val="0"/>
      <w:spacing w:after="0" w:line="240" w:lineRule="exact"/>
      <w:textAlignment w:val="baseline"/>
    </w:pPr>
    <w:rPr>
      <w:rFonts w:eastAsia="DejaVu Sans" w:cs="Lohit Hindi"/>
      <w:kern w:val="3"/>
      <w:szCs w:val="24"/>
      <w:lang w:val="nl-NL" w:eastAsia="zh-CN" w:bidi="hi-IN"/>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D19E5"/>
    <w:pPr>
      <w:widowControl w:val="0"/>
      <w:suppressAutoHyphens/>
      <w:autoSpaceDN w:val="0"/>
      <w:spacing w:after="0" w:line="240" w:lineRule="auto"/>
      <w:textAlignment w:val="baseline"/>
    </w:pPr>
    <w:rPr>
      <w:rFonts w:ascii="Times New Roman" w:eastAsia="DejaVu Sans" w:hAnsi="Times New Roman" w:cs="Lohit Hindi"/>
      <w:kern w:val="3"/>
      <w:sz w:val="24"/>
      <w:szCs w:val="24"/>
      <w:lang w:val="nl-NL"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noottekst">
    <w:name w:val="footnote text"/>
    <w:basedOn w:val="Standaard"/>
    <w:link w:val="VoetnoottekstChar"/>
    <w:uiPriority w:val="99"/>
    <w:unhideWhenUsed/>
    <w:rsid w:val="005D19E5"/>
    <w:pPr>
      <w:spacing w:line="240" w:lineRule="auto"/>
    </w:pPr>
    <w:rPr>
      <w:rFonts w:cs="Mangal"/>
      <w:sz w:val="20"/>
      <w:szCs w:val="18"/>
    </w:rPr>
  </w:style>
  <w:style w:type="character" w:customStyle="1" w:styleId="VoetnoottekstChar">
    <w:name w:val="Voetnoottekst Char"/>
    <w:basedOn w:val="Standaardalinea-lettertype"/>
    <w:link w:val="Voetnoottekst"/>
    <w:uiPriority w:val="99"/>
    <w:rsid w:val="005D19E5"/>
    <w:rPr>
      <w:rFonts w:eastAsia="DejaVu Sans" w:cs="Mangal"/>
      <w:kern w:val="3"/>
      <w:sz w:val="20"/>
      <w:szCs w:val="18"/>
      <w:lang w:val="nl-NL" w:eastAsia="zh-CN" w:bidi="hi-IN"/>
      <w14:ligatures w14:val="none"/>
    </w:rPr>
  </w:style>
  <w:style w:type="character" w:styleId="Voetnootmarkering">
    <w:name w:val="footnote reference"/>
    <w:basedOn w:val="Standaardalinea-lettertype"/>
    <w:uiPriority w:val="99"/>
    <w:semiHidden/>
    <w:unhideWhenUsed/>
    <w:rsid w:val="005D19E5"/>
    <w:rPr>
      <w:vertAlign w:val="superscript"/>
    </w:rPr>
  </w:style>
  <w:style w:type="character" w:styleId="Verwijzingopmerking">
    <w:name w:val="annotation reference"/>
    <w:basedOn w:val="Standaardalinea-lettertype"/>
    <w:uiPriority w:val="99"/>
    <w:semiHidden/>
    <w:unhideWhenUsed/>
    <w:rsid w:val="005D19E5"/>
    <w:rPr>
      <w:sz w:val="16"/>
      <w:szCs w:val="16"/>
    </w:rPr>
  </w:style>
  <w:style w:type="paragraph" w:styleId="Tekstopmerking">
    <w:name w:val="annotation text"/>
    <w:basedOn w:val="Standaard"/>
    <w:link w:val="TekstopmerkingChar"/>
    <w:uiPriority w:val="99"/>
    <w:unhideWhenUsed/>
    <w:rsid w:val="005D19E5"/>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5D19E5"/>
    <w:rPr>
      <w:rFonts w:eastAsia="DejaVu Sans" w:cs="Mangal"/>
      <w:kern w:val="3"/>
      <w:sz w:val="20"/>
      <w:szCs w:val="18"/>
      <w:lang w:val="nl-NL" w:eastAsia="zh-CN" w:bidi="hi-IN"/>
      <w14:ligatures w14:val="none"/>
    </w:rPr>
  </w:style>
  <w:style w:type="character" w:styleId="Hyperlink">
    <w:name w:val="Hyperlink"/>
    <w:basedOn w:val="Standaardalinea-lettertype"/>
    <w:uiPriority w:val="99"/>
    <w:unhideWhenUsed/>
    <w:rsid w:val="005D19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emergencies/operations/international-health-regulations-monitoring-evaluation-framework/states-parties-self-assessment-annual-report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1588</ap:Words>
  <ap:Characters>8735</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2024-12-20T10:37:00.0000000Z</dcterms:created>
  <dcterms:modified xsi:type="dcterms:W3CDTF">2024-12-20T10:37:00.0000000Z</dcterms:modified>
  <version/>
  <category/>
</coreProperties>
</file>