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rPr>
          <w:szCs w:val="18"/>
        </w:rPr>
      </w:sdtEndPr>
      <w:sdtContent>
        <w:p w:rsidRPr="001B0D24" w:rsidR="00EE2A9D" w:rsidP="00CC5B83" w:rsidRDefault="00EE2A9D" w14:paraId="6BA975A2" w14:textId="77777777">
          <w:pPr>
            <w:spacing w:line="269" w:lineRule="auto"/>
            <w:rPr>
              <w:szCs w:val="18"/>
            </w:rPr>
          </w:pPr>
        </w:p>
        <w:p w:rsidRPr="001B0D24" w:rsidR="00241BB9" w:rsidP="00CC5B83" w:rsidRDefault="00503E0B" w14:paraId="5F12B279" w14:textId="77777777">
          <w:pPr>
            <w:spacing w:line="269" w:lineRule="auto"/>
            <w:rPr>
              <w:szCs w:val="18"/>
            </w:rPr>
          </w:pPr>
        </w:p>
      </w:sdtContent>
    </w:sdt>
    <w:p w:rsidRPr="001B0D24" w:rsidR="00CD5856" w:rsidP="00CC5B83" w:rsidRDefault="00CD5856" w14:paraId="6B55B814" w14:textId="77777777">
      <w:pPr>
        <w:spacing w:line="269" w:lineRule="auto"/>
        <w:rPr>
          <w:szCs w:val="18"/>
        </w:rPr>
      </w:pPr>
    </w:p>
    <w:p w:rsidRPr="001B0D24" w:rsidR="00CD5856" w:rsidP="00CC5B83" w:rsidRDefault="00CD5856" w14:paraId="5283B53A" w14:textId="77777777">
      <w:pPr>
        <w:spacing w:line="269" w:lineRule="auto"/>
        <w:rPr>
          <w:szCs w:val="18"/>
        </w:rPr>
        <w:sectPr w:rsidRPr="001B0D24"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1B0D24" w:rsidR="00561863" w:rsidP="00CC5B83" w:rsidRDefault="00503E0B" w14:paraId="21CC4385" w14:textId="77777777">
      <w:pPr>
        <w:pStyle w:val="Huisstijl-Aanhef"/>
        <w:spacing w:before="0" w:after="0" w:line="269" w:lineRule="auto"/>
        <w:rPr>
          <w:szCs w:val="18"/>
        </w:rPr>
      </w:pPr>
      <w:r w:rsidRPr="001B0D24">
        <w:rPr>
          <w:szCs w:val="18"/>
        </w:rPr>
        <w:t>Geachte voorzitter,</w:t>
      </w:r>
      <w:r w:rsidRPr="001B0D24" w:rsidR="00E12707">
        <w:rPr>
          <w:szCs w:val="18"/>
        </w:rPr>
        <w:br/>
      </w:r>
    </w:p>
    <w:p w:rsidRPr="001B0D24" w:rsidR="008D59C5" w:rsidP="00CC5B83" w:rsidRDefault="00503E0B" w14:paraId="344709CD" w14:textId="77777777">
      <w:pPr>
        <w:pStyle w:val="Huisstijl-Aanhef"/>
        <w:spacing w:before="0" w:after="0" w:line="269" w:lineRule="auto"/>
        <w:rPr>
          <w:szCs w:val="18"/>
        </w:rPr>
      </w:pPr>
      <w:r w:rsidRPr="001B0D24">
        <w:rPr>
          <w:szCs w:val="18"/>
        </w:rPr>
        <w:t>Hierbij wil ik uw Kamer informeren</w:t>
      </w:r>
      <w:r w:rsidRPr="001B0D24" w:rsidR="00630BAC">
        <w:rPr>
          <w:szCs w:val="18"/>
        </w:rPr>
        <w:t xml:space="preserve"> over twee zaken. Allereerst wil ik graag toelichten hoe </w:t>
      </w:r>
      <w:r w:rsidRPr="001B0D24" w:rsidR="001C5636">
        <w:rPr>
          <w:szCs w:val="18"/>
        </w:rPr>
        <w:t xml:space="preserve">het vervolgproces </w:t>
      </w:r>
      <w:r w:rsidRPr="001B0D24">
        <w:rPr>
          <w:szCs w:val="18"/>
        </w:rPr>
        <w:t xml:space="preserve">met betrekking tot de wijziging van de Internationale Gezondheidsregeling </w:t>
      </w:r>
      <w:r w:rsidRPr="001B0D24" w:rsidR="00E12707">
        <w:rPr>
          <w:szCs w:val="18"/>
        </w:rPr>
        <w:t xml:space="preserve">2005 </w:t>
      </w:r>
      <w:r w:rsidRPr="001B0D24">
        <w:rPr>
          <w:szCs w:val="18"/>
        </w:rPr>
        <w:t>(IHR)</w:t>
      </w:r>
      <w:r w:rsidRPr="001B0D24" w:rsidR="00630BAC">
        <w:rPr>
          <w:szCs w:val="18"/>
        </w:rPr>
        <w:t xml:space="preserve"> zal gaan lopen, nu er tijdens de </w:t>
      </w:r>
      <w:r w:rsidRPr="001B0D24" w:rsidR="001C5636">
        <w:rPr>
          <w:szCs w:val="18"/>
        </w:rPr>
        <w:t>77</w:t>
      </w:r>
      <w:r w:rsidRPr="001B0D24" w:rsidR="001C5636">
        <w:rPr>
          <w:szCs w:val="18"/>
          <w:vertAlign w:val="superscript"/>
        </w:rPr>
        <w:t>e</w:t>
      </w:r>
      <w:r w:rsidRPr="001B0D24" w:rsidR="001C5636">
        <w:rPr>
          <w:szCs w:val="18"/>
        </w:rPr>
        <w:t xml:space="preserve"> Wereldgezondheidsvergadering (WHA77) in juni 2024 een pakket wijzigingen </w:t>
      </w:r>
      <w:r w:rsidRPr="001B0D24" w:rsidR="00630BAC">
        <w:rPr>
          <w:szCs w:val="18"/>
        </w:rPr>
        <w:t xml:space="preserve">van de IHR is </w:t>
      </w:r>
      <w:r w:rsidRPr="001B0D24" w:rsidR="001C5636">
        <w:rPr>
          <w:szCs w:val="18"/>
        </w:rPr>
        <w:t xml:space="preserve">aangenomen. </w:t>
      </w:r>
      <w:r w:rsidRPr="001B0D24" w:rsidR="00630BAC">
        <w:rPr>
          <w:szCs w:val="18"/>
        </w:rPr>
        <w:t xml:space="preserve">Ten tweede wil ik uw Kamer graag informeren over </w:t>
      </w:r>
      <w:r w:rsidRPr="001B0D24" w:rsidR="00BC3591">
        <w:rPr>
          <w:szCs w:val="18"/>
        </w:rPr>
        <w:t xml:space="preserve">de </w:t>
      </w:r>
      <w:r w:rsidRPr="001B0D24" w:rsidR="00F60565">
        <w:rPr>
          <w:szCs w:val="18"/>
        </w:rPr>
        <w:t xml:space="preserve">laatste </w:t>
      </w:r>
      <w:r w:rsidRPr="001B0D24" w:rsidR="00BC3591">
        <w:rPr>
          <w:szCs w:val="18"/>
        </w:rPr>
        <w:t xml:space="preserve">stand van zaken </w:t>
      </w:r>
      <w:r w:rsidRPr="001B0D24" w:rsidR="000F34E0">
        <w:rPr>
          <w:szCs w:val="18"/>
        </w:rPr>
        <w:t xml:space="preserve">rondom </w:t>
      </w:r>
      <w:r w:rsidRPr="001B0D24">
        <w:rPr>
          <w:szCs w:val="18"/>
        </w:rPr>
        <w:t xml:space="preserve">de onderhandelingen </w:t>
      </w:r>
      <w:r w:rsidRPr="001B0D24" w:rsidR="000F34E0">
        <w:rPr>
          <w:szCs w:val="18"/>
        </w:rPr>
        <w:t xml:space="preserve">over </w:t>
      </w:r>
      <w:r w:rsidRPr="001B0D24">
        <w:rPr>
          <w:szCs w:val="18"/>
        </w:rPr>
        <w:t>het pandemie-instrument</w:t>
      </w:r>
      <w:r w:rsidRPr="001B0D24" w:rsidR="001C5636">
        <w:rPr>
          <w:szCs w:val="18"/>
        </w:rPr>
        <w:t xml:space="preserve">, waarover tijdens </w:t>
      </w:r>
      <w:r w:rsidR="00C03636">
        <w:rPr>
          <w:szCs w:val="18"/>
        </w:rPr>
        <w:t xml:space="preserve">de </w:t>
      </w:r>
      <w:r w:rsidRPr="001B0D24" w:rsidR="001C5636">
        <w:rPr>
          <w:szCs w:val="18"/>
        </w:rPr>
        <w:t xml:space="preserve">WHA77 geen overeenstemming </w:t>
      </w:r>
      <w:r w:rsidR="00E91CA6">
        <w:rPr>
          <w:szCs w:val="18"/>
        </w:rPr>
        <w:t>is</w:t>
      </w:r>
      <w:r w:rsidRPr="001B0D24" w:rsidR="001C5636">
        <w:rPr>
          <w:szCs w:val="18"/>
        </w:rPr>
        <w:t xml:space="preserve"> bereikt.</w:t>
      </w:r>
    </w:p>
    <w:p w:rsidRPr="001B0D24" w:rsidR="008008DF" w:rsidP="00CC5B83" w:rsidRDefault="008008DF" w14:paraId="244FD810" w14:textId="77777777">
      <w:pPr>
        <w:spacing w:line="269" w:lineRule="auto"/>
        <w:rPr>
          <w:szCs w:val="18"/>
        </w:rPr>
      </w:pPr>
    </w:p>
    <w:p w:rsidRPr="00E91CA6" w:rsidR="001C5636" w:rsidP="00CC5B83" w:rsidRDefault="00503E0B" w14:paraId="2620A871" w14:textId="77777777">
      <w:pPr>
        <w:pStyle w:val="Lijstalinea"/>
        <w:numPr>
          <w:ilvl w:val="0"/>
          <w:numId w:val="5"/>
        </w:numPr>
        <w:spacing w:after="120" w:line="269" w:lineRule="auto"/>
        <w:ind w:left="527" w:hanging="357"/>
        <w:rPr>
          <w:b/>
          <w:bCs/>
          <w:szCs w:val="18"/>
        </w:rPr>
      </w:pPr>
      <w:r w:rsidRPr="00E91CA6">
        <w:rPr>
          <w:b/>
          <w:bCs/>
          <w:szCs w:val="18"/>
        </w:rPr>
        <w:t>Wijziging van de Internationale Gezondheidsregeling</w:t>
      </w:r>
    </w:p>
    <w:p w:rsidRPr="001B0D24" w:rsidR="005F220A" w:rsidP="00CC5B83" w:rsidRDefault="00503E0B" w14:paraId="4DEACD98" w14:textId="77777777">
      <w:pPr>
        <w:spacing w:line="269" w:lineRule="auto"/>
        <w:rPr>
          <w:szCs w:val="18"/>
        </w:rPr>
      </w:pPr>
      <w:r w:rsidRPr="001B0D24">
        <w:rPr>
          <w:szCs w:val="18"/>
        </w:rPr>
        <w:t xml:space="preserve">In 2021 </w:t>
      </w:r>
      <w:r w:rsidRPr="001B0D24" w:rsidR="00630BAC">
        <w:rPr>
          <w:szCs w:val="18"/>
        </w:rPr>
        <w:t xml:space="preserve">is </w:t>
      </w:r>
      <w:r w:rsidRPr="001B0D24" w:rsidR="00D3411F">
        <w:rPr>
          <w:szCs w:val="18"/>
        </w:rPr>
        <w:t xml:space="preserve">door de lidstaten van de Wereldgezondheidsorganisatie (WHO) </w:t>
      </w:r>
      <w:r w:rsidRPr="001B0D24" w:rsidR="00630BAC">
        <w:rPr>
          <w:szCs w:val="18"/>
        </w:rPr>
        <w:t xml:space="preserve">tijdens een </w:t>
      </w:r>
      <w:r w:rsidRPr="001B0D24" w:rsidR="00124577">
        <w:rPr>
          <w:szCs w:val="18"/>
        </w:rPr>
        <w:t xml:space="preserve">speciale bijeenkomst </w:t>
      </w:r>
      <w:r w:rsidRPr="001B0D24" w:rsidR="00630BAC">
        <w:rPr>
          <w:szCs w:val="18"/>
        </w:rPr>
        <w:t xml:space="preserve">van de WHA besloten om de IHR op </w:t>
      </w:r>
      <w:r w:rsidRPr="001B0D24">
        <w:rPr>
          <w:szCs w:val="18"/>
        </w:rPr>
        <w:t>specifieke punten te wijzigen</w:t>
      </w:r>
      <w:r w:rsidRPr="001B0D24" w:rsidR="006A6A92">
        <w:rPr>
          <w:szCs w:val="18"/>
        </w:rPr>
        <w:t xml:space="preserve"> om zo </w:t>
      </w:r>
      <w:r w:rsidRPr="001B0D24" w:rsidR="00124577">
        <w:rPr>
          <w:szCs w:val="18"/>
        </w:rPr>
        <w:t xml:space="preserve">de lessen van de Covid-19 pandemie </w:t>
      </w:r>
      <w:r w:rsidRPr="001B0D24" w:rsidR="006A6A92">
        <w:rPr>
          <w:szCs w:val="18"/>
        </w:rPr>
        <w:t>mee te nemen</w:t>
      </w:r>
      <w:r w:rsidRPr="001B0D24" w:rsidR="00D3411F">
        <w:rPr>
          <w:szCs w:val="18"/>
        </w:rPr>
        <w:t xml:space="preserve">. Hiermee zouden WHO-lidstaten beter in staat worden gesteld om </w:t>
      </w:r>
      <w:r w:rsidRPr="001B0D24" w:rsidR="00630BAC">
        <w:rPr>
          <w:szCs w:val="18"/>
        </w:rPr>
        <w:t xml:space="preserve">preventie, </w:t>
      </w:r>
      <w:r w:rsidRPr="001B0D24" w:rsidR="00124577">
        <w:rPr>
          <w:szCs w:val="18"/>
        </w:rPr>
        <w:t xml:space="preserve">paraatheid en respons </w:t>
      </w:r>
      <w:r w:rsidRPr="001B0D24">
        <w:rPr>
          <w:szCs w:val="18"/>
        </w:rPr>
        <w:t xml:space="preserve">te </w:t>
      </w:r>
      <w:r w:rsidRPr="001B0D24" w:rsidR="00D3411F">
        <w:rPr>
          <w:szCs w:val="18"/>
        </w:rPr>
        <w:t xml:space="preserve">versterken in voorbereiding op </w:t>
      </w:r>
      <w:r w:rsidRPr="001B0D24" w:rsidR="00124577">
        <w:rPr>
          <w:szCs w:val="18"/>
        </w:rPr>
        <w:t xml:space="preserve">toekomstige internationale gezondheidscrises. </w:t>
      </w:r>
      <w:r w:rsidRPr="001B0D24" w:rsidR="00630BAC">
        <w:rPr>
          <w:szCs w:val="18"/>
        </w:rPr>
        <w:t xml:space="preserve">In mei 2025 heeft de WHA hiervoor de </w:t>
      </w:r>
      <w:r w:rsidRPr="001B0D24" w:rsidR="00114060">
        <w:rPr>
          <w:i/>
          <w:iCs/>
          <w:szCs w:val="18"/>
        </w:rPr>
        <w:t xml:space="preserve">Working Group on </w:t>
      </w:r>
      <w:r w:rsidRPr="001B0D24" w:rsidR="00F60565">
        <w:rPr>
          <w:i/>
          <w:iCs/>
          <w:szCs w:val="18"/>
        </w:rPr>
        <w:t xml:space="preserve">amendments to the </w:t>
      </w:r>
      <w:r w:rsidRPr="001B0D24" w:rsidR="00114060">
        <w:rPr>
          <w:i/>
          <w:iCs/>
          <w:szCs w:val="18"/>
        </w:rPr>
        <w:t xml:space="preserve">International Health Regulations </w:t>
      </w:r>
      <w:r w:rsidRPr="001B0D24" w:rsidR="00114060">
        <w:rPr>
          <w:szCs w:val="18"/>
        </w:rPr>
        <w:t>(WGIHR)</w:t>
      </w:r>
      <w:r w:rsidRPr="001B0D24" w:rsidR="00630BAC">
        <w:rPr>
          <w:szCs w:val="18"/>
        </w:rPr>
        <w:t xml:space="preserve"> opgezet om deze wijzigi</w:t>
      </w:r>
      <w:r w:rsidRPr="001B0D24" w:rsidR="00D3411F">
        <w:rPr>
          <w:szCs w:val="18"/>
        </w:rPr>
        <w:t>n</w:t>
      </w:r>
      <w:r w:rsidRPr="001B0D24" w:rsidR="00630BAC">
        <w:rPr>
          <w:szCs w:val="18"/>
        </w:rPr>
        <w:t xml:space="preserve">gen voor te bereiden, waarbij alle 194 staten die partij zijn bij de IHR uitgenodigd werden om </w:t>
      </w:r>
      <w:r w:rsidRPr="001B0D24" w:rsidR="006A6A92">
        <w:rPr>
          <w:szCs w:val="18"/>
        </w:rPr>
        <w:t>wijzigings</w:t>
      </w:r>
      <w:r w:rsidRPr="001B0D24">
        <w:rPr>
          <w:szCs w:val="18"/>
        </w:rPr>
        <w:t xml:space="preserve">voorstellen </w:t>
      </w:r>
      <w:r w:rsidRPr="001B0D24" w:rsidR="006A6A92">
        <w:rPr>
          <w:szCs w:val="18"/>
        </w:rPr>
        <w:t>in te dienen</w:t>
      </w:r>
      <w:r w:rsidRPr="001B0D24">
        <w:rPr>
          <w:szCs w:val="18"/>
        </w:rPr>
        <w:t xml:space="preserve">. </w:t>
      </w:r>
    </w:p>
    <w:p w:rsidRPr="001B0D24" w:rsidR="005F220A" w:rsidP="00CC5B83" w:rsidRDefault="005F220A" w14:paraId="43DE1231" w14:textId="77777777">
      <w:pPr>
        <w:spacing w:line="269" w:lineRule="auto"/>
        <w:rPr>
          <w:szCs w:val="18"/>
        </w:rPr>
      </w:pPr>
    </w:p>
    <w:p w:rsidRPr="001B0D24" w:rsidR="00D3411F" w:rsidP="00CC5B83" w:rsidRDefault="00503E0B" w14:paraId="396CB0B3" w14:textId="77777777">
      <w:pPr>
        <w:spacing w:line="269" w:lineRule="auto"/>
        <w:rPr>
          <w:szCs w:val="18"/>
        </w:rPr>
      </w:pPr>
      <w:r>
        <w:rPr>
          <w:szCs w:val="18"/>
        </w:rPr>
        <w:t>Er</w:t>
      </w:r>
      <w:r w:rsidRPr="001B0D24">
        <w:rPr>
          <w:szCs w:val="18"/>
        </w:rPr>
        <w:t xml:space="preserve"> is een groot aantal wijzigingsvoorstellen ingediend </w:t>
      </w:r>
      <w:r w:rsidRPr="001B0D24" w:rsidR="005F220A">
        <w:rPr>
          <w:szCs w:val="18"/>
        </w:rPr>
        <w:t xml:space="preserve">die vervolgens beoordeeld </w:t>
      </w:r>
      <w:r w:rsidRPr="001B0D24" w:rsidR="009D65F6">
        <w:rPr>
          <w:szCs w:val="18"/>
        </w:rPr>
        <w:t xml:space="preserve">zijn </w:t>
      </w:r>
      <w:r w:rsidRPr="001B0D24" w:rsidR="005F220A">
        <w:rPr>
          <w:szCs w:val="18"/>
        </w:rPr>
        <w:t xml:space="preserve">op een aantal </w:t>
      </w:r>
      <w:r w:rsidRPr="001B0D24" w:rsidR="006A6A92">
        <w:rPr>
          <w:szCs w:val="18"/>
        </w:rPr>
        <w:t xml:space="preserve">inhoudelijke en </w:t>
      </w:r>
      <w:r w:rsidRPr="001B0D24" w:rsidR="005F220A">
        <w:rPr>
          <w:szCs w:val="18"/>
        </w:rPr>
        <w:t>technische criteria</w:t>
      </w:r>
      <w:r w:rsidRPr="001B0D24">
        <w:rPr>
          <w:szCs w:val="18"/>
        </w:rPr>
        <w:t xml:space="preserve"> door een </w:t>
      </w:r>
      <w:r w:rsidRPr="001B0D24" w:rsidR="009D65F6">
        <w:rPr>
          <w:szCs w:val="18"/>
        </w:rPr>
        <w:t xml:space="preserve">door de WHA aangewezen </w:t>
      </w:r>
      <w:r w:rsidRPr="001B0D24" w:rsidR="00033666">
        <w:rPr>
          <w:i/>
          <w:iCs/>
          <w:szCs w:val="18"/>
        </w:rPr>
        <w:t>IHR Review Comittee</w:t>
      </w:r>
      <w:r w:rsidRPr="001B0D24" w:rsidR="00033666">
        <w:rPr>
          <w:szCs w:val="18"/>
        </w:rPr>
        <w:t>, bestaande uit onafhankelijke experts</w:t>
      </w:r>
      <w:r w:rsidRPr="001B0D24" w:rsidR="005F220A">
        <w:rPr>
          <w:szCs w:val="18"/>
        </w:rPr>
        <w:t>.</w:t>
      </w:r>
      <w:r>
        <w:rPr>
          <w:rStyle w:val="Voetnootmarkering"/>
          <w:szCs w:val="18"/>
        </w:rPr>
        <w:footnoteReference w:id="1"/>
      </w:r>
      <w:r w:rsidRPr="001B0D24" w:rsidR="005F220A">
        <w:rPr>
          <w:szCs w:val="18"/>
        </w:rPr>
        <w:t xml:space="preserve"> </w:t>
      </w:r>
      <w:r w:rsidRPr="001B0D24">
        <w:rPr>
          <w:szCs w:val="18"/>
        </w:rPr>
        <w:t>Daarna</w:t>
      </w:r>
      <w:r w:rsidRPr="001B0D24" w:rsidR="005F220A">
        <w:rPr>
          <w:szCs w:val="18"/>
        </w:rPr>
        <w:t xml:space="preserve"> is </w:t>
      </w:r>
      <w:r w:rsidRPr="001B0D24" w:rsidR="00890AC6">
        <w:rPr>
          <w:szCs w:val="18"/>
        </w:rPr>
        <w:t xml:space="preserve">gedurende </w:t>
      </w:r>
      <w:r w:rsidR="00DB1C27">
        <w:rPr>
          <w:szCs w:val="18"/>
        </w:rPr>
        <w:t>achttien</w:t>
      </w:r>
      <w:r w:rsidRPr="001B0D24" w:rsidR="00890AC6">
        <w:rPr>
          <w:szCs w:val="18"/>
        </w:rPr>
        <w:t xml:space="preserve"> maanden </w:t>
      </w:r>
      <w:r w:rsidRPr="001B0D24" w:rsidR="005F220A">
        <w:rPr>
          <w:szCs w:val="18"/>
        </w:rPr>
        <w:t xml:space="preserve">over </w:t>
      </w:r>
      <w:r w:rsidRPr="001B0D24" w:rsidR="00890AC6">
        <w:rPr>
          <w:szCs w:val="18"/>
        </w:rPr>
        <w:t>deze</w:t>
      </w:r>
      <w:r w:rsidRPr="001B0D24" w:rsidR="005F220A">
        <w:rPr>
          <w:szCs w:val="18"/>
        </w:rPr>
        <w:t xml:space="preserve"> </w:t>
      </w:r>
      <w:r w:rsidRPr="001B0D24">
        <w:rPr>
          <w:szCs w:val="18"/>
        </w:rPr>
        <w:t xml:space="preserve">voorstellen </w:t>
      </w:r>
      <w:r w:rsidRPr="001B0D24" w:rsidR="005F220A">
        <w:rPr>
          <w:szCs w:val="18"/>
        </w:rPr>
        <w:t>onderhandeld</w:t>
      </w:r>
      <w:r w:rsidRPr="001B0D24" w:rsidR="00890AC6">
        <w:rPr>
          <w:szCs w:val="18"/>
        </w:rPr>
        <w:t xml:space="preserve">, </w:t>
      </w:r>
      <w:r>
        <w:rPr>
          <w:szCs w:val="18"/>
        </w:rPr>
        <w:t xml:space="preserve">waarna </w:t>
      </w:r>
      <w:r w:rsidRPr="001B0D24">
        <w:rPr>
          <w:szCs w:val="18"/>
        </w:rPr>
        <w:t xml:space="preserve">er </w:t>
      </w:r>
      <w:r w:rsidRPr="001B0D24" w:rsidR="00890AC6">
        <w:rPr>
          <w:szCs w:val="18"/>
        </w:rPr>
        <w:t>veel zijn afgevallen</w:t>
      </w:r>
      <w:r w:rsidRPr="001B0D24" w:rsidR="005F220A">
        <w:rPr>
          <w:szCs w:val="18"/>
        </w:rPr>
        <w:t>.</w:t>
      </w:r>
      <w:r w:rsidRPr="001B0D24" w:rsidR="009D65F6">
        <w:rPr>
          <w:szCs w:val="18"/>
        </w:rPr>
        <w:t xml:space="preserve"> </w:t>
      </w:r>
      <w:r w:rsidRPr="001B0D24">
        <w:rPr>
          <w:szCs w:val="18"/>
        </w:rPr>
        <w:t xml:space="preserve">Uiteindelijk werd een pakket wijzigingen op 1 juni 2024 </w:t>
      </w:r>
      <w:r w:rsidR="00F822D1">
        <w:rPr>
          <w:szCs w:val="18"/>
        </w:rPr>
        <w:t>aangenomen</w:t>
      </w:r>
      <w:r w:rsidRPr="001B0D24">
        <w:rPr>
          <w:szCs w:val="18"/>
        </w:rPr>
        <w:t xml:space="preserve"> tijdens de WHA77.</w:t>
      </w:r>
      <w:r>
        <w:rPr>
          <w:rStyle w:val="Voetnootmarkering"/>
          <w:szCs w:val="18"/>
        </w:rPr>
        <w:footnoteReference w:id="2"/>
      </w:r>
      <w:r w:rsidRPr="001B0D24">
        <w:rPr>
          <w:szCs w:val="18"/>
        </w:rPr>
        <w:t xml:space="preserve"> </w:t>
      </w:r>
      <w:r w:rsidRPr="001B0D24" w:rsidR="009D65F6">
        <w:rPr>
          <w:szCs w:val="18"/>
        </w:rPr>
        <w:br/>
      </w:r>
      <w:r w:rsidRPr="001B0D24" w:rsidR="00114060">
        <w:rPr>
          <w:szCs w:val="18"/>
        </w:rPr>
        <w:lastRenderedPageBreak/>
        <w:t xml:space="preserve">De </w:t>
      </w:r>
      <w:r w:rsidRPr="001B0D24">
        <w:rPr>
          <w:szCs w:val="18"/>
        </w:rPr>
        <w:t xml:space="preserve">delegatie </w:t>
      </w:r>
      <w:r w:rsidRPr="001B0D24" w:rsidR="009D65F6">
        <w:rPr>
          <w:szCs w:val="18"/>
        </w:rPr>
        <w:t xml:space="preserve">van het Koninkrijk der Nederlanden </w:t>
      </w:r>
      <w:r w:rsidRPr="001B0D24">
        <w:rPr>
          <w:szCs w:val="18"/>
        </w:rPr>
        <w:t>heeft bij de WHA77</w:t>
      </w:r>
      <w:r w:rsidR="002805EA">
        <w:rPr>
          <w:szCs w:val="18"/>
        </w:rPr>
        <w:t xml:space="preserve"> uitgesproken,</w:t>
      </w:r>
      <w:r w:rsidRPr="001B0D24">
        <w:rPr>
          <w:szCs w:val="18"/>
        </w:rPr>
        <w:t xml:space="preserve"> </w:t>
      </w:r>
      <w:r w:rsidRPr="001B0D24" w:rsidR="0048382F">
        <w:rPr>
          <w:szCs w:val="18"/>
        </w:rPr>
        <w:t xml:space="preserve">in navolging </w:t>
      </w:r>
      <w:r w:rsidRPr="001B0D24">
        <w:rPr>
          <w:szCs w:val="18"/>
        </w:rPr>
        <w:t>van het plenaire debat in uw Kamer op 21 mei 2024 en de daarbij aangenomen motie Keijzer</w:t>
      </w:r>
      <w:r w:rsidR="002805EA">
        <w:rPr>
          <w:szCs w:val="18"/>
        </w:rPr>
        <w:t>,</w:t>
      </w:r>
      <w:r w:rsidRPr="001B0D24">
        <w:rPr>
          <w:szCs w:val="18"/>
        </w:rPr>
        <w:t xml:space="preserve"> </w:t>
      </w:r>
      <w:r w:rsidR="002805EA">
        <w:rPr>
          <w:szCs w:val="18"/>
        </w:rPr>
        <w:t xml:space="preserve">dat ons land kennis had genomen van het onderhandelingsresultaat, maar </w:t>
      </w:r>
      <w:r w:rsidRPr="001B0D24">
        <w:rPr>
          <w:szCs w:val="18"/>
        </w:rPr>
        <w:t xml:space="preserve">dat </w:t>
      </w:r>
      <w:r w:rsidR="002805EA">
        <w:rPr>
          <w:szCs w:val="18"/>
        </w:rPr>
        <w:t xml:space="preserve">het aan het </w:t>
      </w:r>
      <w:r w:rsidRPr="001B0D24">
        <w:rPr>
          <w:szCs w:val="18"/>
        </w:rPr>
        <w:t xml:space="preserve">volgende kabinet en aan het parlement </w:t>
      </w:r>
      <w:r w:rsidR="002805EA">
        <w:rPr>
          <w:szCs w:val="18"/>
        </w:rPr>
        <w:t>i</w:t>
      </w:r>
      <w:r w:rsidRPr="001B0D24">
        <w:rPr>
          <w:szCs w:val="18"/>
        </w:rPr>
        <w:t xml:space="preserve">s om zich een oordeel te vormen over </w:t>
      </w:r>
      <w:r w:rsidR="002805EA">
        <w:rPr>
          <w:szCs w:val="18"/>
        </w:rPr>
        <w:t xml:space="preserve">goedkeuring van </w:t>
      </w:r>
      <w:r w:rsidRPr="001B0D24">
        <w:rPr>
          <w:szCs w:val="18"/>
        </w:rPr>
        <w:t>de</w:t>
      </w:r>
      <w:r w:rsidR="002805EA">
        <w:rPr>
          <w:szCs w:val="18"/>
        </w:rPr>
        <w:t xml:space="preserve"> </w:t>
      </w:r>
      <w:r w:rsidRPr="001B0D24">
        <w:rPr>
          <w:szCs w:val="18"/>
        </w:rPr>
        <w:t>wijzigingen.</w:t>
      </w:r>
      <w:r>
        <w:rPr>
          <w:rStyle w:val="Voetnootmarkering"/>
          <w:szCs w:val="18"/>
        </w:rPr>
        <w:footnoteReference w:id="3"/>
      </w:r>
      <w:r w:rsidRPr="001B0D24">
        <w:rPr>
          <w:szCs w:val="18"/>
        </w:rPr>
        <w:t xml:space="preserve"> De voormalige Minister voor Medische Zorg heeft uw Kamer in haar brief van 25 juni 2024 geïnformeerd over de uitkomsten van deze WHA77.</w:t>
      </w:r>
      <w:r>
        <w:rPr>
          <w:rStyle w:val="Voetnootmarkering"/>
          <w:szCs w:val="18"/>
        </w:rPr>
        <w:footnoteReference w:id="4"/>
      </w:r>
    </w:p>
    <w:p w:rsidRPr="001B0D24" w:rsidR="00D3411F" w:rsidP="00CC5B83" w:rsidRDefault="00D3411F" w14:paraId="19C3A722" w14:textId="77777777">
      <w:pPr>
        <w:spacing w:line="269" w:lineRule="auto"/>
        <w:rPr>
          <w:szCs w:val="18"/>
        </w:rPr>
      </w:pPr>
    </w:p>
    <w:p w:rsidRPr="001B0D24" w:rsidR="009A2803" w:rsidP="00CC5B83" w:rsidRDefault="00503E0B" w14:paraId="01EF909B" w14:textId="77777777">
      <w:pPr>
        <w:spacing w:line="269" w:lineRule="auto"/>
        <w:rPr>
          <w:szCs w:val="18"/>
          <w:u w:val="single"/>
        </w:rPr>
      </w:pPr>
      <w:r w:rsidRPr="001B0D24">
        <w:rPr>
          <w:szCs w:val="18"/>
          <w:u w:val="single"/>
        </w:rPr>
        <w:t>Goedkeuringsprocedure volgens de IHR</w:t>
      </w:r>
    </w:p>
    <w:p w:rsidRPr="001B0D24" w:rsidR="00033666" w:rsidP="00CC5B83" w:rsidRDefault="00503E0B" w14:paraId="5E8B4833" w14:textId="77777777">
      <w:pPr>
        <w:spacing w:line="269" w:lineRule="auto"/>
        <w:rPr>
          <w:szCs w:val="18"/>
        </w:rPr>
      </w:pPr>
      <w:r w:rsidRPr="001B0D24">
        <w:rPr>
          <w:szCs w:val="18"/>
        </w:rPr>
        <w:t xml:space="preserve">Nadat de WHA wijzigingen van de IHR heeft </w:t>
      </w:r>
      <w:r w:rsidR="00DB1C27">
        <w:rPr>
          <w:szCs w:val="18"/>
        </w:rPr>
        <w:t>aangenomen</w:t>
      </w:r>
      <w:r w:rsidRPr="001B0D24">
        <w:rPr>
          <w:szCs w:val="18"/>
        </w:rPr>
        <w:t xml:space="preserve">, worden de staten die partij zijn bij de IHR </w:t>
      </w:r>
      <w:r w:rsidRPr="001B0D24" w:rsidR="009D65F6">
        <w:rPr>
          <w:szCs w:val="18"/>
        </w:rPr>
        <w:t>via een notificatie van de Directeur-Generaal van de WHO</w:t>
      </w:r>
      <w:r w:rsidRPr="001B0D24">
        <w:rPr>
          <w:szCs w:val="18"/>
        </w:rPr>
        <w:t xml:space="preserve"> hierover geïnformeerd</w:t>
      </w:r>
      <w:r w:rsidRPr="001B0D24" w:rsidR="009A2803">
        <w:rPr>
          <w:szCs w:val="18"/>
        </w:rPr>
        <w:t xml:space="preserve">. </w:t>
      </w:r>
      <w:r w:rsidRPr="001B0D24" w:rsidR="0048382F">
        <w:rPr>
          <w:szCs w:val="18"/>
        </w:rPr>
        <w:t xml:space="preserve">In 2022 is de termijn waarbinnen partijen op zo’n notificatie moeten reageren vastgesteld op </w:t>
      </w:r>
      <w:r w:rsidRPr="001B0D24" w:rsidR="009A2803">
        <w:rPr>
          <w:szCs w:val="18"/>
        </w:rPr>
        <w:t>tien maanden</w:t>
      </w:r>
      <w:r w:rsidRPr="001B0D24" w:rsidR="0048382F">
        <w:rPr>
          <w:szCs w:val="18"/>
        </w:rPr>
        <w:t xml:space="preserve">. Voor het einde van die termijn moeten zij aan de WHO laten weten of zij </w:t>
      </w:r>
      <w:r w:rsidR="00DB1C27">
        <w:rPr>
          <w:szCs w:val="18"/>
        </w:rPr>
        <w:t xml:space="preserve">de aangenomen </w:t>
      </w:r>
      <w:r w:rsidRPr="001B0D24" w:rsidR="009A2803">
        <w:rPr>
          <w:szCs w:val="18"/>
        </w:rPr>
        <w:t xml:space="preserve">wijzigingen </w:t>
      </w:r>
      <w:r w:rsidR="00DB1C27">
        <w:rPr>
          <w:szCs w:val="18"/>
        </w:rPr>
        <w:t xml:space="preserve">wensen te </w:t>
      </w:r>
      <w:r w:rsidRPr="001B0D24" w:rsidR="009A2803">
        <w:rPr>
          <w:szCs w:val="18"/>
        </w:rPr>
        <w:t xml:space="preserve">verwerpen of </w:t>
      </w:r>
      <w:r w:rsidR="00DB1C27">
        <w:rPr>
          <w:szCs w:val="18"/>
        </w:rPr>
        <w:t xml:space="preserve">ten aanzien daarvan </w:t>
      </w:r>
      <w:r w:rsidRPr="001B0D24" w:rsidR="009A2803">
        <w:rPr>
          <w:szCs w:val="18"/>
        </w:rPr>
        <w:t xml:space="preserve">een voorbehoud </w:t>
      </w:r>
      <w:r w:rsidRPr="001B0D24" w:rsidR="0048382F">
        <w:rPr>
          <w:szCs w:val="18"/>
        </w:rPr>
        <w:t xml:space="preserve">wensen </w:t>
      </w:r>
      <w:r w:rsidRPr="001B0D24" w:rsidR="009A2803">
        <w:rPr>
          <w:szCs w:val="18"/>
        </w:rPr>
        <w:t>te maken. Het Koninkrijk heeft deze wijziging</w:t>
      </w:r>
      <w:r w:rsidRPr="001B0D24">
        <w:rPr>
          <w:szCs w:val="18"/>
        </w:rPr>
        <w:t xml:space="preserve"> van de reactietermijn</w:t>
      </w:r>
      <w:r w:rsidRPr="001B0D24" w:rsidR="009A2803">
        <w:rPr>
          <w:szCs w:val="18"/>
        </w:rPr>
        <w:t xml:space="preserve"> uit 2022 echter (voorlopig) verworpen omdat uw Kamer </w:t>
      </w:r>
      <w:r w:rsidR="00E91CA6">
        <w:rPr>
          <w:szCs w:val="18"/>
        </w:rPr>
        <w:t>heeft</w:t>
      </w:r>
      <w:r w:rsidRPr="001B0D24" w:rsidR="009A2803">
        <w:rPr>
          <w:szCs w:val="18"/>
        </w:rPr>
        <w:t xml:space="preserve"> </w:t>
      </w:r>
      <w:r w:rsidRPr="001B0D24">
        <w:rPr>
          <w:szCs w:val="18"/>
        </w:rPr>
        <w:t>aangegeven</w:t>
      </w:r>
      <w:r w:rsidRPr="001B0D24" w:rsidR="009A2803">
        <w:rPr>
          <w:szCs w:val="18"/>
        </w:rPr>
        <w:t xml:space="preserve"> hiervoor een uitdrukkelijk parlementair goedkeuringsproces te willen volgen. </w:t>
      </w:r>
      <w:r w:rsidR="007B6D32">
        <w:rPr>
          <w:szCs w:val="18"/>
        </w:rPr>
        <w:t xml:space="preserve">Het wetsvoorstel daartoe is nog in behandeling bij uw Kamer. </w:t>
      </w:r>
      <w:r w:rsidRPr="001B0D24" w:rsidR="00B63EA4">
        <w:rPr>
          <w:szCs w:val="18"/>
        </w:rPr>
        <w:t xml:space="preserve">Daarom </w:t>
      </w:r>
      <w:r w:rsidRPr="001B0D24" w:rsidR="0064153D">
        <w:rPr>
          <w:szCs w:val="18"/>
        </w:rPr>
        <w:t xml:space="preserve">geldt voor het Koninkrijk nog de oorspronkelijke </w:t>
      </w:r>
      <w:r w:rsidR="004C2B52">
        <w:rPr>
          <w:szCs w:val="18"/>
        </w:rPr>
        <w:t>reactietermijn</w:t>
      </w:r>
      <w:r w:rsidRPr="001B0D24" w:rsidR="0064153D">
        <w:rPr>
          <w:szCs w:val="18"/>
        </w:rPr>
        <w:t xml:space="preserve"> van achttien maanden.</w:t>
      </w:r>
      <w:r>
        <w:rPr>
          <w:rStyle w:val="Voetnootmarkering"/>
          <w:szCs w:val="18"/>
        </w:rPr>
        <w:footnoteReference w:id="5"/>
      </w:r>
      <w:r w:rsidRPr="001B0D24" w:rsidR="009A2803">
        <w:rPr>
          <w:szCs w:val="18"/>
        </w:rPr>
        <w:t xml:space="preserve"> </w:t>
      </w:r>
    </w:p>
    <w:p w:rsidRPr="001B0D24" w:rsidR="00033666" w:rsidP="00CC5B83" w:rsidRDefault="00033666" w14:paraId="205DA7B8" w14:textId="77777777">
      <w:pPr>
        <w:spacing w:line="269" w:lineRule="auto"/>
        <w:rPr>
          <w:szCs w:val="18"/>
        </w:rPr>
      </w:pPr>
    </w:p>
    <w:p w:rsidRPr="00423CEE" w:rsidR="00033666" w:rsidP="00CC5B83" w:rsidRDefault="00503E0B" w14:paraId="43F80A7F" w14:textId="77777777">
      <w:pPr>
        <w:spacing w:line="269" w:lineRule="auto"/>
        <w:rPr>
          <w:szCs w:val="18"/>
        </w:rPr>
      </w:pPr>
      <w:r w:rsidRPr="001B0D24">
        <w:rPr>
          <w:szCs w:val="18"/>
        </w:rPr>
        <w:t xml:space="preserve">In relatie tot het bovenstaande, </w:t>
      </w:r>
      <w:r w:rsidR="004C2B52">
        <w:rPr>
          <w:szCs w:val="18"/>
        </w:rPr>
        <w:t>heeft</w:t>
      </w:r>
      <w:r w:rsidRPr="001B0D24">
        <w:rPr>
          <w:szCs w:val="18"/>
        </w:rPr>
        <w:t xml:space="preserve"> uw Kamer eerder dit jaar verzocht om vertrouwelijke ter inzagelegging van de diplomatieke </w:t>
      </w:r>
      <w:r w:rsidRPr="001B0D24" w:rsidR="006A01E5">
        <w:rPr>
          <w:szCs w:val="18"/>
        </w:rPr>
        <w:t>kennisgeving</w:t>
      </w:r>
      <w:r w:rsidRPr="001B0D24">
        <w:rPr>
          <w:szCs w:val="18"/>
        </w:rPr>
        <w:t xml:space="preserve"> van het ministerie van Buitenlandse Zaken waarmee deze verwerping van de wijziging uit 2022 aan de Directeur-Generaal van de WHO was gemeld.</w:t>
      </w:r>
      <w:r w:rsidRPr="00423CEE" w:rsidR="00423CEE">
        <w:rPr>
          <w:color w:val="1F497D"/>
          <w:szCs w:val="18"/>
          <w:lang w:eastAsia="en-US"/>
        </w:rPr>
        <w:t xml:space="preserve"> </w:t>
      </w:r>
      <w:r w:rsidRPr="00423CEE" w:rsidR="00423CEE">
        <w:rPr>
          <w:szCs w:val="18"/>
          <w:lang w:eastAsia="en-US"/>
        </w:rPr>
        <w:t>Deze nota zal separaat van deze brief vertrouwelijk alleen voor de leden ter inzage worden gelegd bij het Centraal Informatiepunt (CIP) van uw Kamer.</w:t>
      </w:r>
    </w:p>
    <w:p w:rsidRPr="001B0D24" w:rsidR="00033666" w:rsidP="00CC5B83" w:rsidRDefault="00033666" w14:paraId="1DB77D03" w14:textId="77777777">
      <w:pPr>
        <w:spacing w:line="269" w:lineRule="auto"/>
        <w:rPr>
          <w:szCs w:val="18"/>
        </w:rPr>
      </w:pPr>
    </w:p>
    <w:p w:rsidRPr="001B0D24" w:rsidR="009A2803" w:rsidP="00CC5B83" w:rsidRDefault="00503E0B" w14:paraId="23438B86" w14:textId="77777777">
      <w:pPr>
        <w:spacing w:line="269" w:lineRule="auto"/>
        <w:rPr>
          <w:szCs w:val="18"/>
        </w:rPr>
      </w:pPr>
      <w:r w:rsidRPr="00F822D1">
        <w:rPr>
          <w:szCs w:val="18"/>
        </w:rPr>
        <w:t xml:space="preserve">De notificatie </w:t>
      </w:r>
      <w:r w:rsidR="007B6D32">
        <w:rPr>
          <w:szCs w:val="18"/>
        </w:rPr>
        <w:t xml:space="preserve">van de </w:t>
      </w:r>
      <w:r w:rsidRPr="00F822D1" w:rsidR="00DB1C27">
        <w:rPr>
          <w:szCs w:val="18"/>
        </w:rPr>
        <w:t xml:space="preserve">door de WHA77 aangenomen </w:t>
      </w:r>
      <w:r w:rsidRPr="00F822D1" w:rsidR="00EB1E78">
        <w:rPr>
          <w:szCs w:val="18"/>
        </w:rPr>
        <w:t>wijzigingen</w:t>
      </w:r>
      <w:r w:rsidR="007B6D32">
        <w:rPr>
          <w:szCs w:val="18"/>
        </w:rPr>
        <w:t xml:space="preserve"> is op </w:t>
      </w:r>
      <w:r w:rsidRPr="00F822D1">
        <w:rPr>
          <w:szCs w:val="18"/>
        </w:rPr>
        <w:t>19 september 2024</w:t>
      </w:r>
      <w:r w:rsidR="007B6D32">
        <w:rPr>
          <w:szCs w:val="18"/>
        </w:rPr>
        <w:t xml:space="preserve"> verstuurd door de Directeur-Generaal van de WHO</w:t>
      </w:r>
      <w:r w:rsidRPr="00F822D1" w:rsidR="00033666">
        <w:rPr>
          <w:szCs w:val="18"/>
        </w:rPr>
        <w:t xml:space="preserve">. Dit betekent dat </w:t>
      </w:r>
      <w:r w:rsidRPr="00F822D1" w:rsidR="0064153D">
        <w:rPr>
          <w:szCs w:val="18"/>
        </w:rPr>
        <w:t xml:space="preserve">het Koninkrijk </w:t>
      </w:r>
      <w:r w:rsidRPr="00F822D1">
        <w:rPr>
          <w:szCs w:val="18"/>
        </w:rPr>
        <w:t>v</w:t>
      </w:r>
      <w:r w:rsidRPr="00F822D1" w:rsidR="0064153D">
        <w:rPr>
          <w:szCs w:val="18"/>
        </w:rPr>
        <w:t>óó</w:t>
      </w:r>
      <w:r w:rsidRPr="00F822D1">
        <w:rPr>
          <w:szCs w:val="18"/>
        </w:rPr>
        <w:t xml:space="preserve">r 19 maart 2026 </w:t>
      </w:r>
      <w:r w:rsidRPr="00F822D1" w:rsidR="0064153D">
        <w:rPr>
          <w:szCs w:val="18"/>
        </w:rPr>
        <w:t xml:space="preserve">aan de WHO moet laten weten </w:t>
      </w:r>
      <w:r w:rsidRPr="00F822D1">
        <w:rPr>
          <w:szCs w:val="18"/>
        </w:rPr>
        <w:t xml:space="preserve">of </w:t>
      </w:r>
      <w:r w:rsidRPr="00F822D1" w:rsidR="0064153D">
        <w:rPr>
          <w:szCs w:val="18"/>
        </w:rPr>
        <w:t xml:space="preserve">het </w:t>
      </w:r>
      <w:r w:rsidRPr="00F822D1">
        <w:rPr>
          <w:szCs w:val="18"/>
        </w:rPr>
        <w:t>de wijzigingsvoorstellen</w:t>
      </w:r>
      <w:r w:rsidRPr="00F822D1" w:rsidR="0064153D">
        <w:rPr>
          <w:szCs w:val="18"/>
        </w:rPr>
        <w:t xml:space="preserve"> wil verwerpen</w:t>
      </w:r>
      <w:r w:rsidRPr="00F822D1" w:rsidR="00DB1C27">
        <w:rPr>
          <w:szCs w:val="18"/>
        </w:rPr>
        <w:t xml:space="preserve"> of ten aanzien daarvan </w:t>
      </w:r>
      <w:r w:rsidRPr="00F822D1" w:rsidR="0064153D">
        <w:rPr>
          <w:szCs w:val="18"/>
        </w:rPr>
        <w:t>een voorbehoud</w:t>
      </w:r>
      <w:r w:rsidRPr="00F822D1" w:rsidR="00DB1C27">
        <w:rPr>
          <w:szCs w:val="18"/>
        </w:rPr>
        <w:t xml:space="preserve"> wil maken</w:t>
      </w:r>
      <w:r w:rsidRPr="00F822D1">
        <w:rPr>
          <w:szCs w:val="18"/>
        </w:rPr>
        <w:t>.</w:t>
      </w:r>
      <w:r w:rsidRPr="00F822D1" w:rsidR="00F822D1">
        <w:rPr>
          <w:szCs w:val="18"/>
        </w:rPr>
        <w:t xml:space="preserve"> </w:t>
      </w:r>
    </w:p>
    <w:p w:rsidRPr="001B0D24" w:rsidR="0064153D" w:rsidP="00CC5B83" w:rsidRDefault="0064153D" w14:paraId="714C4654" w14:textId="77777777">
      <w:pPr>
        <w:spacing w:line="269" w:lineRule="auto"/>
        <w:rPr>
          <w:szCs w:val="18"/>
        </w:rPr>
      </w:pPr>
    </w:p>
    <w:p w:rsidRPr="001B0D24" w:rsidR="00567A9C" w:rsidP="00CC5B83" w:rsidRDefault="00503E0B" w14:paraId="1632FCA1" w14:textId="77777777">
      <w:pPr>
        <w:spacing w:line="269" w:lineRule="auto"/>
        <w:rPr>
          <w:szCs w:val="18"/>
          <w:u w:val="single"/>
        </w:rPr>
      </w:pPr>
      <w:r w:rsidRPr="001B0D24">
        <w:rPr>
          <w:szCs w:val="18"/>
          <w:u w:val="single"/>
        </w:rPr>
        <w:t>Parlementaire procedure</w:t>
      </w:r>
    </w:p>
    <w:p w:rsidRPr="00F822D1" w:rsidR="00F822D1" w:rsidP="00CC5B83" w:rsidRDefault="00503E0B" w14:paraId="3D12668F" w14:textId="77777777">
      <w:pPr>
        <w:pStyle w:val="pf0"/>
        <w:suppressAutoHyphens/>
        <w:spacing w:before="0" w:beforeAutospacing="0" w:after="0" w:afterAutospacing="0" w:line="269" w:lineRule="auto"/>
        <w:rPr>
          <w:rFonts w:ascii="Verdana" w:hAnsi="Verdana" w:cs="Arial"/>
          <w:b/>
          <w:bCs/>
          <w:i/>
          <w:iCs/>
          <w:sz w:val="18"/>
          <w:szCs w:val="18"/>
        </w:rPr>
      </w:pPr>
      <w:r w:rsidRPr="00F822D1">
        <w:rPr>
          <w:rFonts w:ascii="Verdana" w:hAnsi="Verdana"/>
          <w:sz w:val="18"/>
          <w:szCs w:val="18"/>
        </w:rPr>
        <w:t>De gebruikelijke goedkeuringsprocedure van wijzigingen van een uitvoeringsverdrag zoals de IHR is de voorhangprocedure op grond van de Rijkswet goedkeuring en bekendmaking verdragen.</w:t>
      </w:r>
      <w:r>
        <w:rPr>
          <w:rStyle w:val="Voetnootmarkering"/>
          <w:rFonts w:ascii="Verdana" w:hAnsi="Verdana"/>
          <w:sz w:val="18"/>
          <w:szCs w:val="18"/>
        </w:rPr>
        <w:footnoteReference w:id="6"/>
      </w:r>
      <w:r w:rsidRPr="00F822D1">
        <w:rPr>
          <w:rFonts w:ascii="Verdana" w:hAnsi="Verdana"/>
          <w:sz w:val="18"/>
          <w:szCs w:val="18"/>
        </w:rPr>
        <w:t xml:space="preserve"> </w:t>
      </w:r>
      <w:r w:rsidRPr="00F822D1" w:rsidR="00033666">
        <w:rPr>
          <w:rFonts w:ascii="Verdana" w:hAnsi="Verdana"/>
          <w:sz w:val="18"/>
          <w:szCs w:val="18"/>
        </w:rPr>
        <w:t>De voormalig</w:t>
      </w:r>
      <w:r w:rsidRPr="00F822D1">
        <w:rPr>
          <w:rFonts w:ascii="Verdana" w:hAnsi="Verdana"/>
          <w:sz w:val="18"/>
          <w:szCs w:val="18"/>
        </w:rPr>
        <w:t>e</w:t>
      </w:r>
      <w:r w:rsidRPr="00F822D1" w:rsidR="00033666">
        <w:rPr>
          <w:rFonts w:ascii="Verdana" w:hAnsi="Verdana"/>
          <w:sz w:val="18"/>
          <w:szCs w:val="18"/>
        </w:rPr>
        <w:t xml:space="preserve"> Minister voor Medische Zorg heeft dit voorjaar toegezegd </w:t>
      </w:r>
      <w:r w:rsidRPr="00F822D1">
        <w:rPr>
          <w:rFonts w:ascii="Verdana" w:hAnsi="Verdana"/>
          <w:sz w:val="18"/>
          <w:szCs w:val="18"/>
        </w:rPr>
        <w:t>hiervan af te wijken</w:t>
      </w:r>
      <w:r w:rsidR="007B6D32">
        <w:rPr>
          <w:rFonts w:ascii="Verdana" w:hAnsi="Verdana"/>
          <w:sz w:val="18"/>
          <w:szCs w:val="18"/>
        </w:rPr>
        <w:t xml:space="preserve"> en de </w:t>
      </w:r>
      <w:r w:rsidRPr="00F822D1" w:rsidR="00033666">
        <w:rPr>
          <w:rFonts w:ascii="Verdana" w:hAnsi="Verdana"/>
          <w:sz w:val="18"/>
          <w:szCs w:val="18"/>
        </w:rPr>
        <w:t>wijzigingen van de IHR</w:t>
      </w:r>
      <w:r w:rsidR="002805EA">
        <w:rPr>
          <w:rFonts w:ascii="Verdana" w:hAnsi="Verdana"/>
          <w:sz w:val="18"/>
          <w:szCs w:val="18"/>
        </w:rPr>
        <w:t xml:space="preserve"> </w:t>
      </w:r>
      <w:r w:rsidRPr="00F822D1">
        <w:rPr>
          <w:rFonts w:ascii="Verdana" w:hAnsi="Verdana"/>
          <w:sz w:val="18"/>
          <w:szCs w:val="18"/>
        </w:rPr>
        <w:t xml:space="preserve">ter uitdrukkelijke goedkeuring </w:t>
      </w:r>
      <w:r w:rsidR="007B6D32">
        <w:rPr>
          <w:rFonts w:ascii="Verdana" w:hAnsi="Verdana"/>
          <w:sz w:val="18"/>
          <w:szCs w:val="18"/>
        </w:rPr>
        <w:t xml:space="preserve">voor te leggen </w:t>
      </w:r>
      <w:r w:rsidRPr="00F822D1" w:rsidR="00033666">
        <w:rPr>
          <w:rFonts w:ascii="Verdana" w:hAnsi="Verdana"/>
          <w:sz w:val="18"/>
          <w:szCs w:val="18"/>
        </w:rPr>
        <w:t>aan de Staten-Generaal</w:t>
      </w:r>
      <w:r w:rsidRPr="00F822D1">
        <w:rPr>
          <w:rFonts w:ascii="Verdana" w:hAnsi="Verdana"/>
          <w:sz w:val="18"/>
          <w:szCs w:val="18"/>
        </w:rPr>
        <w:t xml:space="preserve">. </w:t>
      </w:r>
      <w:r w:rsidR="007B6D32">
        <w:rPr>
          <w:rFonts w:ascii="Verdana" w:hAnsi="Verdana"/>
          <w:sz w:val="18"/>
          <w:szCs w:val="18"/>
        </w:rPr>
        <w:t xml:space="preserve">Hiermee kan uw Kamer zelf </w:t>
      </w:r>
      <w:r w:rsidRPr="00F822D1">
        <w:rPr>
          <w:rStyle w:val="cf01"/>
          <w:rFonts w:ascii="Verdana" w:hAnsi="Verdana"/>
          <w:b w:val="0"/>
          <w:bCs w:val="0"/>
          <w:i w:val="0"/>
          <w:iCs w:val="0"/>
        </w:rPr>
        <w:t>een afweging maken over het goedkeuren of verwerpen van de wijzigingen.</w:t>
      </w:r>
      <w:r>
        <w:rPr>
          <w:rStyle w:val="cf01"/>
          <w:rFonts w:ascii="Verdana" w:hAnsi="Verdana"/>
          <w:b w:val="0"/>
          <w:bCs w:val="0"/>
          <w:i w:val="0"/>
          <w:iCs w:val="0"/>
        </w:rPr>
        <w:t xml:space="preserve"> </w:t>
      </w:r>
    </w:p>
    <w:p w:rsidR="00F822D1" w:rsidP="00CC5B83" w:rsidRDefault="00F822D1" w14:paraId="05F54D07" w14:textId="77777777">
      <w:pPr>
        <w:spacing w:line="269" w:lineRule="auto"/>
        <w:rPr>
          <w:szCs w:val="18"/>
        </w:rPr>
      </w:pPr>
    </w:p>
    <w:p w:rsidR="00423CEE" w:rsidP="00CC5B83" w:rsidRDefault="00423CEE" w14:paraId="2E98A730" w14:textId="77777777">
      <w:pPr>
        <w:spacing w:line="269" w:lineRule="auto"/>
        <w:rPr>
          <w:szCs w:val="18"/>
        </w:rPr>
      </w:pPr>
    </w:p>
    <w:p w:rsidR="00423CEE" w:rsidP="00CC5B83" w:rsidRDefault="00423CEE" w14:paraId="3152A545" w14:textId="77777777">
      <w:pPr>
        <w:spacing w:line="269" w:lineRule="auto"/>
        <w:rPr>
          <w:szCs w:val="18"/>
        </w:rPr>
      </w:pPr>
    </w:p>
    <w:p w:rsidRPr="001B0D24" w:rsidR="00B63EA4" w:rsidP="00CC5B83" w:rsidRDefault="00503E0B" w14:paraId="4A9B10D2" w14:textId="77777777">
      <w:pPr>
        <w:spacing w:line="269" w:lineRule="auto"/>
        <w:rPr>
          <w:szCs w:val="18"/>
        </w:rPr>
      </w:pPr>
      <w:r>
        <w:rPr>
          <w:szCs w:val="18"/>
        </w:rPr>
        <w:lastRenderedPageBreak/>
        <w:t xml:space="preserve">Het is </w:t>
      </w:r>
      <w:r w:rsidR="004C2B52">
        <w:rPr>
          <w:szCs w:val="18"/>
        </w:rPr>
        <w:t>de verwachting dat de uitdrukkelijke goedkeuringsprocedure niet binnen de geldende reactietermijn van achttien maanden zal worden afgerond</w:t>
      </w:r>
      <w:r>
        <w:rPr>
          <w:szCs w:val="18"/>
        </w:rPr>
        <w:t>.</w:t>
      </w:r>
      <w:r w:rsidRPr="001B0D24">
        <w:rPr>
          <w:szCs w:val="18"/>
        </w:rPr>
        <w:t xml:space="preserve"> </w:t>
      </w:r>
      <w:r w:rsidR="007B6D32">
        <w:rPr>
          <w:szCs w:val="18"/>
        </w:rPr>
        <w:t xml:space="preserve">Daarom </w:t>
      </w:r>
      <w:r w:rsidRPr="001B0D24">
        <w:rPr>
          <w:szCs w:val="18"/>
        </w:rPr>
        <w:t xml:space="preserve">zal </w:t>
      </w:r>
      <w:r w:rsidRPr="001B0D24" w:rsidR="002C2E98">
        <w:rPr>
          <w:szCs w:val="18"/>
        </w:rPr>
        <w:t xml:space="preserve">de regering </w:t>
      </w:r>
      <w:r w:rsidRPr="001B0D24">
        <w:rPr>
          <w:szCs w:val="18"/>
        </w:rPr>
        <w:t>de wijzigingen op de IHR</w:t>
      </w:r>
      <w:r w:rsidR="00486C5E">
        <w:rPr>
          <w:szCs w:val="18"/>
        </w:rPr>
        <w:t xml:space="preserve"> </w:t>
      </w:r>
      <w:r w:rsidRPr="001B0D24">
        <w:rPr>
          <w:szCs w:val="18"/>
        </w:rPr>
        <w:t xml:space="preserve">– hangende de parlementaire procedure </w:t>
      </w:r>
      <w:r w:rsidR="00486C5E">
        <w:rPr>
          <w:szCs w:val="18"/>
        </w:rPr>
        <w:t>–</w:t>
      </w:r>
      <w:r w:rsidRPr="001B0D24" w:rsidR="006A01E5">
        <w:rPr>
          <w:szCs w:val="18"/>
        </w:rPr>
        <w:t xml:space="preserve"> </w:t>
      </w:r>
      <w:r w:rsidRPr="001B0D24">
        <w:rPr>
          <w:szCs w:val="18"/>
        </w:rPr>
        <w:t xml:space="preserve">verwerpen. Hiermee zal ons land niet gebonden zijn aan </w:t>
      </w:r>
      <w:r w:rsidR="007B6D32">
        <w:rPr>
          <w:szCs w:val="18"/>
        </w:rPr>
        <w:t>enige wijzigingen totdat de parlementaire procedure is doorlopen</w:t>
      </w:r>
      <w:r w:rsidR="004C2B52">
        <w:rPr>
          <w:szCs w:val="18"/>
        </w:rPr>
        <w:t>.</w:t>
      </w:r>
    </w:p>
    <w:p w:rsidRPr="001B0D24" w:rsidR="00033666" w:rsidP="00CC5B83" w:rsidRDefault="00033666" w14:paraId="39E13071" w14:textId="77777777">
      <w:pPr>
        <w:spacing w:line="269" w:lineRule="auto"/>
        <w:rPr>
          <w:szCs w:val="18"/>
        </w:rPr>
      </w:pPr>
    </w:p>
    <w:p w:rsidRPr="001B0D24" w:rsidR="00537B02" w:rsidP="00CC5B83" w:rsidRDefault="00503E0B" w14:paraId="0F0C24F6" w14:textId="77777777">
      <w:pPr>
        <w:spacing w:line="269" w:lineRule="auto"/>
        <w:rPr>
          <w:szCs w:val="18"/>
          <w:u w:val="single"/>
        </w:rPr>
      </w:pPr>
      <w:r w:rsidRPr="001B0D24">
        <w:rPr>
          <w:szCs w:val="18"/>
          <w:u w:val="single"/>
        </w:rPr>
        <w:t>Uitdrukkelijke goedkeuringsprocedure</w:t>
      </w:r>
    </w:p>
    <w:p w:rsidR="005211C8" w:rsidP="00CC5B83" w:rsidRDefault="00503E0B" w14:paraId="5FF2B6E6" w14:textId="77777777">
      <w:pPr>
        <w:spacing w:line="269" w:lineRule="auto"/>
        <w:rPr>
          <w:szCs w:val="18"/>
        </w:rPr>
      </w:pPr>
      <w:r w:rsidRPr="001B0D24">
        <w:rPr>
          <w:szCs w:val="18"/>
        </w:rPr>
        <w:t xml:space="preserve">De </w:t>
      </w:r>
      <w:r w:rsidR="007B6D32">
        <w:rPr>
          <w:szCs w:val="18"/>
        </w:rPr>
        <w:t>vervolg</w:t>
      </w:r>
      <w:r w:rsidRPr="001B0D24">
        <w:rPr>
          <w:szCs w:val="18"/>
        </w:rPr>
        <w:t xml:space="preserve">procedure </w:t>
      </w:r>
      <w:r w:rsidR="007B6D32">
        <w:rPr>
          <w:szCs w:val="18"/>
        </w:rPr>
        <w:t xml:space="preserve">richting uw Kamer </w:t>
      </w:r>
      <w:r w:rsidRPr="001B0D24">
        <w:rPr>
          <w:szCs w:val="18"/>
        </w:rPr>
        <w:t xml:space="preserve">is als volgt. </w:t>
      </w:r>
      <w:r w:rsidR="007B6D32">
        <w:rPr>
          <w:szCs w:val="18"/>
        </w:rPr>
        <w:t>D</w:t>
      </w:r>
      <w:r w:rsidRPr="001B0D24" w:rsidR="00926B5B">
        <w:rPr>
          <w:szCs w:val="18"/>
        </w:rPr>
        <w:t xml:space="preserve">e Engelstalige </w:t>
      </w:r>
      <w:r w:rsidR="00DB1C27">
        <w:rPr>
          <w:szCs w:val="18"/>
        </w:rPr>
        <w:t xml:space="preserve">gewijzigde artikelen en bijlagen van de </w:t>
      </w:r>
      <w:r w:rsidRPr="001B0D24" w:rsidR="00926B5B">
        <w:rPr>
          <w:szCs w:val="18"/>
        </w:rPr>
        <w:t xml:space="preserve">IHR </w:t>
      </w:r>
      <w:r w:rsidR="007B6D32">
        <w:rPr>
          <w:szCs w:val="18"/>
        </w:rPr>
        <w:t xml:space="preserve">worden </w:t>
      </w:r>
      <w:r w:rsidRPr="001B0D24" w:rsidR="00C8665F">
        <w:rPr>
          <w:szCs w:val="18"/>
        </w:rPr>
        <w:t xml:space="preserve">vertaald </w:t>
      </w:r>
      <w:r w:rsidRPr="001B0D24" w:rsidR="00926B5B">
        <w:rPr>
          <w:szCs w:val="18"/>
        </w:rPr>
        <w:t>in het Nederlands en gepubliceerd</w:t>
      </w:r>
      <w:r w:rsidRPr="001B0D24" w:rsidR="006A01E5">
        <w:rPr>
          <w:szCs w:val="18"/>
        </w:rPr>
        <w:t xml:space="preserve"> </w:t>
      </w:r>
      <w:r w:rsidRPr="001B0D24" w:rsidR="00926B5B">
        <w:rPr>
          <w:szCs w:val="18"/>
        </w:rPr>
        <w:t>in het Tractatenblad.</w:t>
      </w:r>
      <w:r>
        <w:rPr>
          <w:rStyle w:val="Voetnootmarkering"/>
          <w:szCs w:val="18"/>
        </w:rPr>
        <w:footnoteReference w:id="7"/>
      </w:r>
      <w:r w:rsidRPr="001B0D24" w:rsidR="00926B5B">
        <w:rPr>
          <w:szCs w:val="18"/>
        </w:rPr>
        <w:t xml:space="preserve"> </w:t>
      </w:r>
      <w:r w:rsidRPr="001B0D24" w:rsidR="002150DF">
        <w:rPr>
          <w:szCs w:val="18"/>
        </w:rPr>
        <w:t xml:space="preserve">Na publicatie </w:t>
      </w:r>
      <w:r w:rsidRPr="001B0D24" w:rsidR="003B485B">
        <w:rPr>
          <w:szCs w:val="18"/>
        </w:rPr>
        <w:t xml:space="preserve">van de Nederlandstalige versie </w:t>
      </w:r>
      <w:r w:rsidRPr="001B0D24" w:rsidR="00FA23F8">
        <w:rPr>
          <w:szCs w:val="18"/>
        </w:rPr>
        <w:t xml:space="preserve">zullen </w:t>
      </w:r>
      <w:r w:rsidRPr="001B0D24" w:rsidR="00A34CA0">
        <w:rPr>
          <w:szCs w:val="18"/>
        </w:rPr>
        <w:t xml:space="preserve">de </w:t>
      </w:r>
      <w:r w:rsidRPr="001B0D24" w:rsidR="00926B5B">
        <w:rPr>
          <w:szCs w:val="18"/>
        </w:rPr>
        <w:t xml:space="preserve">wijzigingen </w:t>
      </w:r>
      <w:r w:rsidRPr="001B0D24" w:rsidR="00A34CA0">
        <w:rPr>
          <w:szCs w:val="18"/>
        </w:rPr>
        <w:t xml:space="preserve">van </w:t>
      </w:r>
      <w:r w:rsidRPr="001B0D24" w:rsidR="00FA23F8">
        <w:rPr>
          <w:szCs w:val="18"/>
        </w:rPr>
        <w:t xml:space="preserve">de IHR </w:t>
      </w:r>
      <w:r w:rsidRPr="001B0D24" w:rsidR="00A34CA0">
        <w:rPr>
          <w:szCs w:val="18"/>
        </w:rPr>
        <w:t xml:space="preserve">worden omgezet in </w:t>
      </w:r>
      <w:r w:rsidRPr="001B0D24" w:rsidR="00926B5B">
        <w:rPr>
          <w:szCs w:val="18"/>
        </w:rPr>
        <w:t xml:space="preserve">een </w:t>
      </w:r>
      <w:r w:rsidRPr="001B0D24" w:rsidR="00FF0F91">
        <w:rPr>
          <w:szCs w:val="18"/>
        </w:rPr>
        <w:t xml:space="preserve">voorstel van </w:t>
      </w:r>
      <w:r w:rsidRPr="001B0D24" w:rsidR="00A86EB2">
        <w:rPr>
          <w:szCs w:val="18"/>
        </w:rPr>
        <w:t>r</w:t>
      </w:r>
      <w:r w:rsidRPr="001B0D24" w:rsidR="00FF0F91">
        <w:rPr>
          <w:szCs w:val="18"/>
        </w:rPr>
        <w:t>ijkswet</w:t>
      </w:r>
      <w:r w:rsidR="004C2B52">
        <w:rPr>
          <w:szCs w:val="18"/>
        </w:rPr>
        <w:t xml:space="preserve"> en voorzien van een </w:t>
      </w:r>
      <w:r w:rsidRPr="001B0D24" w:rsidR="00A86EB2">
        <w:rPr>
          <w:szCs w:val="18"/>
        </w:rPr>
        <w:t>memorie van toelichting</w:t>
      </w:r>
      <w:r w:rsidRPr="001B0D24" w:rsidR="00926B5B">
        <w:rPr>
          <w:szCs w:val="18"/>
        </w:rPr>
        <w:t xml:space="preserve">. </w:t>
      </w:r>
      <w:r w:rsidR="004C2B52">
        <w:rPr>
          <w:szCs w:val="18"/>
        </w:rPr>
        <w:t xml:space="preserve">Wanneer </w:t>
      </w:r>
      <w:r w:rsidR="009D64B4">
        <w:rPr>
          <w:szCs w:val="18"/>
        </w:rPr>
        <w:t xml:space="preserve">deze </w:t>
      </w:r>
      <w:r w:rsidR="004C2B52">
        <w:rPr>
          <w:szCs w:val="18"/>
        </w:rPr>
        <w:t xml:space="preserve">gereed zijn, zal op basis van een voorstel van de </w:t>
      </w:r>
      <w:r w:rsidRPr="001B0D24" w:rsidR="00F84897">
        <w:rPr>
          <w:szCs w:val="18"/>
        </w:rPr>
        <w:t>M</w:t>
      </w:r>
      <w:r w:rsidRPr="001B0D24" w:rsidR="00FA23F8">
        <w:rPr>
          <w:szCs w:val="18"/>
        </w:rPr>
        <w:t>inister van Buitenlandse Zaken</w:t>
      </w:r>
      <w:r w:rsidR="004C2B52">
        <w:rPr>
          <w:szCs w:val="18"/>
        </w:rPr>
        <w:t xml:space="preserve">, mede namens mij, de rijksministerraad (RMR) worden gevraagd om in te stemmen met het starten van de uitdrukkelijke goedkeuringsprocedure. </w:t>
      </w:r>
      <w:r w:rsidRPr="001B0D24" w:rsidR="00A86EB2">
        <w:rPr>
          <w:szCs w:val="18"/>
        </w:rPr>
        <w:t xml:space="preserve">Indien de RMR </w:t>
      </w:r>
      <w:r w:rsidR="004C2B52">
        <w:rPr>
          <w:szCs w:val="18"/>
        </w:rPr>
        <w:t xml:space="preserve">daarmee instemt, </w:t>
      </w:r>
      <w:r w:rsidRPr="001B0D24" w:rsidR="000A257A">
        <w:rPr>
          <w:szCs w:val="18"/>
        </w:rPr>
        <w:t>zal vervolgens</w:t>
      </w:r>
      <w:r w:rsidRPr="001B0D24" w:rsidR="00A86EB2">
        <w:rPr>
          <w:szCs w:val="18"/>
        </w:rPr>
        <w:t xml:space="preserve"> </w:t>
      </w:r>
      <w:r w:rsidRPr="001B0D24" w:rsidR="005463F3">
        <w:rPr>
          <w:szCs w:val="18"/>
        </w:rPr>
        <w:t>het voorstel</w:t>
      </w:r>
      <w:r w:rsidR="004C2B52">
        <w:rPr>
          <w:szCs w:val="18"/>
        </w:rPr>
        <w:t xml:space="preserve"> van rijkswet</w:t>
      </w:r>
      <w:r w:rsidRPr="001B0D24" w:rsidR="00A86EB2">
        <w:rPr>
          <w:szCs w:val="18"/>
        </w:rPr>
        <w:t>, inclusief memorie van toelichting,</w:t>
      </w:r>
      <w:r w:rsidRPr="001B0D24" w:rsidR="005463F3">
        <w:rPr>
          <w:szCs w:val="18"/>
        </w:rPr>
        <w:t xml:space="preserve"> </w:t>
      </w:r>
      <w:r w:rsidRPr="001B0D24" w:rsidR="00926B5B">
        <w:rPr>
          <w:szCs w:val="18"/>
        </w:rPr>
        <w:t xml:space="preserve">ter advisering </w:t>
      </w:r>
      <w:r w:rsidRPr="001B0D24" w:rsidR="005463F3">
        <w:rPr>
          <w:szCs w:val="18"/>
        </w:rPr>
        <w:t xml:space="preserve">worden voorgelegd </w:t>
      </w:r>
      <w:r w:rsidRPr="001B0D24" w:rsidR="00926B5B">
        <w:rPr>
          <w:szCs w:val="18"/>
        </w:rPr>
        <w:t xml:space="preserve">aan de Raad van State. </w:t>
      </w:r>
      <w:r w:rsidRPr="001B0D24" w:rsidR="005463F3">
        <w:rPr>
          <w:szCs w:val="18"/>
        </w:rPr>
        <w:t xml:space="preserve">Wanneer deze </w:t>
      </w:r>
      <w:r w:rsidR="004C2B52">
        <w:rPr>
          <w:szCs w:val="18"/>
        </w:rPr>
        <w:t xml:space="preserve">het gevraagde advies </w:t>
      </w:r>
      <w:r w:rsidRPr="001B0D24" w:rsidR="005463F3">
        <w:rPr>
          <w:szCs w:val="18"/>
        </w:rPr>
        <w:t xml:space="preserve">heeft </w:t>
      </w:r>
      <w:r w:rsidR="004C2B52">
        <w:rPr>
          <w:szCs w:val="18"/>
        </w:rPr>
        <w:t>gegeven</w:t>
      </w:r>
      <w:r w:rsidRPr="001B0D24" w:rsidR="005463F3">
        <w:rPr>
          <w:szCs w:val="18"/>
        </w:rPr>
        <w:t xml:space="preserve">, </w:t>
      </w:r>
      <w:r w:rsidRPr="001B0D24" w:rsidR="00A86EB2">
        <w:rPr>
          <w:szCs w:val="18"/>
        </w:rPr>
        <w:t xml:space="preserve">zullen </w:t>
      </w:r>
      <w:r w:rsidR="004C2B52">
        <w:rPr>
          <w:szCs w:val="18"/>
        </w:rPr>
        <w:t xml:space="preserve">het Tractatenblad met de Nederlandse vertaling van de wijzigingen, het </w:t>
      </w:r>
      <w:r w:rsidRPr="001B0D24" w:rsidR="00662073">
        <w:rPr>
          <w:szCs w:val="18"/>
        </w:rPr>
        <w:t xml:space="preserve">voorstel </w:t>
      </w:r>
      <w:r w:rsidRPr="001B0D24" w:rsidR="00A86EB2">
        <w:rPr>
          <w:szCs w:val="18"/>
        </w:rPr>
        <w:t xml:space="preserve">van rijkswet en de memorie van toelichting, </w:t>
      </w:r>
      <w:r w:rsidRPr="001B0D24" w:rsidR="00A34CA0">
        <w:rPr>
          <w:szCs w:val="18"/>
        </w:rPr>
        <w:t xml:space="preserve">samen </w:t>
      </w:r>
      <w:r w:rsidRPr="001B0D24" w:rsidR="00662073">
        <w:rPr>
          <w:szCs w:val="18"/>
        </w:rPr>
        <w:t xml:space="preserve">met het advies </w:t>
      </w:r>
      <w:r w:rsidRPr="001B0D24" w:rsidR="00055FFE">
        <w:rPr>
          <w:szCs w:val="18"/>
        </w:rPr>
        <w:t xml:space="preserve">van de Raad van </w:t>
      </w:r>
      <w:r w:rsidRPr="001B0D24" w:rsidR="00A34CA0">
        <w:rPr>
          <w:szCs w:val="18"/>
        </w:rPr>
        <w:t xml:space="preserve">State </w:t>
      </w:r>
      <w:r w:rsidR="004C2B52">
        <w:rPr>
          <w:szCs w:val="18"/>
        </w:rPr>
        <w:t xml:space="preserve">en het nader rapport </w:t>
      </w:r>
      <w:r w:rsidRPr="001B0D24" w:rsidR="00662073">
        <w:rPr>
          <w:szCs w:val="18"/>
        </w:rPr>
        <w:t xml:space="preserve">worden voorgelegd aan de Staten-Generaal. </w:t>
      </w:r>
      <w:r w:rsidRPr="005211C8">
        <w:rPr>
          <w:szCs w:val="18"/>
        </w:rPr>
        <w:t>De verwachting is dat voor de zomer het wetsvoorstel en de memorie van toelichting aan de RMR kan worden voorgelegd, zulks afhankelijk van de vraag of er nadere uitvoeringswetgeving vereist is.</w:t>
      </w:r>
    </w:p>
    <w:p w:rsidR="00423CEE" w:rsidP="00CC5B83" w:rsidRDefault="00423CEE" w14:paraId="7D5F84F8" w14:textId="77777777">
      <w:pPr>
        <w:spacing w:line="269" w:lineRule="auto"/>
        <w:rPr>
          <w:szCs w:val="18"/>
        </w:rPr>
      </w:pPr>
    </w:p>
    <w:p w:rsidRPr="001B0D24" w:rsidR="00662073" w:rsidP="00CC5B83" w:rsidRDefault="006A01E5" w14:paraId="547D221E" w14:textId="77777777">
      <w:pPr>
        <w:spacing w:line="269" w:lineRule="auto"/>
        <w:rPr>
          <w:szCs w:val="18"/>
        </w:rPr>
      </w:pPr>
      <w:r w:rsidRPr="001B0D24">
        <w:rPr>
          <w:szCs w:val="18"/>
        </w:rPr>
        <w:t>I</w:t>
      </w:r>
      <w:r w:rsidRPr="001B0D24" w:rsidR="00A86EB2">
        <w:rPr>
          <w:szCs w:val="18"/>
        </w:rPr>
        <w:t>ndien de Staten-Generaal het voorstel van rijkswet</w:t>
      </w:r>
      <w:r w:rsidRPr="001B0D24">
        <w:rPr>
          <w:szCs w:val="18"/>
        </w:rPr>
        <w:t xml:space="preserve"> </w:t>
      </w:r>
      <w:r w:rsidR="009D64B4">
        <w:rPr>
          <w:szCs w:val="18"/>
        </w:rPr>
        <w:t xml:space="preserve">goedkeuren </w:t>
      </w:r>
      <w:r w:rsidRPr="001B0D24">
        <w:rPr>
          <w:szCs w:val="18"/>
        </w:rPr>
        <w:t>dan zal de Directeur-Generaal van de WHO hiervan op de hoogte worden gesteld, gelijktijdig met een eventueel voorbehoud. Wanneer de Staten-Generaal niet akkoord gaa</w:t>
      </w:r>
      <w:r w:rsidR="00E91CA6">
        <w:rPr>
          <w:szCs w:val="18"/>
        </w:rPr>
        <w:t>n</w:t>
      </w:r>
      <w:r w:rsidRPr="001B0D24">
        <w:rPr>
          <w:szCs w:val="18"/>
        </w:rPr>
        <w:t xml:space="preserve"> met de wijzigingen, dan blijft de verwerping van kracht en </w:t>
      </w:r>
      <w:r w:rsidRPr="001B0D24" w:rsidR="00A86EB2">
        <w:rPr>
          <w:szCs w:val="18"/>
        </w:rPr>
        <w:t xml:space="preserve">zullen </w:t>
      </w:r>
      <w:r w:rsidR="00C03636">
        <w:rPr>
          <w:szCs w:val="18"/>
        </w:rPr>
        <w:t>de wijzigingen</w:t>
      </w:r>
      <w:r w:rsidRPr="001B0D24" w:rsidR="00A86EB2">
        <w:rPr>
          <w:szCs w:val="18"/>
        </w:rPr>
        <w:t xml:space="preserve"> niet in werking treden voor </w:t>
      </w:r>
      <w:r w:rsidR="00486C5E">
        <w:rPr>
          <w:szCs w:val="18"/>
        </w:rPr>
        <w:t xml:space="preserve">het </w:t>
      </w:r>
      <w:r w:rsidRPr="001B0D24" w:rsidR="00A86EB2">
        <w:rPr>
          <w:szCs w:val="18"/>
        </w:rPr>
        <w:t xml:space="preserve">Koninkrijk. </w:t>
      </w:r>
    </w:p>
    <w:p w:rsidRPr="001B0D24" w:rsidR="00A86EB2" w:rsidP="00CC5B83" w:rsidRDefault="00A86EB2" w14:paraId="5F92B4D5" w14:textId="77777777">
      <w:pPr>
        <w:spacing w:line="269" w:lineRule="auto"/>
        <w:rPr>
          <w:szCs w:val="18"/>
        </w:rPr>
      </w:pPr>
    </w:p>
    <w:p w:rsidRPr="001B0D24" w:rsidR="00AA399D" w:rsidP="00CC5B83" w:rsidRDefault="00503E0B" w14:paraId="1A304AB7" w14:textId="77777777">
      <w:pPr>
        <w:spacing w:line="269" w:lineRule="auto"/>
        <w:rPr>
          <w:szCs w:val="18"/>
          <w:u w:val="single"/>
        </w:rPr>
      </w:pPr>
      <w:r w:rsidRPr="001B0D24">
        <w:rPr>
          <w:szCs w:val="18"/>
          <w:u w:val="single"/>
        </w:rPr>
        <w:t>Afronding besluitvorming Europese Unie</w:t>
      </w:r>
    </w:p>
    <w:p w:rsidRPr="001B0D24" w:rsidR="00911B10" w:rsidP="00CC5B83" w:rsidRDefault="00503E0B" w14:paraId="49AF0135" w14:textId="77777777">
      <w:pPr>
        <w:spacing w:line="269" w:lineRule="auto"/>
        <w:rPr>
          <w:szCs w:val="18"/>
        </w:rPr>
      </w:pPr>
      <w:r w:rsidRPr="001B0D24">
        <w:rPr>
          <w:szCs w:val="18"/>
        </w:rPr>
        <w:t xml:space="preserve">Zoals eerder bericht in de Kamerbrieven van 16 februari 2024 en 21 mei 2024, </w:t>
      </w:r>
      <w:r w:rsidR="007B6D32">
        <w:rPr>
          <w:szCs w:val="18"/>
        </w:rPr>
        <w:t xml:space="preserve">heeft </w:t>
      </w:r>
      <w:r w:rsidRPr="001B0D24">
        <w:rPr>
          <w:szCs w:val="18"/>
        </w:rPr>
        <w:t xml:space="preserve">de Europese Commissie </w:t>
      </w:r>
      <w:r w:rsidRPr="001B0D24" w:rsidR="003B485B">
        <w:rPr>
          <w:szCs w:val="18"/>
        </w:rPr>
        <w:t xml:space="preserve">(hierna: Commissie) </w:t>
      </w:r>
      <w:r w:rsidRPr="001B0D24">
        <w:rPr>
          <w:szCs w:val="18"/>
        </w:rPr>
        <w:t>bij de onderhandelingen over de IHR opgetreden als onderhandelaar namens de Europese Unie</w:t>
      </w:r>
      <w:r w:rsidRPr="001B0D24" w:rsidR="003B485B">
        <w:rPr>
          <w:szCs w:val="18"/>
        </w:rPr>
        <w:t>.</w:t>
      </w:r>
      <w:r w:rsidRPr="002F3C96" w:rsidR="002F3C96">
        <w:rPr>
          <w:rStyle w:val="Voetnootmarkering"/>
          <w:szCs w:val="18"/>
        </w:rPr>
        <w:t xml:space="preserve"> </w:t>
      </w:r>
      <w:r w:rsidRPr="001B0D24" w:rsidR="003B485B">
        <w:rPr>
          <w:szCs w:val="18"/>
        </w:rPr>
        <w:t xml:space="preserve">Nu de onderhandelingen over de wijzigingen van de IHR op 1 juni 2024 zijn afgerond, heeft de Commissie op 13 november 2024 een voorstel voor een Raadsbesluit gepresenteerd, </w:t>
      </w:r>
      <w:r w:rsidR="002F3C96">
        <w:rPr>
          <w:szCs w:val="18"/>
        </w:rPr>
        <w:t>over het aanvaarden van de wijzigingen van de IHR zoals die op 1 juni 2024 zijn aangenomen, voor die onderdelen die onder de bevoegdheid van de Unie vallen.</w:t>
      </w:r>
      <w:r>
        <w:rPr>
          <w:rStyle w:val="Voetnootmarkering"/>
          <w:szCs w:val="18"/>
        </w:rPr>
        <w:footnoteReference w:id="8"/>
      </w:r>
      <w:r w:rsidRPr="001B0D24" w:rsidR="003B485B">
        <w:rPr>
          <w:szCs w:val="18"/>
        </w:rPr>
        <w:t xml:space="preserve"> </w:t>
      </w:r>
      <w:r w:rsidRPr="00E91CA6" w:rsidR="006A01E5">
        <w:rPr>
          <w:szCs w:val="18"/>
        </w:rPr>
        <w:t xml:space="preserve">Uw Kamer heeft via een separate brief een kabinetsappreciatie van het voorgestelde Raadsbesluit </w:t>
      </w:r>
      <w:r w:rsidR="007B6D32">
        <w:rPr>
          <w:szCs w:val="18"/>
        </w:rPr>
        <w:t>ontvangen</w:t>
      </w:r>
      <w:r w:rsidRPr="00E91CA6" w:rsidR="006A01E5">
        <w:rPr>
          <w:szCs w:val="18"/>
        </w:rPr>
        <w:t xml:space="preserve">. </w:t>
      </w:r>
    </w:p>
    <w:p w:rsidRPr="001B0D24" w:rsidR="00911B10" w:rsidP="00CC5B83" w:rsidRDefault="00911B10" w14:paraId="59CE26F8" w14:textId="77777777">
      <w:pPr>
        <w:spacing w:line="269" w:lineRule="auto"/>
        <w:rPr>
          <w:szCs w:val="18"/>
        </w:rPr>
      </w:pPr>
    </w:p>
    <w:p w:rsidRPr="001B0D24" w:rsidR="00662073" w:rsidP="00CC5B83" w:rsidRDefault="00503E0B" w14:paraId="54B9D454" w14:textId="77777777">
      <w:pPr>
        <w:spacing w:line="269" w:lineRule="auto"/>
        <w:rPr>
          <w:szCs w:val="18"/>
          <w:u w:val="single"/>
        </w:rPr>
      </w:pPr>
      <w:r w:rsidRPr="001B0D24">
        <w:rPr>
          <w:szCs w:val="18"/>
          <w:u w:val="single"/>
        </w:rPr>
        <w:t xml:space="preserve">Inhoudelijke </w:t>
      </w:r>
      <w:r w:rsidRPr="001B0D24" w:rsidR="000970B2">
        <w:rPr>
          <w:szCs w:val="18"/>
          <w:u w:val="single"/>
        </w:rPr>
        <w:t>toelichting</w:t>
      </w:r>
      <w:r w:rsidRPr="001B0D24">
        <w:rPr>
          <w:szCs w:val="18"/>
          <w:u w:val="single"/>
        </w:rPr>
        <w:t xml:space="preserve"> </w:t>
      </w:r>
      <w:r w:rsidRPr="001B0D24" w:rsidR="000970B2">
        <w:rPr>
          <w:szCs w:val="18"/>
          <w:u w:val="single"/>
        </w:rPr>
        <w:t xml:space="preserve">op </w:t>
      </w:r>
      <w:r w:rsidRPr="001B0D24">
        <w:rPr>
          <w:szCs w:val="18"/>
          <w:u w:val="single"/>
        </w:rPr>
        <w:t>wijzigingen</w:t>
      </w:r>
      <w:r w:rsidRPr="001B0D24" w:rsidR="000970B2">
        <w:rPr>
          <w:szCs w:val="18"/>
          <w:u w:val="single"/>
        </w:rPr>
        <w:t xml:space="preserve"> van de IHR</w:t>
      </w:r>
    </w:p>
    <w:p w:rsidR="002C2E98" w:rsidP="00CC5B83" w:rsidRDefault="00503E0B" w14:paraId="78138B5B" w14:textId="77777777">
      <w:pPr>
        <w:spacing w:line="269" w:lineRule="auto"/>
        <w:rPr>
          <w:szCs w:val="18"/>
        </w:rPr>
      </w:pPr>
      <w:r w:rsidRPr="001B0D24">
        <w:rPr>
          <w:szCs w:val="18"/>
        </w:rPr>
        <w:t>De Internationale Gezondheidsregeling is een sinds 2005 bestaand internationaal bindend instrument op basis waarvan WHO-lidstaten in de afgelopen decennia hun nationale systemen voor het inperken en bestrijden van internationale gezondheidscrisis hebben ontwikkeld.</w:t>
      </w:r>
      <w:r>
        <w:rPr>
          <w:rStyle w:val="Voetnootmarkering"/>
          <w:szCs w:val="18"/>
        </w:rPr>
        <w:footnoteReference w:id="9"/>
      </w:r>
      <w:r w:rsidRPr="001B0D24">
        <w:rPr>
          <w:szCs w:val="18"/>
        </w:rPr>
        <w:t xml:space="preserve"> Belangrijke onderdelen van de IHR </w:t>
      </w:r>
      <w:r w:rsidR="007B6D32">
        <w:rPr>
          <w:szCs w:val="18"/>
        </w:rPr>
        <w:t xml:space="preserve">zijn </w:t>
      </w:r>
      <w:r w:rsidR="00E91CA6">
        <w:rPr>
          <w:szCs w:val="18"/>
        </w:rPr>
        <w:lastRenderedPageBreak/>
        <w:t xml:space="preserve">bepalingen over het </w:t>
      </w:r>
      <w:r w:rsidRPr="001B0D24">
        <w:rPr>
          <w:szCs w:val="18"/>
        </w:rPr>
        <w:t xml:space="preserve">vroegtijdig signaleren, analyseren en beoordelen van potentiële gezondheidsbedreigingen die van internationaal belang kunnen zijn; </w:t>
      </w:r>
      <w:r w:rsidR="00E91CA6">
        <w:rPr>
          <w:szCs w:val="18"/>
        </w:rPr>
        <w:t xml:space="preserve">bepalingen over </w:t>
      </w:r>
      <w:r w:rsidRPr="001B0D24">
        <w:rPr>
          <w:szCs w:val="18"/>
        </w:rPr>
        <w:t xml:space="preserve">het bevorderen van paraatheid op potentiële bedreigingen; </w:t>
      </w:r>
      <w:r w:rsidRPr="001B0D24" w:rsidR="002F3C96">
        <w:rPr>
          <w:szCs w:val="18"/>
        </w:rPr>
        <w:t>aanbevelingen ten aanzien van de bestrijding ervan</w:t>
      </w:r>
      <w:r w:rsidR="002F3C96">
        <w:rPr>
          <w:szCs w:val="18"/>
        </w:rPr>
        <w:t xml:space="preserve">; </w:t>
      </w:r>
      <w:r w:rsidR="00E91CA6">
        <w:rPr>
          <w:szCs w:val="18"/>
        </w:rPr>
        <w:t xml:space="preserve">bepalingen met betrekking tot </w:t>
      </w:r>
      <w:r w:rsidRPr="001B0D24">
        <w:rPr>
          <w:szCs w:val="18"/>
        </w:rPr>
        <w:t>internationale coördinatie</w:t>
      </w:r>
      <w:r w:rsidR="00486C5E">
        <w:rPr>
          <w:szCs w:val="18"/>
        </w:rPr>
        <w:t>;</w:t>
      </w:r>
      <w:r w:rsidRPr="001B0D24">
        <w:rPr>
          <w:szCs w:val="18"/>
        </w:rPr>
        <w:t xml:space="preserve"> en het coördineren van internationale maatregelen rondom het mondiale personen- en goederenvervoer. Voor de staten die partij </w:t>
      </w:r>
      <w:r w:rsidR="007B6D32">
        <w:rPr>
          <w:szCs w:val="18"/>
        </w:rPr>
        <w:t xml:space="preserve">zijn </w:t>
      </w:r>
      <w:r w:rsidRPr="001B0D24">
        <w:rPr>
          <w:szCs w:val="18"/>
        </w:rPr>
        <w:t>bij de</w:t>
      </w:r>
      <w:r w:rsidRPr="001B0D24">
        <w:rPr>
          <w:szCs w:val="18"/>
        </w:rPr>
        <w:t xml:space="preserve"> IHR zijn er basisvereisten geformuleerd</w:t>
      </w:r>
      <w:r w:rsidR="00E91CA6">
        <w:rPr>
          <w:szCs w:val="18"/>
        </w:rPr>
        <w:t xml:space="preserve"> ten aanzien van nationale paraatheid en respons op gezondheidsbedreigingen</w:t>
      </w:r>
      <w:r w:rsidRPr="001B0D24">
        <w:rPr>
          <w:szCs w:val="18"/>
        </w:rPr>
        <w:t>.</w:t>
      </w:r>
      <w:r>
        <w:rPr>
          <w:rStyle w:val="Voetnootmarkering"/>
          <w:szCs w:val="18"/>
        </w:rPr>
        <w:footnoteReference w:id="10"/>
      </w:r>
      <w:r w:rsidRPr="001B0D24">
        <w:rPr>
          <w:szCs w:val="18"/>
        </w:rPr>
        <w:t xml:space="preserve"> De WHO ondersteunt en faciliteert partijen bij de ontwikkeling van basisvereisten en/of bij </w:t>
      </w:r>
      <w:r w:rsidR="00E91CA6">
        <w:rPr>
          <w:szCs w:val="18"/>
        </w:rPr>
        <w:t xml:space="preserve">de bestrijding van </w:t>
      </w:r>
      <w:r w:rsidRPr="001B0D24">
        <w:rPr>
          <w:szCs w:val="18"/>
        </w:rPr>
        <w:t xml:space="preserve">gezondheidscrises en kan een internationale noodsituatie uitroepen en daarbij aanbevelingen doen aan nationale staten. </w:t>
      </w:r>
    </w:p>
    <w:p w:rsidRPr="001B0D24" w:rsidR="002F3C96" w:rsidP="00CC5B83" w:rsidRDefault="002F3C96" w14:paraId="20D61108" w14:textId="77777777">
      <w:pPr>
        <w:spacing w:line="269" w:lineRule="auto"/>
        <w:rPr>
          <w:szCs w:val="18"/>
        </w:rPr>
      </w:pPr>
    </w:p>
    <w:p w:rsidRPr="001B0D24" w:rsidR="002C2E98" w:rsidP="00CC5B83" w:rsidRDefault="00503E0B" w14:paraId="4F5813D5" w14:textId="77777777">
      <w:pPr>
        <w:spacing w:line="269" w:lineRule="auto"/>
        <w:rPr>
          <w:szCs w:val="18"/>
        </w:rPr>
      </w:pPr>
      <w:r w:rsidRPr="005211C8">
        <w:rPr>
          <w:szCs w:val="18"/>
        </w:rPr>
        <w:t xml:space="preserve">De wijzigingen zoals aangenomen door de WHA77 zien </w:t>
      </w:r>
      <w:r w:rsidRPr="005211C8" w:rsidR="00D04A24">
        <w:rPr>
          <w:szCs w:val="18"/>
        </w:rPr>
        <w:t xml:space="preserve">op </w:t>
      </w:r>
      <w:r w:rsidRPr="005211C8">
        <w:rPr>
          <w:szCs w:val="18"/>
        </w:rPr>
        <w:t>31 van de 66 artikelen van de IHR</w:t>
      </w:r>
      <w:r w:rsidRPr="005211C8" w:rsidR="00640009">
        <w:rPr>
          <w:szCs w:val="18"/>
        </w:rPr>
        <w:t xml:space="preserve">, waarvan een deel zich richt op lidstaten en een ander deel op de taken en rol van de WHO. </w:t>
      </w:r>
      <w:r w:rsidRPr="005211C8">
        <w:rPr>
          <w:szCs w:val="18"/>
        </w:rPr>
        <w:t>De</w:t>
      </w:r>
      <w:r w:rsidRPr="005211C8" w:rsidR="00640009">
        <w:rPr>
          <w:szCs w:val="18"/>
        </w:rPr>
        <w:t xml:space="preserve"> wijzigingen </w:t>
      </w:r>
      <w:r w:rsidRPr="005211C8">
        <w:rPr>
          <w:szCs w:val="18"/>
        </w:rPr>
        <w:t xml:space="preserve">variëren van kleine technische aanpassingen van bestaande bepalingen tot </w:t>
      </w:r>
      <w:r w:rsidRPr="005211C8" w:rsidR="009D64B4">
        <w:rPr>
          <w:szCs w:val="18"/>
        </w:rPr>
        <w:t xml:space="preserve">een </w:t>
      </w:r>
      <w:r w:rsidRPr="005211C8" w:rsidR="00E91CA6">
        <w:rPr>
          <w:szCs w:val="18"/>
        </w:rPr>
        <w:t xml:space="preserve">enkele </w:t>
      </w:r>
      <w:r w:rsidRPr="005211C8">
        <w:rPr>
          <w:szCs w:val="18"/>
        </w:rPr>
        <w:t xml:space="preserve">uitgebreidere toevoeging. Een meer </w:t>
      </w:r>
      <w:r w:rsidRPr="005211C8" w:rsidR="002F3C96">
        <w:rPr>
          <w:szCs w:val="18"/>
        </w:rPr>
        <w:t>substantiële</w:t>
      </w:r>
      <w:r w:rsidRPr="005211C8">
        <w:rPr>
          <w:szCs w:val="18"/>
        </w:rPr>
        <w:t xml:space="preserve"> </w:t>
      </w:r>
      <w:r w:rsidRPr="005211C8" w:rsidR="00055FFE">
        <w:rPr>
          <w:szCs w:val="18"/>
        </w:rPr>
        <w:t>toevoeging</w:t>
      </w:r>
      <w:r w:rsidRPr="005211C8" w:rsidR="00640009">
        <w:rPr>
          <w:szCs w:val="18"/>
        </w:rPr>
        <w:t xml:space="preserve"> </w:t>
      </w:r>
      <w:r w:rsidRPr="005211C8">
        <w:rPr>
          <w:szCs w:val="18"/>
        </w:rPr>
        <w:t xml:space="preserve">is </w:t>
      </w:r>
      <w:r w:rsidRPr="005211C8" w:rsidR="00055FFE">
        <w:rPr>
          <w:szCs w:val="18"/>
        </w:rPr>
        <w:t xml:space="preserve">de introductie van een </w:t>
      </w:r>
      <w:r w:rsidRPr="005211C8">
        <w:rPr>
          <w:szCs w:val="18"/>
        </w:rPr>
        <w:t>(</w:t>
      </w:r>
      <w:r w:rsidRPr="005211C8">
        <w:rPr>
          <w:color w:val="231F20"/>
          <w:szCs w:val="18"/>
        </w:rPr>
        <w:t xml:space="preserve">definitie van </w:t>
      </w:r>
      <w:r w:rsidRPr="005211C8">
        <w:rPr>
          <w:color w:val="231F20"/>
          <w:szCs w:val="18"/>
        </w:rPr>
        <w:t>een</w:t>
      </w:r>
      <w:r w:rsidR="00486C5E">
        <w:rPr>
          <w:color w:val="231F20"/>
          <w:szCs w:val="18"/>
        </w:rPr>
        <w:t>)</w:t>
      </w:r>
      <w:r w:rsidRPr="005211C8">
        <w:rPr>
          <w:color w:val="231F20"/>
          <w:szCs w:val="18"/>
        </w:rPr>
        <w:t xml:space="preserve"> pandemische noodsituatie </w:t>
      </w:r>
      <w:r w:rsidRPr="005211C8">
        <w:rPr>
          <w:szCs w:val="18"/>
        </w:rPr>
        <w:t>in het crisis</w:t>
      </w:r>
      <w:r w:rsidRPr="005211C8" w:rsidR="00CA4DE7">
        <w:rPr>
          <w:szCs w:val="18"/>
        </w:rPr>
        <w:t xml:space="preserve"> </w:t>
      </w:r>
      <w:r w:rsidRPr="005211C8">
        <w:rPr>
          <w:szCs w:val="18"/>
        </w:rPr>
        <w:t xml:space="preserve">escalatiemechanisme van de IHR, dit </w:t>
      </w:r>
      <w:r w:rsidRPr="005211C8" w:rsidR="00055FFE">
        <w:rPr>
          <w:szCs w:val="18"/>
        </w:rPr>
        <w:t>in aanvulling op de</w:t>
      </w:r>
      <w:r w:rsidRPr="005211C8">
        <w:rPr>
          <w:szCs w:val="18"/>
        </w:rPr>
        <w:t xml:space="preserve"> al bestaande </w:t>
      </w:r>
      <w:r w:rsidRPr="005211C8" w:rsidR="00A86EB2">
        <w:rPr>
          <w:szCs w:val="18"/>
        </w:rPr>
        <w:t>noodsituatie op het gebied van de volksgezondheid van internationaal belang</w:t>
      </w:r>
      <w:r w:rsidRPr="005211C8" w:rsidR="00055FFE">
        <w:rPr>
          <w:szCs w:val="18"/>
        </w:rPr>
        <w:t xml:space="preserve"> (PHEIC)</w:t>
      </w:r>
      <w:r w:rsidRPr="005211C8">
        <w:rPr>
          <w:szCs w:val="18"/>
        </w:rPr>
        <w:t>.</w:t>
      </w:r>
      <w:r>
        <w:rPr>
          <w:rStyle w:val="Voetnootmarkering"/>
          <w:color w:val="231F20"/>
          <w:szCs w:val="18"/>
        </w:rPr>
        <w:footnoteReference w:id="11"/>
      </w:r>
      <w:r w:rsidRPr="005211C8" w:rsidR="002F3C96">
        <w:rPr>
          <w:szCs w:val="18"/>
        </w:rPr>
        <w:t xml:space="preserve"> Hiermee kan beter onderscheid gemaakt worden tussen een PHEIC rondom een ernstige infectieziekte in één of meer regio’s, zoals mpox en Ebola, en een PHEIC rondom een grootschalige uitbraak die (a) een hoog risico in zich draagt op brede geografische verspreiding in meerdere landen; (b) de capaciteit van nationale zorgsystemen dreigt te overstijgen of al overstijgt; (c) een hoge mate van sociale en/of economische verstoring kan veroorzaken of al veroorzaakt, inclusief van het internationale verkeer en handel, en; (d) een sn</w:t>
      </w:r>
      <w:r w:rsidR="005211C8">
        <w:rPr>
          <w:szCs w:val="18"/>
        </w:rPr>
        <w:t>elle, gecoördineerde en integrale aanpak vereist.</w:t>
      </w:r>
    </w:p>
    <w:p w:rsidRPr="001B0D24" w:rsidR="002C2E98" w:rsidP="00CC5B83" w:rsidRDefault="002C2E98" w14:paraId="00FDA780" w14:textId="77777777">
      <w:pPr>
        <w:spacing w:line="269" w:lineRule="auto"/>
        <w:rPr>
          <w:szCs w:val="18"/>
        </w:rPr>
      </w:pPr>
    </w:p>
    <w:p w:rsidRPr="001B0D24" w:rsidR="00640009" w:rsidP="00CC5B83" w:rsidRDefault="00503E0B" w14:paraId="1E0F9A2A" w14:textId="77777777">
      <w:pPr>
        <w:spacing w:line="269" w:lineRule="auto"/>
        <w:rPr>
          <w:color w:val="231F20"/>
          <w:szCs w:val="18"/>
        </w:rPr>
      </w:pPr>
      <w:r w:rsidRPr="001B0D24">
        <w:rPr>
          <w:szCs w:val="18"/>
        </w:rPr>
        <w:t xml:space="preserve">Een tweede toevoeging betreft </w:t>
      </w:r>
      <w:r w:rsidRPr="001B0D24" w:rsidR="00055FFE">
        <w:rPr>
          <w:szCs w:val="18"/>
        </w:rPr>
        <w:t>het versterken van de internationale samenwerking en faciliterende rol van de WHO rondom de beschikbaarheid van medische producten bij een gezondheidscrisis.</w:t>
      </w:r>
      <w:r w:rsidRPr="001B0D24">
        <w:rPr>
          <w:szCs w:val="18"/>
        </w:rPr>
        <w:t xml:space="preserve"> Dit kan zij</w:t>
      </w:r>
      <w:r w:rsidR="00232BD1">
        <w:rPr>
          <w:szCs w:val="18"/>
        </w:rPr>
        <w:t>n</w:t>
      </w:r>
      <w:r w:rsidRPr="001B0D24">
        <w:rPr>
          <w:szCs w:val="18"/>
        </w:rPr>
        <w:t xml:space="preserve"> door tijdens een PHEIC of pandemie de behoefte aan dergelijke producten in kaart te brengen; de toegankelijkheid en beschikbaarheid daartoe te faciliteren; lokale productie van producten helpen op te schalen; </w:t>
      </w:r>
      <w:r w:rsidR="007B6D32">
        <w:rPr>
          <w:szCs w:val="18"/>
        </w:rPr>
        <w:t xml:space="preserve">regelgevende </w:t>
      </w:r>
      <w:r w:rsidRPr="001B0D24">
        <w:rPr>
          <w:szCs w:val="18"/>
        </w:rPr>
        <w:t xml:space="preserve">knelpunten helpen </w:t>
      </w:r>
      <w:r w:rsidR="00232BD1">
        <w:rPr>
          <w:szCs w:val="18"/>
        </w:rPr>
        <w:t>op</w:t>
      </w:r>
      <w:r w:rsidR="00486C5E">
        <w:rPr>
          <w:szCs w:val="18"/>
        </w:rPr>
        <w:t xml:space="preserve"> te </w:t>
      </w:r>
      <w:r w:rsidR="00232BD1">
        <w:rPr>
          <w:szCs w:val="18"/>
        </w:rPr>
        <w:t>lossen</w:t>
      </w:r>
      <w:r w:rsidR="00486C5E">
        <w:rPr>
          <w:szCs w:val="18"/>
        </w:rPr>
        <w:t>;</w:t>
      </w:r>
      <w:r w:rsidRPr="001B0D24">
        <w:rPr>
          <w:szCs w:val="18"/>
        </w:rPr>
        <w:t xml:space="preserve"> en onderzoek en ontwikkeling </w:t>
      </w:r>
      <w:r w:rsidR="00486C5E">
        <w:rPr>
          <w:szCs w:val="18"/>
        </w:rPr>
        <w:t xml:space="preserve">te </w:t>
      </w:r>
      <w:r w:rsidRPr="001B0D24">
        <w:rPr>
          <w:szCs w:val="18"/>
        </w:rPr>
        <w:t>stimuleren.</w:t>
      </w:r>
      <w:r>
        <w:rPr>
          <w:rStyle w:val="Voetnootmarkering"/>
          <w:szCs w:val="18"/>
        </w:rPr>
        <w:footnoteReference w:id="12"/>
      </w:r>
      <w:r w:rsidRPr="001B0D24">
        <w:rPr>
          <w:szCs w:val="18"/>
        </w:rPr>
        <w:t xml:space="preserve"> Partijen bij de IHR hebben op hun beurt afgesproken zich tijdens een crisis solidair op te stellen naar elkaar </w:t>
      </w:r>
      <w:r w:rsidR="007B6D32">
        <w:rPr>
          <w:szCs w:val="18"/>
        </w:rPr>
        <w:t xml:space="preserve">en </w:t>
      </w:r>
      <w:r w:rsidRPr="001B0D24">
        <w:rPr>
          <w:szCs w:val="18"/>
        </w:rPr>
        <w:t>WHO activiteiten te ondersteunen.</w:t>
      </w:r>
      <w:r>
        <w:rPr>
          <w:rStyle w:val="Voetnootmarkering"/>
          <w:szCs w:val="18"/>
        </w:rPr>
        <w:footnoteReference w:id="13"/>
      </w:r>
      <w:r w:rsidRPr="001B0D24">
        <w:rPr>
          <w:szCs w:val="18"/>
        </w:rPr>
        <w:t xml:space="preserve"> Dit voor zover wettelijk mogelijk en afhankelijk van beschikbare middelen. </w:t>
      </w:r>
      <w:r w:rsidRPr="001B0D24">
        <w:rPr>
          <w:color w:val="231F20"/>
          <w:szCs w:val="18"/>
        </w:rPr>
        <w:t>Van (mondiale) vervoerders van passagiers en goederen wordt verwacht dat zij aanvullende maatregelen nemen rondom het voorkomen en/of bestrijden van infectieziekten, door gezondheidsmaatregelen die tijdens een internationale gezondheidscrisis door WHO zijn afgekondigd niet alleen aan boord van een vaartuig of vliegtuig toe te passen, maar ook bij het in- en uitstappen.</w:t>
      </w:r>
      <w:r>
        <w:rPr>
          <w:rStyle w:val="Voetnootmarkering"/>
          <w:color w:val="231F20"/>
          <w:szCs w:val="18"/>
        </w:rPr>
        <w:footnoteReference w:id="14"/>
      </w:r>
    </w:p>
    <w:p w:rsidRPr="001B0D24" w:rsidR="00D916DF" w:rsidP="00CC5B83" w:rsidRDefault="00D916DF" w14:paraId="579A0DBB" w14:textId="77777777">
      <w:pPr>
        <w:spacing w:line="269" w:lineRule="auto"/>
        <w:rPr>
          <w:szCs w:val="18"/>
        </w:rPr>
      </w:pPr>
    </w:p>
    <w:p w:rsidRPr="001B0D24" w:rsidR="00640009" w:rsidP="00CC5B83" w:rsidRDefault="00503E0B" w14:paraId="4C0DA76C" w14:textId="77777777">
      <w:pPr>
        <w:spacing w:line="269" w:lineRule="auto"/>
        <w:rPr>
          <w:color w:val="231F20"/>
          <w:szCs w:val="18"/>
        </w:rPr>
      </w:pPr>
      <w:r w:rsidRPr="001B0D24">
        <w:rPr>
          <w:color w:val="231F20"/>
          <w:szCs w:val="18"/>
        </w:rPr>
        <w:lastRenderedPageBreak/>
        <w:t xml:space="preserve">Een wijziging die gericht </w:t>
      </w:r>
      <w:r w:rsidR="00E91CA6">
        <w:rPr>
          <w:color w:val="231F20"/>
          <w:szCs w:val="18"/>
        </w:rPr>
        <w:t xml:space="preserve">is op </w:t>
      </w:r>
      <w:r w:rsidRPr="001B0D24">
        <w:rPr>
          <w:color w:val="231F20"/>
          <w:szCs w:val="18"/>
        </w:rPr>
        <w:t xml:space="preserve">partijen bij de IHR betreft de bepaling dat zij een nationale IHR-autoriteit dienen te benoemen die verantwoordelijk is voor de </w:t>
      </w:r>
      <w:r w:rsidRPr="001B0D24">
        <w:rPr>
          <w:color w:val="231F20"/>
          <w:szCs w:val="18"/>
        </w:rPr>
        <w:t>implementatie van de IHR. Het is aan de staten zelf om te bepalen of dat het reeds bestaande IHR-nationale contactpunt is.</w:t>
      </w:r>
      <w:r>
        <w:rPr>
          <w:rStyle w:val="Voetnootmarkering"/>
          <w:color w:val="231F20"/>
          <w:szCs w:val="18"/>
        </w:rPr>
        <w:footnoteReference w:id="15"/>
      </w:r>
      <w:r w:rsidRPr="001B0D24">
        <w:rPr>
          <w:color w:val="231F20"/>
          <w:szCs w:val="18"/>
        </w:rPr>
        <w:t xml:space="preserve"> Enkele op het oog kleine, maar niet onbelangrijke aanvullingen </w:t>
      </w:r>
      <w:r w:rsidR="007B6D32">
        <w:rPr>
          <w:color w:val="231F20"/>
          <w:szCs w:val="18"/>
        </w:rPr>
        <w:t xml:space="preserve">zijn </w:t>
      </w:r>
      <w:r w:rsidR="009D64B4">
        <w:rPr>
          <w:color w:val="231F20"/>
          <w:szCs w:val="18"/>
        </w:rPr>
        <w:t xml:space="preserve">de </w:t>
      </w:r>
      <w:r w:rsidR="00E91CA6">
        <w:rPr>
          <w:color w:val="231F20"/>
          <w:szCs w:val="18"/>
        </w:rPr>
        <w:t xml:space="preserve">versterking van bepalingen over </w:t>
      </w:r>
      <w:r w:rsidRPr="001B0D24">
        <w:rPr>
          <w:color w:val="231F20"/>
          <w:szCs w:val="18"/>
        </w:rPr>
        <w:t xml:space="preserve">het </w:t>
      </w:r>
      <w:r w:rsidR="00E91CA6">
        <w:rPr>
          <w:color w:val="231F20"/>
          <w:szCs w:val="18"/>
        </w:rPr>
        <w:t>vroeg</w:t>
      </w:r>
      <w:r w:rsidRPr="001B0D24">
        <w:rPr>
          <w:color w:val="231F20"/>
          <w:szCs w:val="18"/>
        </w:rPr>
        <w:t>tijdig (vertrouwelijk) delen van informatie</w:t>
      </w:r>
      <w:r w:rsidR="00E91CA6">
        <w:rPr>
          <w:color w:val="231F20"/>
          <w:szCs w:val="18"/>
        </w:rPr>
        <w:t xml:space="preserve"> door staten</w:t>
      </w:r>
      <w:r w:rsidRPr="001B0D24">
        <w:rPr>
          <w:color w:val="231F20"/>
          <w:szCs w:val="18"/>
        </w:rPr>
        <w:t xml:space="preserve"> met </w:t>
      </w:r>
      <w:r w:rsidR="007B6D32">
        <w:rPr>
          <w:color w:val="231F20"/>
          <w:szCs w:val="18"/>
        </w:rPr>
        <w:t xml:space="preserve">de </w:t>
      </w:r>
      <w:r w:rsidRPr="001B0D24">
        <w:rPr>
          <w:color w:val="231F20"/>
          <w:szCs w:val="18"/>
        </w:rPr>
        <w:t xml:space="preserve">WHO over incidenten waar nog onvoldoende </w:t>
      </w:r>
      <w:r w:rsidR="005211C8">
        <w:rPr>
          <w:color w:val="231F20"/>
          <w:szCs w:val="18"/>
        </w:rPr>
        <w:t xml:space="preserve">epidemiologische gegevens </w:t>
      </w:r>
      <w:r w:rsidRPr="001B0D24">
        <w:rPr>
          <w:color w:val="231F20"/>
          <w:szCs w:val="18"/>
        </w:rPr>
        <w:t>over beschikbaar</w:t>
      </w:r>
      <w:r w:rsidR="005211C8">
        <w:rPr>
          <w:color w:val="231F20"/>
          <w:szCs w:val="18"/>
        </w:rPr>
        <w:t xml:space="preserve"> zijn</w:t>
      </w:r>
      <w:r w:rsidRPr="001B0D24">
        <w:rPr>
          <w:color w:val="231F20"/>
          <w:szCs w:val="18"/>
        </w:rPr>
        <w:t xml:space="preserve">. Daarnaast wordt </w:t>
      </w:r>
      <w:r w:rsidR="009D64B4">
        <w:rPr>
          <w:color w:val="231F20"/>
          <w:szCs w:val="18"/>
        </w:rPr>
        <w:t xml:space="preserve">de </w:t>
      </w:r>
      <w:r w:rsidRPr="001B0D24">
        <w:rPr>
          <w:color w:val="231F20"/>
          <w:szCs w:val="18"/>
        </w:rPr>
        <w:t xml:space="preserve">WHO verplicht om </w:t>
      </w:r>
      <w:r w:rsidR="00E91CA6">
        <w:rPr>
          <w:color w:val="231F20"/>
          <w:szCs w:val="18"/>
        </w:rPr>
        <w:t xml:space="preserve">wanneer er zich in staten </w:t>
      </w:r>
      <w:r w:rsidRPr="001B0D24">
        <w:rPr>
          <w:color w:val="231F20"/>
          <w:szCs w:val="18"/>
        </w:rPr>
        <w:t>situaties ontwikkelen waar</w:t>
      </w:r>
      <w:r w:rsidR="00E91CA6">
        <w:rPr>
          <w:color w:val="231F20"/>
          <w:szCs w:val="18"/>
        </w:rPr>
        <w:t>bij er zich</w:t>
      </w:r>
      <w:r w:rsidRPr="001B0D24">
        <w:rPr>
          <w:color w:val="231F20"/>
          <w:szCs w:val="18"/>
        </w:rPr>
        <w:t xml:space="preserve"> substantiële gezondheidsrisico’s voordoen, beschikbare informatie te delen met andere staten.</w:t>
      </w:r>
      <w:r>
        <w:rPr>
          <w:rStyle w:val="Voetnootmarkering"/>
          <w:color w:val="231F20"/>
          <w:szCs w:val="18"/>
        </w:rPr>
        <w:footnoteReference w:id="16"/>
      </w:r>
      <w:r w:rsidRPr="001B0D24">
        <w:rPr>
          <w:color w:val="231F20"/>
          <w:szCs w:val="18"/>
        </w:rPr>
        <w:t xml:space="preserve"> </w:t>
      </w:r>
    </w:p>
    <w:p w:rsidRPr="001B0D24" w:rsidR="00640009" w:rsidP="00CC5B83" w:rsidRDefault="00640009" w14:paraId="42DCAC5B" w14:textId="77777777">
      <w:pPr>
        <w:spacing w:line="269" w:lineRule="auto"/>
        <w:rPr>
          <w:color w:val="231F20"/>
          <w:szCs w:val="18"/>
        </w:rPr>
      </w:pPr>
    </w:p>
    <w:p w:rsidRPr="001B0D24" w:rsidR="00640009" w:rsidP="00CC5B83" w:rsidRDefault="00503E0B" w14:paraId="26CCFBE6" w14:textId="77777777">
      <w:pPr>
        <w:spacing w:line="269" w:lineRule="auto"/>
        <w:rPr>
          <w:szCs w:val="18"/>
        </w:rPr>
      </w:pPr>
      <w:r>
        <w:rPr>
          <w:color w:val="231F20"/>
          <w:szCs w:val="18"/>
        </w:rPr>
        <w:t>T</w:t>
      </w:r>
      <w:r w:rsidR="00E91CA6">
        <w:rPr>
          <w:color w:val="231F20"/>
          <w:szCs w:val="18"/>
        </w:rPr>
        <w:t xml:space="preserve">ijdens de onderhandelingen </w:t>
      </w:r>
      <w:r>
        <w:rPr>
          <w:color w:val="231F20"/>
          <w:szCs w:val="18"/>
        </w:rPr>
        <w:t xml:space="preserve">is veel gesproken over </w:t>
      </w:r>
      <w:r w:rsidRPr="001B0D24">
        <w:rPr>
          <w:color w:val="231F20"/>
          <w:szCs w:val="18"/>
        </w:rPr>
        <w:t>de beschikbaarheid van financiering voor de implementatie van de IHR</w:t>
      </w:r>
      <w:r w:rsidR="00E91CA6">
        <w:rPr>
          <w:color w:val="231F20"/>
          <w:szCs w:val="18"/>
        </w:rPr>
        <w:t xml:space="preserve"> op nationaal niveau </w:t>
      </w:r>
      <w:r>
        <w:rPr>
          <w:color w:val="231F20"/>
          <w:szCs w:val="18"/>
        </w:rPr>
        <w:t xml:space="preserve">en </w:t>
      </w:r>
      <w:r w:rsidRPr="001B0D24">
        <w:rPr>
          <w:color w:val="231F20"/>
          <w:szCs w:val="18"/>
        </w:rPr>
        <w:t>het bijeenbrengen van middelen voor de ondersteuning van ontwikkelingslanden. Staten worden geacht hun nationale financiering voor de implementatie van de IHR minstens op adequaat niveau te houden, dit vanzelfsprekend op basis van geldende wettelijke bepalingen en de beschikbaarheid van middelen.</w:t>
      </w:r>
      <w:r>
        <w:rPr>
          <w:rStyle w:val="Voetnootmarkering"/>
          <w:color w:val="231F20"/>
          <w:szCs w:val="18"/>
        </w:rPr>
        <w:footnoteReference w:id="17"/>
      </w:r>
      <w:r w:rsidRPr="001B0D24">
        <w:rPr>
          <w:color w:val="231F20"/>
          <w:szCs w:val="18"/>
        </w:rPr>
        <w:t xml:space="preserve"> Daarnaast wordt de internationale samenwerking versterkt, onder meer door de oprichting van een financieel coördinatiemechanisme dat een rol moet gaan spelen in het efficiënter en gerichter </w:t>
      </w:r>
      <w:r>
        <w:rPr>
          <w:color w:val="231F20"/>
          <w:szCs w:val="18"/>
        </w:rPr>
        <w:t xml:space="preserve">verdelen </w:t>
      </w:r>
      <w:r w:rsidRPr="001B0D24">
        <w:rPr>
          <w:color w:val="231F20"/>
          <w:szCs w:val="18"/>
        </w:rPr>
        <w:t>van internationaal beschikbare middelen om met name ontwikkelingslanden te ondersteunen bij de implementatie van de IHR. Geen van de bepalingen leidt tot direct</w:t>
      </w:r>
      <w:r w:rsidR="00E91CA6">
        <w:rPr>
          <w:color w:val="231F20"/>
          <w:szCs w:val="18"/>
        </w:rPr>
        <w:t>e</w:t>
      </w:r>
      <w:r w:rsidRPr="001B0D24">
        <w:rPr>
          <w:color w:val="231F20"/>
          <w:szCs w:val="18"/>
        </w:rPr>
        <w:t xml:space="preserve"> financiële verplichtingen voor staten die partij zijn bij de IHR.</w:t>
      </w:r>
    </w:p>
    <w:p w:rsidRPr="001B0D24" w:rsidR="00F60035" w:rsidP="00CC5B83" w:rsidRDefault="00F60035" w14:paraId="20E85C0E" w14:textId="77777777">
      <w:pPr>
        <w:spacing w:line="269" w:lineRule="auto"/>
        <w:rPr>
          <w:szCs w:val="18"/>
        </w:rPr>
      </w:pPr>
    </w:p>
    <w:p w:rsidRPr="001B0D24" w:rsidR="002C2E98" w:rsidP="00CC5B83" w:rsidRDefault="00503E0B" w14:paraId="0D205317" w14:textId="77777777">
      <w:pPr>
        <w:spacing w:line="269" w:lineRule="auto"/>
        <w:rPr>
          <w:szCs w:val="18"/>
        </w:rPr>
      </w:pPr>
      <w:r w:rsidRPr="001B0D24">
        <w:rPr>
          <w:szCs w:val="18"/>
        </w:rPr>
        <w:t xml:space="preserve">In tabel 1 in de bijlage bij deze brief is ter informatie van uw Kamer een overzicht opgenomen van </w:t>
      </w:r>
      <w:r w:rsidR="00E91CA6">
        <w:rPr>
          <w:szCs w:val="18"/>
        </w:rPr>
        <w:t xml:space="preserve">de </w:t>
      </w:r>
      <w:r w:rsidRPr="001B0D24">
        <w:rPr>
          <w:szCs w:val="18"/>
        </w:rPr>
        <w:t xml:space="preserve">wijzigingen </w:t>
      </w:r>
      <w:r w:rsidR="00543031">
        <w:rPr>
          <w:szCs w:val="18"/>
        </w:rPr>
        <w:t xml:space="preserve">die zijn aangenomen </w:t>
      </w:r>
      <w:r w:rsidRPr="001B0D24">
        <w:rPr>
          <w:szCs w:val="18"/>
        </w:rPr>
        <w:t xml:space="preserve">van de IHR, voorzien van een korte toelichting. Dit is een niet uitputtend overzicht. In de memorie van toelichting </w:t>
      </w:r>
      <w:r w:rsidR="00543031">
        <w:rPr>
          <w:szCs w:val="18"/>
        </w:rPr>
        <w:t xml:space="preserve">bij het voor te leggen voorstel van rijkswet </w:t>
      </w:r>
      <w:r w:rsidR="00FE549A">
        <w:rPr>
          <w:szCs w:val="18"/>
        </w:rPr>
        <w:t xml:space="preserve">en de memorie van toelichting </w:t>
      </w:r>
      <w:r w:rsidR="007B6D32">
        <w:rPr>
          <w:szCs w:val="18"/>
        </w:rPr>
        <w:t xml:space="preserve">zal </w:t>
      </w:r>
      <w:r w:rsidRPr="001B0D24">
        <w:rPr>
          <w:szCs w:val="18"/>
        </w:rPr>
        <w:t>meer gedetailleerd</w:t>
      </w:r>
      <w:r w:rsidR="00543031">
        <w:rPr>
          <w:szCs w:val="18"/>
        </w:rPr>
        <w:t xml:space="preserve"> worden ingegaan op de wijzigingen</w:t>
      </w:r>
      <w:r w:rsidRPr="001B0D24">
        <w:rPr>
          <w:szCs w:val="18"/>
        </w:rPr>
        <w:t>.</w:t>
      </w:r>
      <w:r w:rsidR="00FE549A">
        <w:rPr>
          <w:szCs w:val="18"/>
        </w:rPr>
        <w:br/>
      </w:r>
    </w:p>
    <w:p w:rsidRPr="006A3EC9" w:rsidR="008008DF" w:rsidP="00CC5B83" w:rsidRDefault="00503E0B" w14:paraId="2C205034" w14:textId="77777777">
      <w:pPr>
        <w:pStyle w:val="Lijstalinea"/>
        <w:numPr>
          <w:ilvl w:val="0"/>
          <w:numId w:val="5"/>
        </w:numPr>
        <w:spacing w:after="120" w:line="269" w:lineRule="auto"/>
        <w:ind w:left="527" w:hanging="357"/>
        <w:rPr>
          <w:b/>
          <w:bCs/>
          <w:szCs w:val="18"/>
        </w:rPr>
      </w:pPr>
      <w:r w:rsidRPr="006A3EC9">
        <w:rPr>
          <w:b/>
          <w:bCs/>
          <w:szCs w:val="18"/>
        </w:rPr>
        <w:t>Stand van zaken onderhandelingen over het pandemie-instrument</w:t>
      </w:r>
      <w:r w:rsidRPr="006A3EC9" w:rsidR="000F34E0">
        <w:rPr>
          <w:b/>
          <w:bCs/>
          <w:szCs w:val="18"/>
        </w:rPr>
        <w:t xml:space="preserve"> </w:t>
      </w:r>
    </w:p>
    <w:p w:rsidRPr="001B0D24" w:rsidR="00E91CA6" w:rsidP="00CC5B83" w:rsidRDefault="00503E0B" w14:paraId="6EB1B33B" w14:textId="77777777">
      <w:pPr>
        <w:spacing w:line="269" w:lineRule="auto"/>
        <w:rPr>
          <w:szCs w:val="18"/>
        </w:rPr>
      </w:pPr>
      <w:r w:rsidRPr="001B0D24">
        <w:rPr>
          <w:szCs w:val="18"/>
        </w:rPr>
        <w:t xml:space="preserve">Zoals toegezegd tijdens het Commissiedebat over de </w:t>
      </w:r>
      <w:r w:rsidR="009A0A15">
        <w:rPr>
          <w:szCs w:val="18"/>
        </w:rPr>
        <w:t>Gezondheidsraad</w:t>
      </w:r>
      <w:r w:rsidRPr="001B0D24">
        <w:rPr>
          <w:szCs w:val="18"/>
        </w:rPr>
        <w:t xml:space="preserve"> op </w:t>
      </w:r>
      <w:r w:rsidR="009A0A15">
        <w:rPr>
          <w:szCs w:val="18"/>
        </w:rPr>
        <w:t>20</w:t>
      </w:r>
      <w:r w:rsidRPr="001B0D24">
        <w:rPr>
          <w:szCs w:val="18"/>
        </w:rPr>
        <w:t xml:space="preserve"> november</w:t>
      </w:r>
      <w:r w:rsidR="009A0A15">
        <w:rPr>
          <w:szCs w:val="18"/>
        </w:rPr>
        <w:t xml:space="preserve"> 2024</w:t>
      </w:r>
      <w:r w:rsidRPr="001B0D24">
        <w:rPr>
          <w:szCs w:val="18"/>
        </w:rPr>
        <w:t xml:space="preserve">, wil ik uw Kamer informeren over de laatste stand van zaken </w:t>
      </w:r>
      <w:r w:rsidR="007B6D32">
        <w:rPr>
          <w:szCs w:val="18"/>
        </w:rPr>
        <w:t>van</w:t>
      </w:r>
      <w:r w:rsidRPr="001B0D24" w:rsidR="007B6D32">
        <w:rPr>
          <w:szCs w:val="18"/>
        </w:rPr>
        <w:t xml:space="preserve"> </w:t>
      </w:r>
      <w:r w:rsidRPr="001B0D24">
        <w:rPr>
          <w:szCs w:val="18"/>
        </w:rPr>
        <w:t>de onderhandelingen over het pandemie-instrument.</w:t>
      </w:r>
      <w:r>
        <w:rPr>
          <w:rStyle w:val="Voetnootmarkering"/>
          <w:szCs w:val="18"/>
        </w:rPr>
        <w:footnoteReference w:id="18"/>
      </w:r>
      <w:r w:rsidRPr="001B0D24">
        <w:rPr>
          <w:szCs w:val="18"/>
        </w:rPr>
        <w:t xml:space="preserve"> Het </w:t>
      </w:r>
      <w:r>
        <w:rPr>
          <w:szCs w:val="18"/>
        </w:rPr>
        <w:t>is</w:t>
      </w:r>
      <w:r w:rsidRPr="001B0D24">
        <w:rPr>
          <w:szCs w:val="18"/>
        </w:rPr>
        <w:t xml:space="preserve"> de onderhandelende lidstaten niet gelukt om voor de </w:t>
      </w:r>
      <w:r w:rsidR="009A0A15">
        <w:rPr>
          <w:szCs w:val="18"/>
        </w:rPr>
        <w:t>WHA77</w:t>
      </w:r>
      <w:r w:rsidRPr="001B0D24">
        <w:rPr>
          <w:szCs w:val="18"/>
        </w:rPr>
        <w:t xml:space="preserve"> van </w:t>
      </w:r>
      <w:r w:rsidRPr="001B0D24" w:rsidR="00640009">
        <w:rPr>
          <w:szCs w:val="18"/>
        </w:rPr>
        <w:t xml:space="preserve">mei </w:t>
      </w:r>
      <w:r w:rsidRPr="001B0D24">
        <w:rPr>
          <w:szCs w:val="18"/>
        </w:rPr>
        <w:t xml:space="preserve">2024 tot overeenstemming te komen over een definitieve tekst. </w:t>
      </w:r>
      <w:r w:rsidR="009A0A15">
        <w:rPr>
          <w:szCs w:val="18"/>
        </w:rPr>
        <w:t xml:space="preserve">De </w:t>
      </w:r>
      <w:r w:rsidRPr="001B0D24">
        <w:rPr>
          <w:szCs w:val="18"/>
        </w:rPr>
        <w:t xml:space="preserve">WHO-lidstaten </w:t>
      </w:r>
      <w:r w:rsidR="009A0A15">
        <w:rPr>
          <w:szCs w:val="18"/>
        </w:rPr>
        <w:t xml:space="preserve">kwamen wel overeen dat </w:t>
      </w:r>
      <w:r w:rsidRPr="001B0D24">
        <w:rPr>
          <w:szCs w:val="18"/>
        </w:rPr>
        <w:t xml:space="preserve">dat het onderhandelingsproces met één jaar verlengd zal worden en dat de </w:t>
      </w:r>
      <w:r w:rsidR="009A0A15">
        <w:rPr>
          <w:szCs w:val="18"/>
        </w:rPr>
        <w:t>78</w:t>
      </w:r>
      <w:r w:rsidRPr="009A0A15" w:rsidR="009A0A15">
        <w:rPr>
          <w:szCs w:val="18"/>
          <w:vertAlign w:val="superscript"/>
        </w:rPr>
        <w:t>e</w:t>
      </w:r>
      <w:r w:rsidR="009A0A15">
        <w:rPr>
          <w:szCs w:val="18"/>
        </w:rPr>
        <w:t xml:space="preserve"> </w:t>
      </w:r>
      <w:r w:rsidRPr="001B0D24">
        <w:rPr>
          <w:szCs w:val="18"/>
        </w:rPr>
        <w:t xml:space="preserve">WHA in mei 2025 het eindpunt zal zijn, tenzij er eerder overeenstemming is bereikt. </w:t>
      </w:r>
      <w:r w:rsidR="009A0A15">
        <w:rPr>
          <w:szCs w:val="18"/>
        </w:rPr>
        <w:t xml:space="preserve">Ook werd de </w:t>
      </w:r>
      <w:r w:rsidRPr="001B0D24">
        <w:rPr>
          <w:szCs w:val="18"/>
        </w:rPr>
        <w:t xml:space="preserve">tussenstand van de </w:t>
      </w:r>
      <w:r w:rsidR="009A0A15">
        <w:rPr>
          <w:szCs w:val="18"/>
        </w:rPr>
        <w:t>onderhandelingen over de verdrags</w:t>
      </w:r>
      <w:r w:rsidRPr="001B0D24">
        <w:rPr>
          <w:szCs w:val="18"/>
        </w:rPr>
        <w:t>tekst openbaar gemaakt.</w:t>
      </w:r>
      <w:r>
        <w:rPr>
          <w:rStyle w:val="Voetnootmarkering"/>
          <w:szCs w:val="18"/>
        </w:rPr>
        <w:footnoteReference w:id="19"/>
      </w:r>
    </w:p>
    <w:p w:rsidR="00E91CA6" w:rsidP="00CC5B83" w:rsidRDefault="00E91CA6" w14:paraId="3235BE31" w14:textId="77777777">
      <w:pPr>
        <w:spacing w:line="269" w:lineRule="auto"/>
        <w:rPr>
          <w:szCs w:val="18"/>
        </w:rPr>
      </w:pPr>
    </w:p>
    <w:p w:rsidR="00423CEE" w:rsidP="00CC5B83" w:rsidRDefault="00503E0B" w14:paraId="52CE3D09" w14:textId="77777777">
      <w:pPr>
        <w:spacing w:line="269" w:lineRule="auto"/>
        <w:rPr>
          <w:szCs w:val="18"/>
        </w:rPr>
      </w:pPr>
      <w:r w:rsidRPr="001B0D24">
        <w:rPr>
          <w:szCs w:val="18"/>
        </w:rPr>
        <w:t>De afgelopen maanden zijn de onderhandelingen hervat en in november en december werd de 12</w:t>
      </w:r>
      <w:r w:rsidRPr="001B0D24">
        <w:rPr>
          <w:szCs w:val="18"/>
          <w:vertAlign w:val="superscript"/>
        </w:rPr>
        <w:t>e</w:t>
      </w:r>
      <w:r w:rsidRPr="001B0D24">
        <w:rPr>
          <w:szCs w:val="18"/>
        </w:rPr>
        <w:t xml:space="preserve"> onderhandelingsronde gehouden van de </w:t>
      </w:r>
      <w:r w:rsidRPr="00232BD1">
        <w:rPr>
          <w:i/>
          <w:iCs/>
          <w:szCs w:val="18"/>
        </w:rPr>
        <w:t>Intergovernmental Negotiating Body</w:t>
      </w:r>
      <w:r w:rsidRPr="001B0D24">
        <w:rPr>
          <w:szCs w:val="18"/>
        </w:rPr>
        <w:t xml:space="preserve"> (INB12). </w:t>
      </w:r>
      <w:r>
        <w:rPr>
          <w:szCs w:val="18"/>
        </w:rPr>
        <w:t>E</w:t>
      </w:r>
      <w:r w:rsidRPr="001B0D24" w:rsidR="001B0D24">
        <w:rPr>
          <w:szCs w:val="18"/>
        </w:rPr>
        <w:t xml:space="preserve">r </w:t>
      </w:r>
      <w:r>
        <w:rPr>
          <w:szCs w:val="18"/>
        </w:rPr>
        <w:t xml:space="preserve">werd </w:t>
      </w:r>
      <w:r w:rsidRPr="001B0D24" w:rsidR="00640009">
        <w:rPr>
          <w:szCs w:val="18"/>
        </w:rPr>
        <w:t xml:space="preserve">vooruitgang geboekt in verdragsartikelen over </w:t>
      </w:r>
      <w:r w:rsidRPr="001B0D24" w:rsidR="001B0D24">
        <w:rPr>
          <w:szCs w:val="18"/>
        </w:rPr>
        <w:t xml:space="preserve">versterking van gezondheidssystemen; versterking van de positie van relevante </w:t>
      </w:r>
    </w:p>
    <w:p w:rsidR="00423CEE" w:rsidP="00CC5B83" w:rsidRDefault="00423CEE" w14:paraId="4D0856F0" w14:textId="77777777">
      <w:pPr>
        <w:spacing w:line="269" w:lineRule="auto"/>
        <w:rPr>
          <w:szCs w:val="18"/>
        </w:rPr>
      </w:pPr>
    </w:p>
    <w:p w:rsidR="009A0A15" w:rsidP="00CC5B83" w:rsidRDefault="001B0D24" w14:paraId="53FC18C4" w14:textId="77777777">
      <w:pPr>
        <w:spacing w:line="269" w:lineRule="auto"/>
        <w:rPr>
          <w:szCs w:val="18"/>
        </w:rPr>
      </w:pPr>
      <w:r w:rsidRPr="001B0D24">
        <w:rPr>
          <w:szCs w:val="18"/>
        </w:rPr>
        <w:lastRenderedPageBreak/>
        <w:t xml:space="preserve">gezondheidswerkers; </w:t>
      </w:r>
      <w:r w:rsidRPr="001B0D24" w:rsidR="00640009">
        <w:rPr>
          <w:szCs w:val="18"/>
        </w:rPr>
        <w:t>onderzoek en ontwikkeling</w:t>
      </w:r>
      <w:r w:rsidRPr="001B0D24">
        <w:rPr>
          <w:szCs w:val="18"/>
        </w:rPr>
        <w:t>;</w:t>
      </w:r>
      <w:r w:rsidRPr="001B0D24" w:rsidR="00640009">
        <w:rPr>
          <w:szCs w:val="18"/>
        </w:rPr>
        <w:t xml:space="preserve"> lokale productie van </w:t>
      </w:r>
      <w:r w:rsidRPr="001B0D24">
        <w:rPr>
          <w:szCs w:val="18"/>
        </w:rPr>
        <w:t>medische producten, waaronder geneesmiddelen</w:t>
      </w:r>
      <w:r w:rsidR="006A3EC9">
        <w:rPr>
          <w:szCs w:val="18"/>
        </w:rPr>
        <w:t>;</w:t>
      </w:r>
      <w:r w:rsidRPr="001B0D24">
        <w:rPr>
          <w:szCs w:val="18"/>
        </w:rPr>
        <w:t xml:space="preserve"> en </w:t>
      </w:r>
      <w:r w:rsidRPr="001B0D24" w:rsidR="00640009">
        <w:rPr>
          <w:szCs w:val="18"/>
        </w:rPr>
        <w:t xml:space="preserve">versterking van </w:t>
      </w:r>
      <w:r w:rsidRPr="001B0D24">
        <w:rPr>
          <w:szCs w:val="18"/>
        </w:rPr>
        <w:t xml:space="preserve">regulatoire </w:t>
      </w:r>
      <w:r w:rsidRPr="001B0D24" w:rsidR="00640009">
        <w:rPr>
          <w:szCs w:val="18"/>
        </w:rPr>
        <w:t>systemen</w:t>
      </w:r>
      <w:r w:rsidRPr="001B0D24">
        <w:rPr>
          <w:szCs w:val="18"/>
        </w:rPr>
        <w:t xml:space="preserve">. Op een aantal belangrijke artikelen is </w:t>
      </w:r>
      <w:r w:rsidRPr="001B0D24" w:rsidR="00640009">
        <w:rPr>
          <w:szCs w:val="18"/>
        </w:rPr>
        <w:t xml:space="preserve">nog geen overeenstemming bereikt. </w:t>
      </w:r>
    </w:p>
    <w:p w:rsidR="006A3EC9" w:rsidP="00CC5B83" w:rsidRDefault="006A3EC9" w14:paraId="094F0068" w14:textId="77777777">
      <w:pPr>
        <w:spacing w:line="269" w:lineRule="auto"/>
        <w:rPr>
          <w:szCs w:val="18"/>
        </w:rPr>
      </w:pPr>
    </w:p>
    <w:p w:rsidRPr="001B0D24" w:rsidR="00640009" w:rsidP="00CC5B83" w:rsidRDefault="00503E0B" w14:paraId="36CF4A28" w14:textId="77777777">
      <w:pPr>
        <w:spacing w:line="269" w:lineRule="auto"/>
        <w:rPr>
          <w:szCs w:val="18"/>
        </w:rPr>
      </w:pPr>
      <w:r w:rsidRPr="001B0D24">
        <w:rPr>
          <w:szCs w:val="18"/>
        </w:rPr>
        <w:t xml:space="preserve">Het gaat hier onder meer om afspraken over preventie en zoönose, over de overdracht van technologische </w:t>
      </w:r>
      <w:r w:rsidRPr="001B0D24" w:rsidR="00EB61FA">
        <w:rPr>
          <w:szCs w:val="18"/>
        </w:rPr>
        <w:t>knowhow</w:t>
      </w:r>
      <w:r w:rsidRPr="001B0D24">
        <w:rPr>
          <w:szCs w:val="18"/>
        </w:rPr>
        <w:t xml:space="preserve"> van medische producten tijdens een pandemie en over verbeterde samenwerking rondom de beschikbaarheid van medische producten en mondiale </w:t>
      </w:r>
      <w:r w:rsidRPr="001B0D24" w:rsidR="00EB61FA">
        <w:rPr>
          <w:szCs w:val="18"/>
        </w:rPr>
        <w:t>toeleveringsketens.</w:t>
      </w:r>
      <w:r w:rsidRPr="001B0D24">
        <w:rPr>
          <w:szCs w:val="18"/>
        </w:rPr>
        <w:t xml:space="preserve"> Daarnaast gaat het om aansluiting op het onder de IHR opgerichte financieel coördinatiemechanisme en de (on)mogelijkheden rondom de beschikbaarheid van extra financiële middelen. Een van de lastigste en meest complexe onderhandelingspunten betreft het opzetten van een </w:t>
      </w:r>
      <w:r w:rsidR="005211C8">
        <w:rPr>
          <w:szCs w:val="18"/>
        </w:rPr>
        <w:t xml:space="preserve">tweeledig </w:t>
      </w:r>
      <w:r w:rsidRPr="001B0D24">
        <w:rPr>
          <w:szCs w:val="18"/>
        </w:rPr>
        <w:t xml:space="preserve">systeem waarbij </w:t>
      </w:r>
      <w:r w:rsidR="005211C8">
        <w:rPr>
          <w:szCs w:val="18"/>
        </w:rPr>
        <w:t>staten waar nieuwe ziekmakende pathogene</w:t>
      </w:r>
      <w:r w:rsidR="006A3EC9">
        <w:rPr>
          <w:szCs w:val="18"/>
        </w:rPr>
        <w:t>n</w:t>
      </w:r>
      <w:r w:rsidR="005211C8">
        <w:rPr>
          <w:szCs w:val="18"/>
        </w:rPr>
        <w:t xml:space="preserve"> worden ontdekt, het genetisch materiaal en digitale gegevens daarvan snel delen met de WHO om zo onderzoekers wereldwijd toegang te geven tot deze informatie, op basis waarvan nieuwe medische producten kunnen worden ontwikkeld. Als ‘tegenprestatie’ wensen deze landen, veelal ontwikkelingslanden</w:t>
      </w:r>
      <w:r w:rsidR="006A3EC9">
        <w:rPr>
          <w:szCs w:val="18"/>
        </w:rPr>
        <w:t>,</w:t>
      </w:r>
      <w:r w:rsidR="005211C8">
        <w:rPr>
          <w:szCs w:val="18"/>
        </w:rPr>
        <w:t xml:space="preserve"> toegang tot een substantieel </w:t>
      </w:r>
      <w:r w:rsidRPr="001B0D24">
        <w:rPr>
          <w:szCs w:val="18"/>
        </w:rPr>
        <w:t>aandeel van de mondiale productie van relevante medische producten zoals vaccins</w:t>
      </w:r>
      <w:r w:rsidR="005211C8">
        <w:rPr>
          <w:szCs w:val="18"/>
        </w:rPr>
        <w:t>.</w:t>
      </w:r>
    </w:p>
    <w:p w:rsidR="00640009" w:rsidP="00CC5B83" w:rsidRDefault="00640009" w14:paraId="495CB919" w14:textId="77777777">
      <w:pPr>
        <w:spacing w:line="269" w:lineRule="auto"/>
        <w:rPr>
          <w:szCs w:val="18"/>
        </w:rPr>
      </w:pPr>
    </w:p>
    <w:p w:rsidRPr="001B0D24" w:rsidR="00E91CA6" w:rsidP="00CC5B83" w:rsidRDefault="00503E0B" w14:paraId="0535C263" w14:textId="77777777">
      <w:pPr>
        <w:spacing w:line="269" w:lineRule="auto"/>
        <w:rPr>
          <w:szCs w:val="18"/>
        </w:rPr>
      </w:pPr>
      <w:r w:rsidRPr="001B0D24">
        <w:rPr>
          <w:szCs w:val="18"/>
        </w:rPr>
        <w:t xml:space="preserve">De onderhandelingen zijn </w:t>
      </w:r>
      <w:r w:rsidR="007B6D32">
        <w:rPr>
          <w:szCs w:val="18"/>
        </w:rPr>
        <w:t xml:space="preserve">complex door </w:t>
      </w:r>
      <w:r w:rsidRPr="001B0D24">
        <w:rPr>
          <w:szCs w:val="18"/>
        </w:rPr>
        <w:t>de geopolitiek</w:t>
      </w:r>
      <w:r w:rsidR="007B6D32">
        <w:rPr>
          <w:szCs w:val="18"/>
        </w:rPr>
        <w:t>e en</w:t>
      </w:r>
      <w:r w:rsidRPr="001B0D24">
        <w:rPr>
          <w:szCs w:val="18"/>
        </w:rPr>
        <w:t xml:space="preserve"> economische belangen </w:t>
      </w:r>
      <w:r w:rsidR="007B6D32">
        <w:rPr>
          <w:szCs w:val="18"/>
        </w:rPr>
        <w:t xml:space="preserve">die spelen </w:t>
      </w:r>
      <w:r w:rsidRPr="001B0D24">
        <w:rPr>
          <w:szCs w:val="18"/>
        </w:rPr>
        <w:t xml:space="preserve">en andere </w:t>
      </w:r>
      <w:r w:rsidR="009A0A15">
        <w:rPr>
          <w:szCs w:val="18"/>
        </w:rPr>
        <w:t xml:space="preserve">mondiale en </w:t>
      </w:r>
      <w:r w:rsidRPr="001B0D24">
        <w:rPr>
          <w:szCs w:val="18"/>
        </w:rPr>
        <w:t xml:space="preserve">nationale politieke ontwikkelingen. </w:t>
      </w:r>
      <w:r w:rsidR="009A0A15">
        <w:rPr>
          <w:szCs w:val="18"/>
        </w:rPr>
        <w:t xml:space="preserve">De kans bestaat dat </w:t>
      </w:r>
      <w:r w:rsidRPr="001B0D24">
        <w:rPr>
          <w:szCs w:val="18"/>
        </w:rPr>
        <w:t xml:space="preserve">het recente verkiezingsresultaat in de Verenigde Staten impact </w:t>
      </w:r>
      <w:r w:rsidR="009A0A15">
        <w:rPr>
          <w:szCs w:val="18"/>
        </w:rPr>
        <w:t xml:space="preserve">zal </w:t>
      </w:r>
      <w:r w:rsidRPr="001B0D24">
        <w:rPr>
          <w:szCs w:val="18"/>
        </w:rPr>
        <w:t xml:space="preserve">hebben op </w:t>
      </w:r>
      <w:r w:rsidR="009A0A15">
        <w:rPr>
          <w:szCs w:val="18"/>
        </w:rPr>
        <w:t>de onderhandelingen</w:t>
      </w:r>
      <w:r w:rsidRPr="001B0D24">
        <w:rPr>
          <w:szCs w:val="18"/>
        </w:rPr>
        <w:t>.</w:t>
      </w:r>
      <w:r w:rsidR="009A0A15">
        <w:rPr>
          <w:szCs w:val="18"/>
        </w:rPr>
        <w:t xml:space="preserve"> Maar ook wordt het door de fragmentering van mondiale samenwerkingsverbanden moeilijker om brede coalities te vinden rondom inhoudelijke compromissen. </w:t>
      </w:r>
      <w:r w:rsidRPr="001B0D24">
        <w:rPr>
          <w:szCs w:val="18"/>
        </w:rPr>
        <w:t>Tegelijkertijd onderst</w:t>
      </w:r>
      <w:r w:rsidR="009A0A15">
        <w:rPr>
          <w:szCs w:val="18"/>
        </w:rPr>
        <w:t>r</w:t>
      </w:r>
      <w:r w:rsidRPr="001B0D24">
        <w:rPr>
          <w:szCs w:val="18"/>
        </w:rPr>
        <w:t>epen recente uitbraken</w:t>
      </w:r>
      <w:r w:rsidR="009A0A15">
        <w:rPr>
          <w:szCs w:val="18"/>
        </w:rPr>
        <w:t xml:space="preserve"> van infectieziekten</w:t>
      </w:r>
      <w:r w:rsidRPr="001B0D24">
        <w:rPr>
          <w:szCs w:val="18"/>
        </w:rPr>
        <w:t xml:space="preserve">, zoals mpox en marburg, de </w:t>
      </w:r>
      <w:r w:rsidR="009A0A15">
        <w:rPr>
          <w:szCs w:val="18"/>
        </w:rPr>
        <w:t>noodzaak van internationale samenwerking</w:t>
      </w:r>
      <w:r w:rsidRPr="001B0D24">
        <w:rPr>
          <w:szCs w:val="18"/>
        </w:rPr>
        <w:t xml:space="preserve">. </w:t>
      </w:r>
    </w:p>
    <w:p w:rsidRPr="001B0D24" w:rsidR="00E91CA6" w:rsidP="00CC5B83" w:rsidRDefault="00E91CA6" w14:paraId="7A6EFC52" w14:textId="77777777">
      <w:pPr>
        <w:spacing w:line="269" w:lineRule="auto"/>
        <w:rPr>
          <w:szCs w:val="18"/>
        </w:rPr>
      </w:pPr>
    </w:p>
    <w:p w:rsidR="009A0A15" w:rsidP="00CC5B83" w:rsidRDefault="00503E0B" w14:paraId="0ED2C403" w14:textId="77777777">
      <w:pPr>
        <w:pStyle w:val="Default"/>
        <w:suppressAutoHyphens/>
        <w:spacing w:line="269" w:lineRule="auto"/>
        <w:rPr>
          <w:sz w:val="18"/>
          <w:szCs w:val="18"/>
          <w:lang w:val="nl-NL"/>
        </w:rPr>
      </w:pPr>
      <w:r w:rsidRPr="001B0D24">
        <w:rPr>
          <w:sz w:val="18"/>
          <w:szCs w:val="18"/>
          <w:lang w:val="nl-NL"/>
        </w:rPr>
        <w:t xml:space="preserve">Zoals gemeld in de </w:t>
      </w:r>
      <w:r w:rsidR="006A3EC9">
        <w:rPr>
          <w:sz w:val="18"/>
          <w:szCs w:val="18"/>
          <w:lang w:val="nl-NL"/>
        </w:rPr>
        <w:t>K</w:t>
      </w:r>
      <w:r w:rsidRPr="001B0D24">
        <w:rPr>
          <w:sz w:val="18"/>
          <w:szCs w:val="18"/>
          <w:lang w:val="nl-NL"/>
        </w:rPr>
        <w:t xml:space="preserve">amerbrief van 16 februari </w:t>
      </w:r>
      <w:r w:rsidRPr="001B0D24" w:rsidR="001B0D24">
        <w:rPr>
          <w:sz w:val="18"/>
          <w:szCs w:val="18"/>
          <w:lang w:val="nl-NL"/>
        </w:rPr>
        <w:t xml:space="preserve">2024 </w:t>
      </w:r>
      <w:r w:rsidRPr="001B0D24">
        <w:rPr>
          <w:sz w:val="18"/>
          <w:szCs w:val="18"/>
          <w:lang w:val="nl-NL"/>
        </w:rPr>
        <w:t xml:space="preserve">blijft het Koninkrijk zich </w:t>
      </w:r>
      <w:r w:rsidRPr="001B0D24" w:rsidR="001B0D24">
        <w:rPr>
          <w:sz w:val="18"/>
          <w:szCs w:val="18"/>
          <w:lang w:val="nl-NL"/>
        </w:rPr>
        <w:t xml:space="preserve">samen </w:t>
      </w:r>
      <w:r w:rsidR="007B6D32">
        <w:rPr>
          <w:sz w:val="18"/>
          <w:szCs w:val="18"/>
          <w:lang w:val="nl-NL"/>
        </w:rPr>
        <w:t xml:space="preserve">met </w:t>
      </w:r>
      <w:r w:rsidRPr="001B0D24" w:rsidR="001B0D24">
        <w:rPr>
          <w:sz w:val="18"/>
          <w:szCs w:val="18"/>
          <w:lang w:val="nl-NL"/>
        </w:rPr>
        <w:t xml:space="preserve">andere EU-lidstaten en de onderhandelaars namens de Europese Unie </w:t>
      </w:r>
      <w:r w:rsidRPr="001B0D24">
        <w:rPr>
          <w:sz w:val="18"/>
          <w:szCs w:val="18"/>
          <w:lang w:val="nl-NL"/>
        </w:rPr>
        <w:t xml:space="preserve">inzetten voor heldere en effectieve afspraken over onder meer de versterking van preventie, monitoring en internationale samenwerking vanuit een One Health-aanpak, met aandacht voor </w:t>
      </w:r>
      <w:r w:rsidRPr="001B0D24" w:rsidR="009920C7">
        <w:rPr>
          <w:sz w:val="18"/>
          <w:szCs w:val="18"/>
          <w:lang w:val="nl-NL"/>
        </w:rPr>
        <w:t>zoönose</w:t>
      </w:r>
      <w:r>
        <w:rPr>
          <w:sz w:val="18"/>
          <w:szCs w:val="18"/>
          <w:lang w:val="nl-NL"/>
        </w:rPr>
        <w:t xml:space="preserve"> en </w:t>
      </w:r>
      <w:r w:rsidRPr="001B0D24">
        <w:rPr>
          <w:sz w:val="18"/>
          <w:szCs w:val="18"/>
          <w:lang w:val="nl-NL"/>
        </w:rPr>
        <w:t>antimicrobiële resistentie</w:t>
      </w:r>
      <w:r>
        <w:rPr>
          <w:sz w:val="18"/>
          <w:szCs w:val="18"/>
          <w:lang w:val="nl-NL"/>
        </w:rPr>
        <w:t xml:space="preserve"> (AMR). Ook wordt ingezet op versterking van de </w:t>
      </w:r>
      <w:r w:rsidRPr="001B0D24">
        <w:rPr>
          <w:sz w:val="18"/>
          <w:szCs w:val="18"/>
          <w:lang w:val="nl-NL"/>
        </w:rPr>
        <w:t xml:space="preserve">pandemische paraatheid, </w:t>
      </w:r>
      <w:r>
        <w:rPr>
          <w:sz w:val="18"/>
          <w:szCs w:val="18"/>
          <w:lang w:val="nl-NL"/>
        </w:rPr>
        <w:t xml:space="preserve">het bevorderen van een gelijkwaardigere en </w:t>
      </w:r>
      <w:r w:rsidRPr="001B0D24">
        <w:rPr>
          <w:sz w:val="18"/>
          <w:szCs w:val="18"/>
          <w:lang w:val="nl-NL"/>
        </w:rPr>
        <w:t>eerlijke</w:t>
      </w:r>
      <w:r>
        <w:rPr>
          <w:sz w:val="18"/>
          <w:szCs w:val="18"/>
          <w:lang w:val="nl-NL"/>
        </w:rPr>
        <w:t>re</w:t>
      </w:r>
      <w:r w:rsidRPr="001B0D24">
        <w:rPr>
          <w:sz w:val="18"/>
          <w:szCs w:val="18"/>
          <w:lang w:val="nl-NL"/>
        </w:rPr>
        <w:t xml:space="preserve"> toegang tot kritieke medische producten</w:t>
      </w:r>
      <w:r>
        <w:rPr>
          <w:sz w:val="18"/>
          <w:szCs w:val="18"/>
          <w:lang w:val="nl-NL"/>
        </w:rPr>
        <w:t xml:space="preserve"> tijdens een crisis en op </w:t>
      </w:r>
      <w:r w:rsidRPr="001B0D24">
        <w:rPr>
          <w:sz w:val="18"/>
          <w:szCs w:val="18"/>
          <w:lang w:val="nl-NL"/>
        </w:rPr>
        <w:t xml:space="preserve">duurzame financiering </w:t>
      </w:r>
      <w:r>
        <w:rPr>
          <w:sz w:val="18"/>
          <w:szCs w:val="18"/>
          <w:lang w:val="nl-NL"/>
        </w:rPr>
        <w:t>ter versterkin</w:t>
      </w:r>
      <w:r>
        <w:rPr>
          <w:sz w:val="18"/>
          <w:szCs w:val="18"/>
          <w:lang w:val="nl-NL"/>
        </w:rPr>
        <w:t xml:space="preserve">g van de paraatheid in lage </w:t>
      </w:r>
      <w:r w:rsidRPr="001B0D24">
        <w:rPr>
          <w:sz w:val="18"/>
          <w:szCs w:val="18"/>
          <w:lang w:val="nl-NL"/>
        </w:rPr>
        <w:t>inkomenslanden.</w:t>
      </w:r>
    </w:p>
    <w:p w:rsidR="009A0A15" w:rsidP="00CC5B83" w:rsidRDefault="009A0A15" w14:paraId="46B6620F" w14:textId="77777777">
      <w:pPr>
        <w:pStyle w:val="Default"/>
        <w:suppressAutoHyphens/>
        <w:spacing w:line="269" w:lineRule="auto"/>
        <w:rPr>
          <w:sz w:val="18"/>
          <w:szCs w:val="18"/>
          <w:lang w:val="nl-NL"/>
        </w:rPr>
      </w:pPr>
    </w:p>
    <w:p w:rsidRPr="00EB1E78" w:rsidR="009A0A15" w:rsidP="00CC5B83" w:rsidRDefault="00503E0B" w14:paraId="5DDCB16A" w14:textId="77777777">
      <w:pPr>
        <w:pStyle w:val="Default"/>
        <w:suppressAutoHyphens/>
        <w:spacing w:line="269" w:lineRule="auto"/>
        <w:rPr>
          <w:szCs w:val="18"/>
          <w:lang w:val="nl-NL"/>
        </w:rPr>
      </w:pPr>
      <w:r>
        <w:rPr>
          <w:sz w:val="18"/>
          <w:szCs w:val="18"/>
          <w:lang w:val="nl-NL"/>
        </w:rPr>
        <w:t xml:space="preserve">Het Koninkrijk waakt er tegelijkertijd voor dat er geen </w:t>
      </w:r>
      <w:r w:rsidRPr="001B0D24" w:rsidR="00640009">
        <w:rPr>
          <w:sz w:val="18"/>
          <w:szCs w:val="18"/>
          <w:lang w:val="nl-NL"/>
        </w:rPr>
        <w:t xml:space="preserve">bepalingen </w:t>
      </w:r>
      <w:r>
        <w:rPr>
          <w:sz w:val="18"/>
          <w:szCs w:val="18"/>
          <w:lang w:val="nl-NL"/>
        </w:rPr>
        <w:t xml:space="preserve">worden opgenomen </w:t>
      </w:r>
      <w:r w:rsidRPr="001B0D24" w:rsidR="00640009">
        <w:rPr>
          <w:sz w:val="18"/>
          <w:szCs w:val="18"/>
          <w:lang w:val="nl-NL"/>
        </w:rPr>
        <w:t xml:space="preserve">waarmee nationale bevoegdheden en/of soevereiniteit rondom de inzet van maatregelen ter bestrijding van een internationale gezondheidscrisis worden overgedragen. Juist op dit laatste punt is al overeenstemming bereikt, en is </w:t>
      </w:r>
      <w:r w:rsidR="009920C7">
        <w:rPr>
          <w:sz w:val="18"/>
          <w:szCs w:val="18"/>
          <w:lang w:val="nl-NL"/>
        </w:rPr>
        <w:t xml:space="preserve">in de verdragstekst </w:t>
      </w:r>
      <w:r w:rsidRPr="001B0D24" w:rsidR="00640009">
        <w:rPr>
          <w:sz w:val="18"/>
          <w:szCs w:val="18"/>
          <w:lang w:val="nl-NL"/>
        </w:rPr>
        <w:t>een bepaling opgenomen die de nationale soevereiniteit waarborgt.</w:t>
      </w:r>
      <w:r>
        <w:rPr>
          <w:rStyle w:val="Voetnootmarkering"/>
          <w:sz w:val="18"/>
          <w:szCs w:val="18"/>
          <w:lang w:val="nl-NL"/>
        </w:rPr>
        <w:footnoteReference w:id="20"/>
      </w:r>
      <w:r w:rsidRPr="001B0D24" w:rsidR="00640009">
        <w:rPr>
          <w:sz w:val="18"/>
          <w:szCs w:val="18"/>
          <w:lang w:val="nl-NL"/>
        </w:rPr>
        <w:t xml:space="preserve"> </w:t>
      </w:r>
      <w:r w:rsidR="009920C7">
        <w:rPr>
          <w:sz w:val="18"/>
          <w:szCs w:val="18"/>
          <w:lang w:val="nl-NL"/>
        </w:rPr>
        <w:t xml:space="preserve">De inzet van de EU is er bovendien op gericht dat bepalingen in het verdrag niet leiden tot aanpassing van bestaande nationale of Europese wet- en regelgeving. </w:t>
      </w:r>
    </w:p>
    <w:p w:rsidR="009920C7" w:rsidP="00CC5B83" w:rsidRDefault="009920C7" w14:paraId="768F12C9" w14:textId="77777777">
      <w:pPr>
        <w:spacing w:line="269" w:lineRule="auto"/>
        <w:rPr>
          <w:szCs w:val="18"/>
        </w:rPr>
      </w:pPr>
    </w:p>
    <w:p w:rsidRPr="001B0D24" w:rsidR="00055FFE" w:rsidP="00CC5B83" w:rsidRDefault="00503E0B" w14:paraId="69D09CB5" w14:textId="77777777">
      <w:pPr>
        <w:spacing w:line="269" w:lineRule="auto"/>
        <w:rPr>
          <w:szCs w:val="18"/>
        </w:rPr>
      </w:pPr>
      <w:r w:rsidRPr="001B0D24">
        <w:rPr>
          <w:szCs w:val="18"/>
        </w:rPr>
        <w:t xml:space="preserve">De onderhandelingen </w:t>
      </w:r>
      <w:r w:rsidR="009920C7">
        <w:rPr>
          <w:szCs w:val="18"/>
        </w:rPr>
        <w:t xml:space="preserve">in de INB </w:t>
      </w:r>
      <w:r w:rsidRPr="001B0D24">
        <w:rPr>
          <w:szCs w:val="18"/>
        </w:rPr>
        <w:t xml:space="preserve">zullen voortgezet worden in februari en april 2025. Het streven is om een </w:t>
      </w:r>
      <w:r w:rsidR="009920C7">
        <w:rPr>
          <w:szCs w:val="18"/>
        </w:rPr>
        <w:t xml:space="preserve">definitieve </w:t>
      </w:r>
      <w:r w:rsidRPr="001B0D24">
        <w:rPr>
          <w:szCs w:val="18"/>
        </w:rPr>
        <w:t xml:space="preserve">verdragstekst </w:t>
      </w:r>
      <w:r w:rsidR="009920C7">
        <w:rPr>
          <w:szCs w:val="18"/>
        </w:rPr>
        <w:t xml:space="preserve">ter vaststelling </w:t>
      </w:r>
      <w:r w:rsidRPr="001B0D24">
        <w:rPr>
          <w:szCs w:val="18"/>
        </w:rPr>
        <w:t xml:space="preserve">voor te kunnen leggen aan de </w:t>
      </w:r>
      <w:r w:rsidR="009920C7">
        <w:rPr>
          <w:szCs w:val="18"/>
        </w:rPr>
        <w:t>78</w:t>
      </w:r>
      <w:r w:rsidRPr="009920C7" w:rsidR="009920C7">
        <w:rPr>
          <w:szCs w:val="18"/>
          <w:vertAlign w:val="superscript"/>
        </w:rPr>
        <w:t>e</w:t>
      </w:r>
      <w:r w:rsidR="009920C7">
        <w:rPr>
          <w:szCs w:val="18"/>
        </w:rPr>
        <w:t xml:space="preserve"> W</w:t>
      </w:r>
      <w:r w:rsidRPr="001B0D24">
        <w:rPr>
          <w:szCs w:val="18"/>
        </w:rPr>
        <w:t>ereldgezondheid</w:t>
      </w:r>
      <w:r w:rsidR="009920C7">
        <w:rPr>
          <w:szCs w:val="18"/>
        </w:rPr>
        <w:t>s</w:t>
      </w:r>
      <w:r w:rsidRPr="001B0D24">
        <w:rPr>
          <w:szCs w:val="18"/>
        </w:rPr>
        <w:t xml:space="preserve">vergadering (WHA78) in mei 2025. </w:t>
      </w:r>
      <w:r w:rsidR="009920C7">
        <w:rPr>
          <w:szCs w:val="18"/>
        </w:rPr>
        <w:lastRenderedPageBreak/>
        <w:t>V</w:t>
      </w:r>
      <w:r w:rsidRPr="001B0D24">
        <w:rPr>
          <w:szCs w:val="18"/>
        </w:rPr>
        <w:t xml:space="preserve">aststelling van de tekst van het pandemie-instrument </w:t>
      </w:r>
      <w:r w:rsidR="009920C7">
        <w:rPr>
          <w:szCs w:val="18"/>
        </w:rPr>
        <w:t xml:space="preserve">door de WHA </w:t>
      </w:r>
      <w:r w:rsidRPr="001B0D24">
        <w:rPr>
          <w:szCs w:val="18"/>
        </w:rPr>
        <w:t xml:space="preserve">betekent </w:t>
      </w:r>
      <w:r w:rsidR="009920C7">
        <w:rPr>
          <w:szCs w:val="18"/>
        </w:rPr>
        <w:t xml:space="preserve">overigens niet </w:t>
      </w:r>
      <w:r w:rsidRPr="001B0D24">
        <w:rPr>
          <w:szCs w:val="18"/>
        </w:rPr>
        <w:t>dat ons Koninkrijk daarmee gebonden</w:t>
      </w:r>
      <w:r w:rsidR="00543031">
        <w:rPr>
          <w:szCs w:val="18"/>
        </w:rPr>
        <w:t xml:space="preserve"> is aan enige bepalingen</w:t>
      </w:r>
      <w:r w:rsidRPr="001B0D24">
        <w:rPr>
          <w:szCs w:val="18"/>
        </w:rPr>
        <w:t xml:space="preserve">. </w:t>
      </w:r>
      <w:r w:rsidR="00543031">
        <w:rPr>
          <w:szCs w:val="18"/>
        </w:rPr>
        <w:t>Het verdrag moet na vaststelling eerst ondertekend en vervolgens geratificeerd worden door de lidstaten van de WHO, via hun eigen nationale goedkeuringsprocedures.</w:t>
      </w:r>
      <w:r w:rsidR="009920C7">
        <w:rPr>
          <w:szCs w:val="18"/>
        </w:rPr>
        <w:t xml:space="preserve"> </w:t>
      </w:r>
    </w:p>
    <w:p w:rsidRPr="001B0D24" w:rsidR="00640009" w:rsidP="00CC5B83" w:rsidRDefault="00640009" w14:paraId="0318B6FB" w14:textId="77777777">
      <w:pPr>
        <w:spacing w:line="269" w:lineRule="auto"/>
        <w:rPr>
          <w:szCs w:val="18"/>
        </w:rPr>
      </w:pPr>
    </w:p>
    <w:p w:rsidRPr="009920C7" w:rsidR="00640009" w:rsidP="00CC5B83" w:rsidRDefault="00503E0B" w14:paraId="66306BE3" w14:textId="77777777">
      <w:pPr>
        <w:spacing w:line="269" w:lineRule="auto"/>
        <w:rPr>
          <w:b/>
          <w:bCs/>
          <w:szCs w:val="18"/>
        </w:rPr>
      </w:pPr>
      <w:r w:rsidRPr="009920C7">
        <w:rPr>
          <w:b/>
          <w:bCs/>
          <w:szCs w:val="18"/>
        </w:rPr>
        <w:t xml:space="preserve">Ten </w:t>
      </w:r>
      <w:r w:rsidR="006A3EC9">
        <w:rPr>
          <w:b/>
          <w:bCs/>
          <w:szCs w:val="18"/>
        </w:rPr>
        <w:t>s</w:t>
      </w:r>
      <w:r w:rsidRPr="009920C7">
        <w:rPr>
          <w:b/>
          <w:bCs/>
          <w:szCs w:val="18"/>
        </w:rPr>
        <w:t>lotte</w:t>
      </w:r>
    </w:p>
    <w:p w:rsidR="00640009" w:rsidP="00CC5B83" w:rsidRDefault="00503E0B" w14:paraId="6AA7BFDA" w14:textId="77777777">
      <w:r>
        <w:t xml:space="preserve">Met deze brief </w:t>
      </w:r>
      <w:r w:rsidR="007B6D32">
        <w:t xml:space="preserve">heb </w:t>
      </w:r>
      <w:r>
        <w:t xml:space="preserve">ik uw Kamer </w:t>
      </w:r>
      <w:r w:rsidR="007B6D32">
        <w:t>uitgebreid willen informeren over de lopende ontwikkelingen rondom</w:t>
      </w:r>
      <w:r w:rsidR="00D916DF">
        <w:t xml:space="preserve"> het versterken van het internationale systeem voor de bestrijding van mondiale gezondheidscrises</w:t>
      </w:r>
      <w:r w:rsidR="007B6D32">
        <w:t xml:space="preserve">. </w:t>
      </w:r>
      <w:r>
        <w:t>Ik zal uw Kamer op de hoogte houden van eventuele belangrijke nieuwe ontwikkel</w:t>
      </w:r>
      <w:r w:rsidR="007B6D32">
        <w:t>ingen</w:t>
      </w:r>
      <w:r>
        <w:t>.</w:t>
      </w:r>
    </w:p>
    <w:p w:rsidRPr="009A31BF" w:rsidR="00CD5856" w:rsidP="00CC5B83" w:rsidRDefault="00503E0B" w14:paraId="4077FD9D" w14:textId="77777777">
      <w:pPr>
        <w:pStyle w:val="Huisstijl-Slotzin"/>
      </w:pPr>
      <w:r>
        <w:t>Hoogachtend,</w:t>
      </w:r>
    </w:p>
    <w:p w:rsidR="00BC481F" w:rsidP="00CC5B83" w:rsidRDefault="00BC481F" w14:paraId="56494DB2" w14:textId="77777777">
      <w:pPr>
        <w:spacing w:line="240" w:lineRule="auto"/>
        <w:rPr>
          <w:noProof/>
        </w:rPr>
      </w:pPr>
    </w:p>
    <w:p w:rsidR="00F0635A" w:rsidP="00CC5B83" w:rsidRDefault="00F0635A" w14:paraId="55368173" w14:textId="77777777">
      <w:pPr>
        <w:spacing w:line="240" w:lineRule="atLeast"/>
      </w:pPr>
      <w:r>
        <w:t xml:space="preserve">de minister van Volksgezondheid, </w:t>
      </w:r>
    </w:p>
    <w:p w:rsidR="00C62B6C" w:rsidP="00CC5B83" w:rsidRDefault="00503E0B" w14:paraId="2711062D" w14:textId="77777777">
      <w:pPr>
        <w:spacing w:line="240" w:lineRule="atLeast"/>
        <w:rPr>
          <w:szCs w:val="18"/>
        </w:rPr>
      </w:pPr>
      <w:r>
        <w:t>Welzijn en Sport</w:t>
      </w:r>
      <w:r>
        <w:rPr>
          <w:szCs w:val="18"/>
        </w:rPr>
        <w:t>,</w:t>
      </w:r>
    </w:p>
    <w:p w:rsidRPr="007B6A41" w:rsidR="00C62B6C" w:rsidP="00CC5B83" w:rsidRDefault="00C62B6C" w14:paraId="5326A751" w14:textId="77777777">
      <w:pPr>
        <w:spacing w:line="240" w:lineRule="atLeast"/>
        <w:rPr>
          <w:szCs w:val="18"/>
        </w:rPr>
      </w:pPr>
      <w:bookmarkStart w:name="bmkHandtekening" w:id="2"/>
    </w:p>
    <w:bookmarkEnd w:id="2"/>
    <w:p w:rsidR="00C62B6C" w:rsidP="00CC5B83" w:rsidRDefault="00503E0B" w14:paraId="0CEDA665" w14:textId="77777777">
      <w:pPr>
        <w:spacing w:line="240" w:lineRule="atLeast"/>
      </w:pPr>
      <w:r>
        <w:cr/>
      </w:r>
      <w:r>
        <w:cr/>
      </w:r>
    </w:p>
    <w:p w:rsidR="00F0635A" w:rsidP="00CC5B83" w:rsidRDefault="00F0635A" w14:paraId="14152D9C" w14:textId="77777777">
      <w:pPr>
        <w:spacing w:line="240" w:lineRule="atLeast"/>
      </w:pPr>
    </w:p>
    <w:p w:rsidRPr="007B6A41" w:rsidR="00F0635A" w:rsidP="00CC5B83" w:rsidRDefault="00F0635A" w14:paraId="0B838700" w14:textId="77777777">
      <w:pPr>
        <w:spacing w:line="240" w:lineRule="atLeast"/>
        <w:rPr>
          <w:szCs w:val="18"/>
        </w:rPr>
      </w:pPr>
    </w:p>
    <w:p w:rsidRPr="007B6A41" w:rsidR="00C62B6C" w:rsidP="00CC5B83" w:rsidRDefault="00503E0B" w14:paraId="4FDECFDC" w14:textId="77777777">
      <w:pPr>
        <w:spacing w:line="240" w:lineRule="atLeast"/>
        <w:rPr>
          <w:szCs w:val="18"/>
        </w:rPr>
      </w:pPr>
      <w:r>
        <w:t>Fleur Agema</w:t>
      </w:r>
    </w:p>
    <w:p w:rsidR="00C95CA9" w:rsidP="00CC5B83" w:rsidRDefault="00C95CA9" w14:paraId="31D901FD" w14:textId="77777777">
      <w:pPr>
        <w:spacing w:line="240" w:lineRule="auto"/>
        <w:rPr>
          <w:noProof/>
        </w:rPr>
      </w:pPr>
    </w:p>
    <w:sectPr w:rsidR="00C95CA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E625" w14:textId="77777777" w:rsidR="0040266E" w:rsidRDefault="0040266E">
      <w:pPr>
        <w:spacing w:line="240" w:lineRule="auto"/>
      </w:pPr>
      <w:r>
        <w:separator/>
      </w:r>
    </w:p>
  </w:endnote>
  <w:endnote w:type="continuationSeparator" w:id="0">
    <w:p w14:paraId="090173E7" w14:textId="77777777" w:rsidR="0040266E" w:rsidRDefault="00402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2F7E" w14:textId="77777777" w:rsidR="00DC7639" w:rsidRDefault="00CC5B83">
    <w:pPr>
      <w:pStyle w:val="Voettekst"/>
    </w:pPr>
    <w:r>
      <w:rPr>
        <w:noProof/>
        <w:lang w:val="en-US" w:eastAsia="en-US" w:bidi="ar-SA"/>
      </w:rPr>
      <mc:AlternateContent>
        <mc:Choice Requires="wps">
          <w:drawing>
            <wp:anchor distT="0" distB="0" distL="114300" distR="114300" simplePos="0" relativeHeight="251651072" behindDoc="0" locked="1" layoutInCell="1" allowOverlap="1" wp14:anchorId="7D473296" wp14:editId="02B664E6">
              <wp:simplePos x="0" y="0"/>
              <wp:positionH relativeFrom="page">
                <wp:posOffset>5922645</wp:posOffset>
              </wp:positionH>
              <wp:positionV relativeFrom="page">
                <wp:posOffset>10225405</wp:posOffset>
              </wp:positionV>
              <wp:extent cx="1259840" cy="185420"/>
              <wp:effectExtent l="7620" t="5080" r="8890" b="9525"/>
              <wp:wrapNone/>
              <wp:docPr id="73562708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1B2722FA" w14:textId="77777777" w:rsidR="00DC7639" w:rsidRDefault="00503E0B"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473296"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1B2722FA" w14:textId="77777777" w:rsidR="00DC7639" w:rsidRDefault="00503E0B"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234B" w14:textId="77777777" w:rsidR="0040266E" w:rsidRDefault="0040266E">
      <w:pPr>
        <w:spacing w:line="240" w:lineRule="auto"/>
      </w:pPr>
      <w:r>
        <w:separator/>
      </w:r>
    </w:p>
  </w:footnote>
  <w:footnote w:type="continuationSeparator" w:id="0">
    <w:p w14:paraId="71D413E7" w14:textId="77777777" w:rsidR="0040266E" w:rsidRDefault="0040266E">
      <w:pPr>
        <w:spacing w:line="240" w:lineRule="auto"/>
      </w:pPr>
      <w:r>
        <w:continuationSeparator/>
      </w:r>
    </w:p>
  </w:footnote>
  <w:footnote w:id="1">
    <w:p w14:paraId="65BBC4AA" w14:textId="77777777" w:rsidR="005F220A" w:rsidRPr="00E91CA6" w:rsidRDefault="00503E0B">
      <w:pPr>
        <w:pStyle w:val="Voetnoottekst"/>
        <w:rPr>
          <w:sz w:val="16"/>
          <w:szCs w:val="16"/>
          <w:lang w:val="en-GB"/>
        </w:rPr>
      </w:pPr>
      <w:r w:rsidRPr="00E91CA6">
        <w:rPr>
          <w:rStyle w:val="Voetnootmarkering"/>
          <w:sz w:val="16"/>
          <w:szCs w:val="16"/>
        </w:rPr>
        <w:footnoteRef/>
      </w:r>
      <w:r w:rsidRPr="00E91CA6">
        <w:rPr>
          <w:sz w:val="16"/>
          <w:szCs w:val="16"/>
          <w:lang w:val="en-GB"/>
        </w:rPr>
        <w:t xml:space="preserve"> Ingediende wijzigingsvoorstellen: </w:t>
      </w:r>
      <w:hyperlink r:id="rId1" w:history="1">
        <w:r w:rsidRPr="00E91CA6">
          <w:rPr>
            <w:rStyle w:val="Hyperlink"/>
            <w:sz w:val="16"/>
            <w:szCs w:val="16"/>
            <w:lang w:val="en-GB"/>
          </w:rPr>
          <w:t>WGIHR_Compilation-en.pdf</w:t>
        </w:r>
      </w:hyperlink>
      <w:r w:rsidRPr="00E91CA6">
        <w:rPr>
          <w:sz w:val="16"/>
          <w:szCs w:val="16"/>
          <w:lang w:val="en-GB"/>
        </w:rPr>
        <w:t xml:space="preserve">; Rapport van de IHR Review Committee: </w:t>
      </w:r>
      <w:hyperlink r:id="rId2" w:history="1">
        <w:r w:rsidRPr="00E91CA6">
          <w:rPr>
            <w:rStyle w:val="Hyperlink"/>
            <w:sz w:val="16"/>
            <w:szCs w:val="16"/>
            <w:lang w:val="en-GB"/>
          </w:rPr>
          <w:t>Report of the Review Committee regarding amendments to the International Health Regulations (2005)</w:t>
        </w:r>
      </w:hyperlink>
      <w:r w:rsidRPr="00E91CA6">
        <w:rPr>
          <w:sz w:val="16"/>
          <w:szCs w:val="16"/>
          <w:lang w:val="en-GB"/>
        </w:rPr>
        <w:t>.</w:t>
      </w:r>
    </w:p>
  </w:footnote>
  <w:footnote w:id="2">
    <w:p w14:paraId="6F749109" w14:textId="77777777" w:rsidR="009D65F6" w:rsidRPr="00E91CA6" w:rsidRDefault="00503E0B">
      <w:pPr>
        <w:pStyle w:val="Voetnoottekst"/>
        <w:rPr>
          <w:sz w:val="16"/>
          <w:szCs w:val="16"/>
          <w:lang w:val="en-GB"/>
        </w:rPr>
      </w:pPr>
      <w:r w:rsidRPr="00E91CA6">
        <w:rPr>
          <w:rStyle w:val="Voetnootmarkering"/>
          <w:sz w:val="16"/>
          <w:szCs w:val="16"/>
        </w:rPr>
        <w:footnoteRef/>
      </w:r>
      <w:r w:rsidRPr="00E91CA6">
        <w:rPr>
          <w:sz w:val="16"/>
          <w:szCs w:val="16"/>
          <w:lang w:val="en-GB"/>
        </w:rPr>
        <w:t xml:space="preserve"> Resolutie WHA77.14 en bijlage</w:t>
      </w:r>
      <w:r w:rsidR="00D916DF">
        <w:rPr>
          <w:sz w:val="16"/>
          <w:szCs w:val="16"/>
          <w:lang w:val="en-GB"/>
        </w:rPr>
        <w:t xml:space="preserve">: </w:t>
      </w:r>
      <w:hyperlink r:id="rId3" w:history="1">
        <w:r w:rsidR="00D916DF" w:rsidRPr="00E91CA6">
          <w:rPr>
            <w:rStyle w:val="Hyperlink"/>
            <w:sz w:val="16"/>
            <w:szCs w:val="16"/>
            <w:lang w:val="en-GB"/>
          </w:rPr>
          <w:t>Strengthening preparedness for and response to public health emergencies through targeted amendments to the International Health Regulations (2005)</w:t>
        </w:r>
      </w:hyperlink>
      <w:r w:rsidRPr="00E91CA6">
        <w:rPr>
          <w:sz w:val="16"/>
          <w:szCs w:val="16"/>
          <w:lang w:val="en-GB"/>
        </w:rPr>
        <w:t>.</w:t>
      </w:r>
    </w:p>
  </w:footnote>
  <w:footnote w:id="3">
    <w:p w14:paraId="65ECF9F5" w14:textId="77777777" w:rsidR="00D3411F" w:rsidRPr="006A01E5" w:rsidRDefault="00503E0B" w:rsidP="00D3411F">
      <w:pPr>
        <w:pStyle w:val="Voetnoottekst"/>
        <w:rPr>
          <w:sz w:val="16"/>
          <w:szCs w:val="16"/>
        </w:rPr>
      </w:pPr>
      <w:r w:rsidRPr="002207C1">
        <w:rPr>
          <w:rStyle w:val="Voetnootmarkering"/>
          <w:sz w:val="16"/>
          <w:szCs w:val="16"/>
        </w:rPr>
        <w:footnoteRef/>
      </w:r>
      <w:r w:rsidRPr="006A01E5">
        <w:rPr>
          <w:sz w:val="16"/>
          <w:szCs w:val="16"/>
        </w:rPr>
        <w:t xml:space="preserve"> </w:t>
      </w:r>
      <w:r w:rsidRPr="006A01E5">
        <w:rPr>
          <w:color w:val="211D1F"/>
          <w:sz w:val="16"/>
          <w:szCs w:val="16"/>
        </w:rPr>
        <w:t xml:space="preserve">Tweede Kamer, </w:t>
      </w:r>
      <w:r w:rsidR="0064153D" w:rsidRPr="006A01E5">
        <w:rPr>
          <w:color w:val="211D1F"/>
          <w:sz w:val="16"/>
          <w:szCs w:val="16"/>
        </w:rPr>
        <w:t>v</w:t>
      </w:r>
      <w:r w:rsidRPr="006A01E5">
        <w:rPr>
          <w:color w:val="211D1F"/>
          <w:sz w:val="16"/>
          <w:szCs w:val="16"/>
        </w:rPr>
        <w:t>ergaderjaar 2023–2024, 25 295, nr. 2185.</w:t>
      </w:r>
    </w:p>
  </w:footnote>
  <w:footnote w:id="4">
    <w:p w14:paraId="4F3E173A" w14:textId="77777777" w:rsidR="009D65F6" w:rsidRPr="002207C1" w:rsidRDefault="00503E0B" w:rsidP="009D65F6">
      <w:pPr>
        <w:pStyle w:val="Voetnoottekst"/>
        <w:rPr>
          <w:sz w:val="16"/>
          <w:szCs w:val="16"/>
        </w:rPr>
      </w:pPr>
      <w:r w:rsidRPr="002207C1">
        <w:rPr>
          <w:rStyle w:val="Voetnootmarkering"/>
          <w:sz w:val="16"/>
          <w:szCs w:val="16"/>
        </w:rPr>
        <w:footnoteRef/>
      </w:r>
      <w:r w:rsidRPr="002207C1">
        <w:rPr>
          <w:sz w:val="16"/>
          <w:szCs w:val="16"/>
        </w:rPr>
        <w:t xml:space="preserve"> </w:t>
      </w:r>
      <w:r w:rsidRPr="002207C1">
        <w:rPr>
          <w:rFonts w:cs="Arial"/>
          <w:sz w:val="16"/>
          <w:szCs w:val="16"/>
          <w:shd w:val="clear" w:color="auto" w:fill="FFFFFF"/>
        </w:rPr>
        <w:t>Tweede Kamer, vergaderjaar 2023–2024, 36 410 XVI, nr. 163.</w:t>
      </w:r>
    </w:p>
  </w:footnote>
  <w:footnote w:id="5">
    <w:p w14:paraId="1C0DE324" w14:textId="77777777" w:rsidR="0064153D" w:rsidRPr="003B485B" w:rsidRDefault="00503E0B" w:rsidP="0064153D">
      <w:pPr>
        <w:pStyle w:val="Voetnoottekst"/>
        <w:rPr>
          <w:sz w:val="16"/>
          <w:szCs w:val="16"/>
        </w:rPr>
      </w:pPr>
      <w:r w:rsidRPr="003B485B">
        <w:rPr>
          <w:rStyle w:val="Voetnootmarkering"/>
          <w:sz w:val="16"/>
          <w:szCs w:val="16"/>
        </w:rPr>
        <w:footnoteRef/>
      </w:r>
      <w:r w:rsidRPr="003B485B">
        <w:rPr>
          <w:sz w:val="16"/>
          <w:szCs w:val="16"/>
        </w:rPr>
        <w:t xml:space="preserve"> De </w:t>
      </w:r>
      <w:r>
        <w:rPr>
          <w:sz w:val="16"/>
          <w:szCs w:val="16"/>
        </w:rPr>
        <w:t xml:space="preserve">nieuwe bepaling uit 2022 in </w:t>
      </w:r>
      <w:r w:rsidRPr="003B485B">
        <w:rPr>
          <w:sz w:val="16"/>
          <w:szCs w:val="16"/>
        </w:rPr>
        <w:t>artikel 59, lid 1 bis, is door het Koninkrijk verworpen</w:t>
      </w:r>
      <w:r w:rsidR="00B63EA4">
        <w:rPr>
          <w:sz w:val="16"/>
          <w:szCs w:val="16"/>
        </w:rPr>
        <w:t xml:space="preserve">. </w:t>
      </w:r>
      <w:r>
        <w:rPr>
          <w:sz w:val="16"/>
          <w:szCs w:val="16"/>
        </w:rPr>
        <w:t xml:space="preserve">Daarom geldt voor ons land nog de oorspronkelijke bepaling in artikel 59 lid 1 van de IHR van voor de wijziging. </w:t>
      </w:r>
    </w:p>
  </w:footnote>
  <w:footnote w:id="6">
    <w:p w14:paraId="5BCF921A" w14:textId="77777777" w:rsidR="00567A9C" w:rsidRPr="00567A9C" w:rsidRDefault="00503E0B" w:rsidP="00567A9C">
      <w:pPr>
        <w:pStyle w:val="Voetnoottekst"/>
        <w:rPr>
          <w:sz w:val="16"/>
          <w:szCs w:val="16"/>
        </w:rPr>
      </w:pPr>
      <w:r w:rsidRPr="00567A9C">
        <w:rPr>
          <w:rStyle w:val="Voetnootmarkering"/>
          <w:sz w:val="16"/>
          <w:szCs w:val="16"/>
        </w:rPr>
        <w:footnoteRef/>
      </w:r>
      <w:r w:rsidRPr="00567A9C">
        <w:rPr>
          <w:sz w:val="16"/>
          <w:szCs w:val="16"/>
        </w:rPr>
        <w:t xml:space="preserve"> De</w:t>
      </w:r>
      <w:r w:rsidR="002207C1">
        <w:rPr>
          <w:sz w:val="16"/>
          <w:szCs w:val="16"/>
        </w:rPr>
        <w:t>ze</w:t>
      </w:r>
      <w:r w:rsidRPr="00567A9C">
        <w:rPr>
          <w:sz w:val="16"/>
          <w:szCs w:val="16"/>
        </w:rPr>
        <w:t xml:space="preserve"> procedure </w:t>
      </w:r>
      <w:r w:rsidR="002207C1">
        <w:rPr>
          <w:sz w:val="16"/>
          <w:szCs w:val="16"/>
        </w:rPr>
        <w:t xml:space="preserve">is </w:t>
      </w:r>
      <w:r w:rsidRPr="00567A9C">
        <w:rPr>
          <w:sz w:val="16"/>
          <w:szCs w:val="16"/>
        </w:rPr>
        <w:t>vastgelegd in artikelen 7, onder b en 8, eerste lid van de Rijkswet goedkeuring en bekendmaking verdragen (Rgbv).</w:t>
      </w:r>
    </w:p>
  </w:footnote>
  <w:footnote w:id="7">
    <w:p w14:paraId="4524C7DC" w14:textId="77777777" w:rsidR="006A01E5" w:rsidRPr="00E91CA6" w:rsidRDefault="00503E0B">
      <w:pPr>
        <w:pStyle w:val="Voetnoottekst"/>
        <w:rPr>
          <w:sz w:val="16"/>
          <w:szCs w:val="16"/>
        </w:rPr>
      </w:pPr>
      <w:r w:rsidRPr="00E91CA6">
        <w:rPr>
          <w:rStyle w:val="Voetnootmarkering"/>
          <w:sz w:val="16"/>
          <w:szCs w:val="16"/>
        </w:rPr>
        <w:footnoteRef/>
      </w:r>
      <w:r w:rsidRPr="00E91CA6">
        <w:rPr>
          <w:sz w:val="16"/>
          <w:szCs w:val="16"/>
        </w:rPr>
        <w:t xml:space="preserve"> De Engelstalige </w:t>
      </w:r>
      <w:r w:rsidR="00DB1C27">
        <w:rPr>
          <w:sz w:val="16"/>
          <w:szCs w:val="16"/>
        </w:rPr>
        <w:t>tekst</w:t>
      </w:r>
      <w:r w:rsidRPr="00E91CA6">
        <w:rPr>
          <w:sz w:val="16"/>
          <w:szCs w:val="16"/>
        </w:rPr>
        <w:t xml:space="preserve"> van </w:t>
      </w:r>
      <w:r w:rsidR="00DB1C27">
        <w:rPr>
          <w:sz w:val="16"/>
          <w:szCs w:val="16"/>
        </w:rPr>
        <w:t xml:space="preserve">de gewijzigde artikelen en bijlagen van de IHR </w:t>
      </w:r>
      <w:r w:rsidRPr="00E91CA6">
        <w:rPr>
          <w:sz w:val="16"/>
          <w:szCs w:val="16"/>
        </w:rPr>
        <w:t xml:space="preserve">is in het Tractatenblad gepubliceerd en bijgesloten (zie bijlage </w:t>
      </w:r>
      <w:r w:rsidR="00640009" w:rsidRPr="00E91CA6">
        <w:rPr>
          <w:sz w:val="16"/>
          <w:szCs w:val="16"/>
        </w:rPr>
        <w:t>2</w:t>
      </w:r>
      <w:r w:rsidRPr="00E91CA6">
        <w:rPr>
          <w:sz w:val="16"/>
          <w:szCs w:val="16"/>
        </w:rPr>
        <w:t>).</w:t>
      </w:r>
    </w:p>
  </w:footnote>
  <w:footnote w:id="8">
    <w:p w14:paraId="2F1429A6" w14:textId="77777777" w:rsidR="006A01E5" w:rsidRPr="006A01E5" w:rsidRDefault="00503E0B">
      <w:pPr>
        <w:pStyle w:val="Voetnoottekst"/>
        <w:rPr>
          <w:lang w:val="en-GB"/>
        </w:rPr>
      </w:pPr>
      <w:r w:rsidRPr="00E91CA6">
        <w:rPr>
          <w:rStyle w:val="Voetnootmarkering"/>
          <w:sz w:val="16"/>
          <w:szCs w:val="16"/>
        </w:rPr>
        <w:footnoteRef/>
      </w:r>
      <w:r w:rsidRPr="00E91CA6">
        <w:rPr>
          <w:sz w:val="16"/>
          <w:szCs w:val="16"/>
          <w:lang w:val="en-GB"/>
        </w:rPr>
        <w:t xml:space="preserve"> COM (2024) 541 final, 14 November 2024; COM (2024) 541 (final) Annex, 14 November 2024.</w:t>
      </w:r>
    </w:p>
  </w:footnote>
  <w:footnote w:id="9">
    <w:p w14:paraId="338EA045" w14:textId="77777777" w:rsidR="002C2E98" w:rsidRPr="009B72F3" w:rsidRDefault="00503E0B" w:rsidP="002C2E98">
      <w:pPr>
        <w:pStyle w:val="Voetnoottekst"/>
        <w:rPr>
          <w:sz w:val="16"/>
          <w:szCs w:val="16"/>
        </w:rPr>
      </w:pPr>
      <w:r w:rsidRPr="009B72F3">
        <w:rPr>
          <w:rStyle w:val="Voetnootmarkering"/>
          <w:sz w:val="16"/>
          <w:szCs w:val="16"/>
        </w:rPr>
        <w:footnoteRef/>
      </w:r>
      <w:r w:rsidRPr="009B72F3">
        <w:rPr>
          <w:sz w:val="16"/>
          <w:szCs w:val="16"/>
        </w:rPr>
        <w:t xml:space="preserve"> De eerste voorloper van de IHR was de International Sanitary Regulations (ISR) uit 1951.</w:t>
      </w:r>
    </w:p>
  </w:footnote>
  <w:footnote w:id="10">
    <w:p w14:paraId="01A73E2D" w14:textId="77777777" w:rsidR="002C2E98" w:rsidRPr="002C2E98" w:rsidRDefault="00503E0B">
      <w:pPr>
        <w:pStyle w:val="Voetnoottekst"/>
        <w:rPr>
          <w:sz w:val="16"/>
          <w:szCs w:val="16"/>
        </w:rPr>
      </w:pPr>
      <w:r w:rsidRPr="002C2E98">
        <w:rPr>
          <w:rStyle w:val="Voetnootmarkering"/>
          <w:sz w:val="16"/>
          <w:szCs w:val="16"/>
        </w:rPr>
        <w:footnoteRef/>
      </w:r>
      <w:r w:rsidRPr="002C2E98">
        <w:rPr>
          <w:sz w:val="16"/>
          <w:szCs w:val="16"/>
        </w:rPr>
        <w:t xml:space="preserve"> </w:t>
      </w:r>
      <w:r w:rsidR="00E91CA6">
        <w:rPr>
          <w:sz w:val="16"/>
          <w:szCs w:val="16"/>
        </w:rPr>
        <w:t>B</w:t>
      </w:r>
      <w:r w:rsidRPr="002C2E98">
        <w:rPr>
          <w:sz w:val="16"/>
          <w:szCs w:val="16"/>
        </w:rPr>
        <w:t>ijvoorbeeld</w:t>
      </w:r>
      <w:r w:rsidR="00E91CA6">
        <w:rPr>
          <w:sz w:val="16"/>
          <w:szCs w:val="16"/>
        </w:rPr>
        <w:t xml:space="preserve">: </w:t>
      </w:r>
      <w:r w:rsidRPr="002C2E98">
        <w:rPr>
          <w:sz w:val="16"/>
          <w:szCs w:val="16"/>
        </w:rPr>
        <w:t>het vereiste dat ieder land een nationaal systeem voor monitoring, surveillance, analyse, paraatheid en respons dient te hebben</w:t>
      </w:r>
      <w:r w:rsidR="00E91CA6">
        <w:rPr>
          <w:sz w:val="16"/>
          <w:szCs w:val="16"/>
        </w:rPr>
        <w:t xml:space="preserve">, of; </w:t>
      </w:r>
      <w:r>
        <w:rPr>
          <w:sz w:val="16"/>
          <w:szCs w:val="16"/>
        </w:rPr>
        <w:t xml:space="preserve">het vereiste dat bij belangrijke </w:t>
      </w:r>
      <w:r w:rsidRPr="002C2E98">
        <w:rPr>
          <w:sz w:val="16"/>
          <w:szCs w:val="16"/>
        </w:rPr>
        <w:t>vervoersknooppunten als lucht- en zeehavens</w:t>
      </w:r>
      <w:r>
        <w:rPr>
          <w:sz w:val="16"/>
          <w:szCs w:val="16"/>
        </w:rPr>
        <w:t xml:space="preserve"> </w:t>
      </w:r>
      <w:r w:rsidRPr="002C2E98">
        <w:rPr>
          <w:sz w:val="16"/>
          <w:szCs w:val="16"/>
        </w:rPr>
        <w:t>gezondheid</w:t>
      </w:r>
      <w:r>
        <w:rPr>
          <w:sz w:val="16"/>
          <w:szCs w:val="16"/>
        </w:rPr>
        <w:t xml:space="preserve"> </w:t>
      </w:r>
      <w:r w:rsidRPr="002C2E98">
        <w:rPr>
          <w:sz w:val="16"/>
          <w:szCs w:val="16"/>
        </w:rPr>
        <w:t xml:space="preserve">beschermende maatregelen </w:t>
      </w:r>
      <w:r>
        <w:rPr>
          <w:sz w:val="16"/>
          <w:szCs w:val="16"/>
        </w:rPr>
        <w:t>in acht worden genomen.</w:t>
      </w:r>
    </w:p>
  </w:footnote>
  <w:footnote w:id="11">
    <w:p w14:paraId="0809064A" w14:textId="77777777" w:rsidR="002C2E98" w:rsidRPr="00E91CA6" w:rsidRDefault="00503E0B" w:rsidP="002C2E98">
      <w:pPr>
        <w:pStyle w:val="Voetnoottekst"/>
        <w:rPr>
          <w:sz w:val="16"/>
          <w:szCs w:val="16"/>
        </w:rPr>
      </w:pPr>
      <w:r w:rsidRPr="00E91CA6">
        <w:rPr>
          <w:rStyle w:val="Voetnootmarkering"/>
          <w:sz w:val="16"/>
          <w:szCs w:val="16"/>
        </w:rPr>
        <w:footnoteRef/>
      </w:r>
      <w:r w:rsidRPr="00E91CA6">
        <w:rPr>
          <w:sz w:val="16"/>
          <w:szCs w:val="16"/>
        </w:rPr>
        <w:t xml:space="preserve"> Tractatenblad 2024, 132. Artikel 11, 1, 11, 12, 15, 48, 19. </w:t>
      </w:r>
      <w:r w:rsidR="00640009" w:rsidRPr="00E91CA6">
        <w:rPr>
          <w:sz w:val="16"/>
          <w:szCs w:val="16"/>
        </w:rPr>
        <w:t>In de definitie voor de pandemische noodsituatie zijn criteria opgenomen waarmee deze zich onderscheid van een reguliere PHEIC.</w:t>
      </w:r>
    </w:p>
  </w:footnote>
  <w:footnote w:id="12">
    <w:p w14:paraId="5D42F25D" w14:textId="77777777" w:rsidR="00E91CA6" w:rsidRPr="00E91CA6" w:rsidRDefault="00503E0B" w:rsidP="00E91CA6">
      <w:pPr>
        <w:pStyle w:val="Voetnoottekst"/>
        <w:rPr>
          <w:sz w:val="16"/>
          <w:szCs w:val="16"/>
        </w:rPr>
      </w:pPr>
      <w:r w:rsidRPr="00E91CA6">
        <w:rPr>
          <w:rStyle w:val="Voetnootmarkering"/>
          <w:sz w:val="16"/>
          <w:szCs w:val="16"/>
        </w:rPr>
        <w:footnoteRef/>
      </w:r>
      <w:r w:rsidRPr="00E91CA6">
        <w:rPr>
          <w:sz w:val="16"/>
          <w:szCs w:val="16"/>
        </w:rPr>
        <w:t xml:space="preserve"> Ibid. Artikel 13, lid (7) (8).</w:t>
      </w:r>
    </w:p>
  </w:footnote>
  <w:footnote w:id="13">
    <w:p w14:paraId="6C58C8F0" w14:textId="77777777" w:rsidR="00E91CA6" w:rsidRPr="00E91CA6" w:rsidRDefault="00503E0B" w:rsidP="00E91CA6">
      <w:pPr>
        <w:pStyle w:val="Voetnoottekst"/>
        <w:rPr>
          <w:sz w:val="16"/>
          <w:szCs w:val="16"/>
        </w:rPr>
      </w:pPr>
      <w:r w:rsidRPr="00E91CA6">
        <w:rPr>
          <w:rStyle w:val="Voetnootmarkering"/>
          <w:sz w:val="16"/>
          <w:szCs w:val="16"/>
        </w:rPr>
        <w:footnoteRef/>
      </w:r>
      <w:r w:rsidRPr="00E91CA6">
        <w:rPr>
          <w:sz w:val="16"/>
          <w:szCs w:val="16"/>
        </w:rPr>
        <w:t xml:space="preserve"> Ibid. Artikel 13, lid (9).</w:t>
      </w:r>
    </w:p>
  </w:footnote>
  <w:footnote w:id="14">
    <w:p w14:paraId="25219DF8" w14:textId="77777777" w:rsidR="00E91CA6" w:rsidRPr="00E91CA6" w:rsidRDefault="00503E0B">
      <w:pPr>
        <w:pStyle w:val="Voetnoottekst"/>
        <w:rPr>
          <w:sz w:val="16"/>
          <w:szCs w:val="16"/>
        </w:rPr>
      </w:pPr>
      <w:r w:rsidRPr="00E91CA6">
        <w:rPr>
          <w:rStyle w:val="Voetnootmarkering"/>
          <w:sz w:val="16"/>
          <w:szCs w:val="16"/>
        </w:rPr>
        <w:footnoteRef/>
      </w:r>
      <w:r w:rsidRPr="00E91CA6">
        <w:rPr>
          <w:sz w:val="16"/>
          <w:szCs w:val="16"/>
        </w:rPr>
        <w:t xml:space="preserve"> Ibid. Artikel 24, 37, </w:t>
      </w:r>
      <w:r w:rsidR="00543031">
        <w:rPr>
          <w:sz w:val="16"/>
          <w:szCs w:val="16"/>
        </w:rPr>
        <w:t>Bijlage</w:t>
      </w:r>
      <w:r w:rsidRPr="00E91CA6">
        <w:rPr>
          <w:sz w:val="16"/>
          <w:szCs w:val="16"/>
        </w:rPr>
        <w:t xml:space="preserve"> 3, 4, 8.</w:t>
      </w:r>
    </w:p>
  </w:footnote>
  <w:footnote w:id="15">
    <w:p w14:paraId="15B5F376" w14:textId="77777777" w:rsidR="00640009" w:rsidRPr="00E91CA6" w:rsidRDefault="00503E0B">
      <w:pPr>
        <w:pStyle w:val="Voetnoottekst"/>
        <w:rPr>
          <w:sz w:val="16"/>
          <w:szCs w:val="16"/>
        </w:rPr>
      </w:pPr>
      <w:r w:rsidRPr="00E91CA6">
        <w:rPr>
          <w:rStyle w:val="Voetnootmarkering"/>
          <w:sz w:val="16"/>
          <w:szCs w:val="16"/>
        </w:rPr>
        <w:footnoteRef/>
      </w:r>
      <w:r w:rsidRPr="00E91CA6">
        <w:rPr>
          <w:sz w:val="16"/>
          <w:szCs w:val="16"/>
        </w:rPr>
        <w:t xml:space="preserve"> </w:t>
      </w:r>
      <w:r w:rsidRPr="00E91CA6">
        <w:rPr>
          <w:color w:val="231F20"/>
          <w:sz w:val="16"/>
          <w:szCs w:val="16"/>
        </w:rPr>
        <w:t>In Nederland is dat het Centrum voor Infectieziektebestrijding (Cib) van het RIVM.</w:t>
      </w:r>
    </w:p>
  </w:footnote>
  <w:footnote w:id="16">
    <w:p w14:paraId="0049AA79" w14:textId="77777777" w:rsidR="00640009" w:rsidRPr="00E91CA6" w:rsidRDefault="00503E0B">
      <w:pPr>
        <w:pStyle w:val="Voetnoottekst"/>
        <w:rPr>
          <w:sz w:val="16"/>
          <w:szCs w:val="16"/>
        </w:rPr>
      </w:pPr>
      <w:r w:rsidRPr="00E91CA6">
        <w:rPr>
          <w:rStyle w:val="Voetnootmarkering"/>
          <w:sz w:val="16"/>
          <w:szCs w:val="16"/>
        </w:rPr>
        <w:footnoteRef/>
      </w:r>
      <w:r w:rsidRPr="00E91CA6">
        <w:rPr>
          <w:sz w:val="16"/>
          <w:szCs w:val="16"/>
        </w:rPr>
        <w:t xml:space="preserve"> Tractatenblad 2024, 132. Artikel 8, 9 (4).</w:t>
      </w:r>
    </w:p>
  </w:footnote>
  <w:footnote w:id="17">
    <w:p w14:paraId="251D84B4" w14:textId="77777777" w:rsidR="00E91CA6" w:rsidRPr="00E91CA6" w:rsidRDefault="00503E0B">
      <w:pPr>
        <w:pStyle w:val="Voetnoottekst"/>
        <w:rPr>
          <w:sz w:val="16"/>
          <w:szCs w:val="16"/>
        </w:rPr>
      </w:pPr>
      <w:r w:rsidRPr="00E91CA6">
        <w:rPr>
          <w:rStyle w:val="Voetnootmarkering"/>
          <w:sz w:val="16"/>
          <w:szCs w:val="16"/>
        </w:rPr>
        <w:footnoteRef/>
      </w:r>
      <w:r w:rsidRPr="00E91CA6">
        <w:rPr>
          <w:sz w:val="16"/>
          <w:szCs w:val="16"/>
        </w:rPr>
        <w:t xml:space="preserve"> Ibid. Artikel 44.</w:t>
      </w:r>
    </w:p>
  </w:footnote>
  <w:footnote w:id="18">
    <w:p w14:paraId="7878AF53" w14:textId="77777777" w:rsidR="009A0A15" w:rsidRPr="00486C5E" w:rsidRDefault="00503E0B">
      <w:pPr>
        <w:pStyle w:val="Voetnoottekst"/>
        <w:rPr>
          <w:sz w:val="16"/>
          <w:szCs w:val="16"/>
        </w:rPr>
      </w:pPr>
      <w:r w:rsidRPr="009A0A15">
        <w:rPr>
          <w:rStyle w:val="Voetnootmarkering"/>
          <w:sz w:val="16"/>
          <w:szCs w:val="16"/>
        </w:rPr>
        <w:footnoteRef/>
      </w:r>
      <w:r w:rsidRPr="00486C5E">
        <w:rPr>
          <w:sz w:val="16"/>
          <w:szCs w:val="16"/>
        </w:rPr>
        <w:t xml:space="preserve"> </w:t>
      </w:r>
      <w:r w:rsidRPr="00486C5E">
        <w:rPr>
          <w:rFonts w:cs="Arial"/>
          <w:sz w:val="16"/>
          <w:szCs w:val="16"/>
          <w:shd w:val="clear" w:color="auto" w:fill="FFFFFF"/>
        </w:rPr>
        <w:t>TZ202412-002, 20 november 2024.</w:t>
      </w:r>
    </w:p>
  </w:footnote>
  <w:footnote w:id="19">
    <w:p w14:paraId="48EB0BBF" w14:textId="77777777" w:rsidR="009A0A15" w:rsidRPr="00486C5E" w:rsidRDefault="00503E0B" w:rsidP="009A0A15">
      <w:pPr>
        <w:pStyle w:val="Voetnoottekst"/>
        <w:rPr>
          <w:sz w:val="16"/>
          <w:szCs w:val="16"/>
        </w:rPr>
      </w:pPr>
      <w:r w:rsidRPr="009109B6">
        <w:rPr>
          <w:rStyle w:val="Voetnootmarkering"/>
          <w:sz w:val="16"/>
          <w:szCs w:val="16"/>
        </w:rPr>
        <w:footnoteRef/>
      </w:r>
      <w:r w:rsidRPr="00486C5E">
        <w:rPr>
          <w:sz w:val="16"/>
          <w:szCs w:val="16"/>
        </w:rPr>
        <w:t xml:space="preserve"> </w:t>
      </w:r>
      <w:hyperlink r:id="rId4" w:history="1">
        <w:r w:rsidRPr="00486C5E">
          <w:rPr>
            <w:rStyle w:val="Hyperlink"/>
            <w:sz w:val="16"/>
            <w:szCs w:val="16"/>
          </w:rPr>
          <w:t>https://apps.who.int/gb/ebwha/pdf_files/WHA77/A77_10-en.pdf</w:t>
        </w:r>
      </w:hyperlink>
      <w:r w:rsidRPr="00486C5E">
        <w:rPr>
          <w:sz w:val="16"/>
          <w:szCs w:val="16"/>
        </w:rPr>
        <w:t xml:space="preserve"> </w:t>
      </w:r>
    </w:p>
  </w:footnote>
  <w:footnote w:id="20">
    <w:p w14:paraId="7C2E7D51" w14:textId="77777777" w:rsidR="009920C7" w:rsidRPr="009920C7" w:rsidRDefault="00503E0B">
      <w:pPr>
        <w:pStyle w:val="Voetnoottekst"/>
        <w:rPr>
          <w:sz w:val="16"/>
          <w:szCs w:val="16"/>
        </w:rPr>
      </w:pPr>
      <w:r w:rsidRPr="009920C7">
        <w:rPr>
          <w:rStyle w:val="Voetnootmarkering"/>
          <w:sz w:val="16"/>
          <w:szCs w:val="16"/>
        </w:rPr>
        <w:footnoteRef/>
      </w:r>
      <w:r w:rsidRPr="009920C7">
        <w:rPr>
          <w:sz w:val="16"/>
          <w:szCs w:val="16"/>
        </w:rPr>
        <w:t xml:space="preserve"> </w:t>
      </w:r>
      <w:hyperlink r:id="rId5" w:history="1">
        <w:r w:rsidRPr="009920C7">
          <w:rPr>
            <w:rStyle w:val="Hyperlink"/>
            <w:sz w:val="16"/>
            <w:szCs w:val="16"/>
          </w:rPr>
          <w:t>https://apps.who.int/gb/ebwha/pdf_files/WHA77/A77_10-en.pdf</w:t>
        </w:r>
      </w:hyperlink>
      <w:r w:rsidRPr="009920C7">
        <w:rPr>
          <w:rStyle w:val="Hyperlink"/>
          <w:sz w:val="16"/>
          <w:szCs w:val="16"/>
        </w:rPr>
        <w:t>; artikel 24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A0FB" w14:textId="77777777" w:rsidR="00CD5856" w:rsidRDefault="00503E0B">
    <w:pPr>
      <w:pStyle w:val="Koptekst"/>
    </w:pPr>
    <w:r>
      <w:rPr>
        <w:noProof/>
        <w:lang w:eastAsia="nl-NL" w:bidi="ar-SA"/>
      </w:rPr>
      <w:drawing>
        <wp:anchor distT="0" distB="0" distL="114300" distR="114300" simplePos="0" relativeHeight="251658240" behindDoc="1" locked="0" layoutInCell="1" allowOverlap="1" wp14:anchorId="008B70BB">
          <wp:simplePos x="0" y="0"/>
          <wp:positionH relativeFrom="page">
            <wp:posOffset>4010660</wp:posOffset>
          </wp:positionH>
          <wp:positionV relativeFrom="page">
            <wp:posOffset>0</wp:posOffset>
          </wp:positionV>
          <wp:extent cx="2337684" cy="1582310"/>
          <wp:effectExtent l="19050" t="0" r="5466" b="0"/>
          <wp:wrapNone/>
          <wp:docPr id="790714733"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14733"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5168" behindDoc="0" locked="0" layoutInCell="1" allowOverlap="1" wp14:anchorId="007062AC">
          <wp:simplePos x="0" y="0"/>
          <wp:positionH relativeFrom="page">
            <wp:posOffset>3542665</wp:posOffset>
          </wp:positionH>
          <wp:positionV relativeFrom="page">
            <wp:posOffset>0</wp:posOffset>
          </wp:positionV>
          <wp:extent cx="461175" cy="1582310"/>
          <wp:effectExtent l="19050" t="0" r="0" b="0"/>
          <wp:wrapNone/>
          <wp:docPr id="891699471"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99471"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CC5B83">
      <w:rPr>
        <w:noProof/>
        <w:lang w:eastAsia="nl-NL" w:bidi="ar-SA"/>
      </w:rPr>
      <mc:AlternateContent>
        <mc:Choice Requires="wps">
          <w:drawing>
            <wp:anchor distT="0" distB="0" distL="114300" distR="114300" simplePos="0" relativeHeight="251657216" behindDoc="0" locked="0" layoutInCell="1" allowOverlap="1" wp14:anchorId="7285FE74" wp14:editId="57292DF0">
              <wp:simplePos x="0" y="0"/>
              <wp:positionH relativeFrom="page">
                <wp:posOffset>5922645</wp:posOffset>
              </wp:positionH>
              <wp:positionV relativeFrom="page">
                <wp:posOffset>1965960</wp:posOffset>
              </wp:positionV>
              <wp:extent cx="1259840" cy="8009890"/>
              <wp:effectExtent l="7620" t="13335" r="8890" b="6350"/>
              <wp:wrapNone/>
              <wp:docPr id="146964365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50DE521" w14:textId="77777777" w:rsidR="00CD5856" w:rsidRDefault="00503E0B">
                          <w:pPr>
                            <w:pStyle w:val="Huisstijl-AfzendgegevensW1"/>
                          </w:pPr>
                          <w:r>
                            <w:t>Bezoekadres</w:t>
                          </w:r>
                        </w:p>
                        <w:p w14:paraId="411BF243" w14:textId="77777777" w:rsidR="00CD5856" w:rsidRDefault="00503E0B">
                          <w:pPr>
                            <w:pStyle w:val="Huisstijl-Afzendgegevens"/>
                          </w:pPr>
                          <w:r>
                            <w:t>Parnassusplein 5</w:t>
                          </w:r>
                        </w:p>
                        <w:p w14:paraId="6829D4EC" w14:textId="77777777" w:rsidR="00CD5856" w:rsidRDefault="00503E0B">
                          <w:pPr>
                            <w:pStyle w:val="Huisstijl-Afzendgegevens"/>
                          </w:pPr>
                          <w:r>
                            <w:t>2511</w:t>
                          </w:r>
                          <w:r w:rsidR="008D59C5" w:rsidRPr="008D59C5">
                            <w:t xml:space="preserve"> </w:t>
                          </w:r>
                          <w:r>
                            <w:t>VX</w:t>
                          </w:r>
                          <w:r w:rsidR="00E1490C">
                            <w:t xml:space="preserve">  </w:t>
                          </w:r>
                          <w:r w:rsidR="008D59C5" w:rsidRPr="008D59C5">
                            <w:t>Den Haag</w:t>
                          </w:r>
                        </w:p>
                        <w:p w14:paraId="27DA40BF" w14:textId="77777777" w:rsidR="00CD5856" w:rsidRDefault="00503E0B">
                          <w:pPr>
                            <w:pStyle w:val="Huisstijl-Afzendgegevens"/>
                          </w:pPr>
                          <w:r w:rsidRPr="008D59C5">
                            <w:t>www.rijksoverheid.nl</w:t>
                          </w:r>
                        </w:p>
                        <w:p w14:paraId="7AF29F26" w14:textId="77777777" w:rsidR="00CD5856" w:rsidRDefault="00503E0B">
                          <w:pPr>
                            <w:pStyle w:val="Huisstijl-ReferentiegegevenskopW2"/>
                          </w:pPr>
                          <w:r w:rsidRPr="008D59C5">
                            <w:t>Kenmerk</w:t>
                          </w:r>
                        </w:p>
                        <w:p w14:paraId="48D064BF" w14:textId="77777777" w:rsidR="00CD5856" w:rsidRDefault="00503E0B">
                          <w:pPr>
                            <w:pStyle w:val="Huisstijl-Referentiegegevens"/>
                          </w:pPr>
                          <w:bookmarkStart w:id="0" w:name="_Hlk117784077"/>
                          <w:r>
                            <w:t>3990329-1074289-IZB</w:t>
                          </w:r>
                        </w:p>
                        <w:bookmarkEnd w:id="0"/>
                        <w:p w14:paraId="7DB5DB9C" w14:textId="77777777" w:rsidR="00CD5856" w:rsidRPr="002B504F" w:rsidRDefault="00503E0B">
                          <w:pPr>
                            <w:pStyle w:val="Huisstijl-ReferentiegegevenskopW1"/>
                          </w:pPr>
                          <w:r w:rsidRPr="008D59C5">
                            <w:t>Bijlage(n)</w:t>
                          </w:r>
                        </w:p>
                        <w:p w14:paraId="44B6E2E9" w14:textId="77777777" w:rsidR="00215CB5" w:rsidRPr="002150DF" w:rsidRDefault="00503E0B">
                          <w:pPr>
                            <w:pStyle w:val="Huisstijl-ReferentiegegevenskopW1"/>
                            <w:rPr>
                              <w:b w:val="0"/>
                              <w:bCs/>
                            </w:rPr>
                          </w:pPr>
                          <w:r>
                            <w:rPr>
                              <w:b w:val="0"/>
                              <w:bCs/>
                            </w:rPr>
                            <w:t>2</w:t>
                          </w:r>
                        </w:p>
                        <w:p w14:paraId="372BEC92" w14:textId="77777777" w:rsidR="00CD5856" w:rsidRDefault="00503E0B">
                          <w:pPr>
                            <w:pStyle w:val="Huisstijl-ReferentiegegevenskopW1"/>
                          </w:pPr>
                          <w:r>
                            <w:t>Kenmerk afzender</w:t>
                          </w:r>
                        </w:p>
                        <w:p w14:paraId="2B1F7468" w14:textId="77777777" w:rsidR="00CD5856" w:rsidRDefault="00CD5856">
                          <w:pPr>
                            <w:pStyle w:val="Huisstijl-Referentiegegevens"/>
                          </w:pPr>
                        </w:p>
                        <w:p w14:paraId="70C18BAD" w14:textId="77777777" w:rsidR="00CD5856" w:rsidRDefault="00503E0B">
                          <w:pPr>
                            <w:pStyle w:val="Huisstijl-Algemenevoorwaarden"/>
                          </w:pPr>
                          <w:r>
                            <w:t xml:space="preserve">Correspondentie uitsluitend richten aan het retouradres met vermelding van de datum en het </w:t>
                          </w:r>
                          <w:r>
                            <w:t>kenmerk van deze brief.</w:t>
                          </w:r>
                        </w:p>
                        <w:p w14:paraId="4C185A24"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85FE74"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450DE521" w14:textId="77777777" w:rsidR="00CD5856" w:rsidRDefault="00503E0B">
                    <w:pPr>
                      <w:pStyle w:val="Huisstijl-AfzendgegevensW1"/>
                    </w:pPr>
                    <w:r>
                      <w:t>Bezoekadres</w:t>
                    </w:r>
                  </w:p>
                  <w:p w14:paraId="411BF243" w14:textId="77777777" w:rsidR="00CD5856" w:rsidRDefault="00503E0B">
                    <w:pPr>
                      <w:pStyle w:val="Huisstijl-Afzendgegevens"/>
                    </w:pPr>
                    <w:r>
                      <w:t>Parnassusplein 5</w:t>
                    </w:r>
                  </w:p>
                  <w:p w14:paraId="6829D4EC" w14:textId="77777777" w:rsidR="00CD5856" w:rsidRDefault="00503E0B">
                    <w:pPr>
                      <w:pStyle w:val="Huisstijl-Afzendgegevens"/>
                    </w:pPr>
                    <w:r>
                      <w:t>2511</w:t>
                    </w:r>
                    <w:r w:rsidR="008D59C5" w:rsidRPr="008D59C5">
                      <w:t xml:space="preserve"> </w:t>
                    </w:r>
                    <w:r>
                      <w:t>VX</w:t>
                    </w:r>
                    <w:r w:rsidR="00E1490C">
                      <w:t xml:space="preserve">  </w:t>
                    </w:r>
                    <w:r w:rsidR="008D59C5" w:rsidRPr="008D59C5">
                      <w:t>Den Haag</w:t>
                    </w:r>
                  </w:p>
                  <w:p w14:paraId="27DA40BF" w14:textId="77777777" w:rsidR="00CD5856" w:rsidRDefault="00503E0B">
                    <w:pPr>
                      <w:pStyle w:val="Huisstijl-Afzendgegevens"/>
                    </w:pPr>
                    <w:r w:rsidRPr="008D59C5">
                      <w:t>www.rijksoverheid.nl</w:t>
                    </w:r>
                  </w:p>
                  <w:p w14:paraId="7AF29F26" w14:textId="77777777" w:rsidR="00CD5856" w:rsidRDefault="00503E0B">
                    <w:pPr>
                      <w:pStyle w:val="Huisstijl-ReferentiegegevenskopW2"/>
                    </w:pPr>
                    <w:r w:rsidRPr="008D59C5">
                      <w:t>Kenmerk</w:t>
                    </w:r>
                  </w:p>
                  <w:p w14:paraId="48D064BF" w14:textId="77777777" w:rsidR="00CD5856" w:rsidRDefault="00503E0B">
                    <w:pPr>
                      <w:pStyle w:val="Huisstijl-Referentiegegevens"/>
                    </w:pPr>
                    <w:bookmarkStart w:id="1" w:name="_Hlk117784077"/>
                    <w:r>
                      <w:t>3990329-1074289-IZB</w:t>
                    </w:r>
                  </w:p>
                  <w:bookmarkEnd w:id="1"/>
                  <w:p w14:paraId="7DB5DB9C" w14:textId="77777777" w:rsidR="00CD5856" w:rsidRPr="002B504F" w:rsidRDefault="00503E0B">
                    <w:pPr>
                      <w:pStyle w:val="Huisstijl-ReferentiegegevenskopW1"/>
                    </w:pPr>
                    <w:r w:rsidRPr="008D59C5">
                      <w:t>Bijlage(n)</w:t>
                    </w:r>
                  </w:p>
                  <w:p w14:paraId="44B6E2E9" w14:textId="77777777" w:rsidR="00215CB5" w:rsidRPr="002150DF" w:rsidRDefault="00503E0B">
                    <w:pPr>
                      <w:pStyle w:val="Huisstijl-ReferentiegegevenskopW1"/>
                      <w:rPr>
                        <w:b w:val="0"/>
                        <w:bCs/>
                      </w:rPr>
                    </w:pPr>
                    <w:r>
                      <w:rPr>
                        <w:b w:val="0"/>
                        <w:bCs/>
                      </w:rPr>
                      <w:t>2</w:t>
                    </w:r>
                  </w:p>
                  <w:p w14:paraId="372BEC92" w14:textId="77777777" w:rsidR="00CD5856" w:rsidRDefault="00503E0B">
                    <w:pPr>
                      <w:pStyle w:val="Huisstijl-ReferentiegegevenskopW1"/>
                    </w:pPr>
                    <w:r>
                      <w:t>Kenmerk afzender</w:t>
                    </w:r>
                  </w:p>
                  <w:p w14:paraId="2B1F7468" w14:textId="77777777" w:rsidR="00CD5856" w:rsidRDefault="00CD5856">
                    <w:pPr>
                      <w:pStyle w:val="Huisstijl-Referentiegegevens"/>
                    </w:pPr>
                  </w:p>
                  <w:p w14:paraId="70C18BAD" w14:textId="77777777" w:rsidR="00CD5856" w:rsidRDefault="00503E0B">
                    <w:pPr>
                      <w:pStyle w:val="Huisstijl-Algemenevoorwaarden"/>
                    </w:pPr>
                    <w:r>
                      <w:t xml:space="preserve">Correspondentie uitsluitend richten aan het retouradres met vermelding van de datum en het </w:t>
                    </w:r>
                    <w:r>
                      <w:t>kenmerk van deze brief.</w:t>
                    </w:r>
                  </w:p>
                  <w:p w14:paraId="4C185A24" w14:textId="77777777" w:rsidR="00CD5856" w:rsidRDefault="00CD5856"/>
                </w:txbxContent>
              </v:textbox>
              <w10:wrap anchorx="page" anchory="page"/>
            </v:shape>
          </w:pict>
        </mc:Fallback>
      </mc:AlternateContent>
    </w:r>
    <w:r w:rsidR="00CC5B83">
      <w:rPr>
        <w:noProof/>
        <w:lang w:eastAsia="nl-NL" w:bidi="ar-SA"/>
      </w:rPr>
      <mc:AlternateContent>
        <mc:Choice Requires="wps">
          <w:drawing>
            <wp:anchor distT="0" distB="0" distL="114300" distR="114300" simplePos="0" relativeHeight="251656192" behindDoc="0" locked="0" layoutInCell="1" allowOverlap="1" wp14:anchorId="197FA6A8" wp14:editId="7476CC7C">
              <wp:simplePos x="0" y="0"/>
              <wp:positionH relativeFrom="page">
                <wp:posOffset>1011555</wp:posOffset>
              </wp:positionH>
              <wp:positionV relativeFrom="page">
                <wp:posOffset>3769995</wp:posOffset>
              </wp:positionV>
              <wp:extent cx="4103370" cy="619125"/>
              <wp:effectExtent l="11430" t="7620" r="9525" b="11430"/>
              <wp:wrapNone/>
              <wp:docPr id="27048466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07BD2037" w14:textId="77777777" w:rsidR="00CD5856" w:rsidRPr="00BC3591" w:rsidRDefault="00503E0B">
                          <w:pPr>
                            <w:pStyle w:val="Huisstijl-Datumenbetreft"/>
                            <w:tabs>
                              <w:tab w:val="clear" w:pos="737"/>
                              <w:tab w:val="left" w:pos="-5954"/>
                              <w:tab w:val="left" w:pos="-5670"/>
                              <w:tab w:val="left" w:pos="1134"/>
                            </w:tabs>
                          </w:pPr>
                          <w:r w:rsidRPr="00BC3591">
                            <w:t>Datum</w:t>
                          </w:r>
                          <w:r w:rsidR="00E1490C" w:rsidRPr="00BC3591">
                            <w:tab/>
                          </w:r>
                          <w:r w:rsidR="007F0FEF">
                            <w:t>20 december 2024</w:t>
                          </w:r>
                        </w:p>
                        <w:p w14:paraId="7D899F64" w14:textId="77777777" w:rsidR="00CD5856" w:rsidRPr="008008DF" w:rsidRDefault="00503E0B" w:rsidP="008008DF">
                          <w:pPr>
                            <w:pStyle w:val="Huisstijl-Datumenbetreft"/>
                            <w:tabs>
                              <w:tab w:val="clear" w:pos="737"/>
                              <w:tab w:val="left" w:pos="-5954"/>
                              <w:tab w:val="left" w:pos="-5670"/>
                              <w:tab w:val="left" w:pos="1134"/>
                            </w:tabs>
                            <w:ind w:left="1128" w:hanging="1128"/>
                          </w:pPr>
                          <w:r w:rsidRPr="008008DF">
                            <w:t>Betreft</w:t>
                          </w:r>
                          <w:r w:rsidR="00E1490C" w:rsidRPr="008008DF">
                            <w:tab/>
                          </w:r>
                          <w:r w:rsidR="008008DF" w:rsidRPr="008008DF">
                            <w:t xml:space="preserve">Wijziging </w:t>
                          </w:r>
                          <w:r w:rsidR="00C12F79">
                            <w:t>Internationale Gezondheidsregeling 2005 (IHR)</w:t>
                          </w:r>
                          <w:r w:rsidR="008008DF" w:rsidRPr="008008DF">
                            <w:t xml:space="preserve"> en </w:t>
                          </w:r>
                          <w:r w:rsidR="00C12F79">
                            <w:t xml:space="preserve">update </w:t>
                          </w:r>
                          <w:r w:rsidR="008008DF">
                            <w:t>onderhandelingen pandemie-instrument</w:t>
                          </w:r>
                        </w:p>
                        <w:p w14:paraId="23B4AF20" w14:textId="77777777" w:rsidR="00CD5856" w:rsidRPr="008008DF"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7FA6A8" id="Text Box 29" o:spid="_x0000_s1027" type="#_x0000_t202" style="position:absolute;margin-left:79.65pt;margin-top:296.85pt;width:323.1pt;height:48.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07BD2037" w14:textId="77777777" w:rsidR="00CD5856" w:rsidRPr="00BC3591" w:rsidRDefault="00503E0B">
                    <w:pPr>
                      <w:pStyle w:val="Huisstijl-Datumenbetreft"/>
                      <w:tabs>
                        <w:tab w:val="clear" w:pos="737"/>
                        <w:tab w:val="left" w:pos="-5954"/>
                        <w:tab w:val="left" w:pos="-5670"/>
                        <w:tab w:val="left" w:pos="1134"/>
                      </w:tabs>
                    </w:pPr>
                    <w:r w:rsidRPr="00BC3591">
                      <w:t>Datum</w:t>
                    </w:r>
                    <w:r w:rsidR="00E1490C" w:rsidRPr="00BC3591">
                      <w:tab/>
                    </w:r>
                    <w:r w:rsidR="007F0FEF">
                      <w:t>20 december 2024</w:t>
                    </w:r>
                  </w:p>
                  <w:p w14:paraId="7D899F64" w14:textId="77777777" w:rsidR="00CD5856" w:rsidRPr="008008DF" w:rsidRDefault="00503E0B" w:rsidP="008008DF">
                    <w:pPr>
                      <w:pStyle w:val="Huisstijl-Datumenbetreft"/>
                      <w:tabs>
                        <w:tab w:val="clear" w:pos="737"/>
                        <w:tab w:val="left" w:pos="-5954"/>
                        <w:tab w:val="left" w:pos="-5670"/>
                        <w:tab w:val="left" w:pos="1134"/>
                      </w:tabs>
                      <w:ind w:left="1128" w:hanging="1128"/>
                    </w:pPr>
                    <w:r w:rsidRPr="008008DF">
                      <w:t>Betreft</w:t>
                    </w:r>
                    <w:r w:rsidR="00E1490C" w:rsidRPr="008008DF">
                      <w:tab/>
                    </w:r>
                    <w:r w:rsidR="008008DF" w:rsidRPr="008008DF">
                      <w:t xml:space="preserve">Wijziging </w:t>
                    </w:r>
                    <w:r w:rsidR="00C12F79">
                      <w:t>Internationale Gezondheidsregeling 2005 (IHR)</w:t>
                    </w:r>
                    <w:r w:rsidR="008008DF" w:rsidRPr="008008DF">
                      <w:t xml:space="preserve"> en </w:t>
                    </w:r>
                    <w:r w:rsidR="00C12F79">
                      <w:t xml:space="preserve">update </w:t>
                    </w:r>
                    <w:r w:rsidR="008008DF">
                      <w:t>onderhandelingen pandemie-instrument</w:t>
                    </w:r>
                  </w:p>
                  <w:p w14:paraId="23B4AF20" w14:textId="77777777" w:rsidR="00CD5856" w:rsidRPr="008008DF" w:rsidRDefault="00CD5856">
                    <w:pPr>
                      <w:pStyle w:val="Huisstijl-Datumenbetreft"/>
                      <w:tabs>
                        <w:tab w:val="left" w:pos="-5954"/>
                        <w:tab w:val="left" w:pos="-5670"/>
                      </w:tabs>
                    </w:pPr>
                  </w:p>
                </w:txbxContent>
              </v:textbox>
              <w10:wrap anchorx="page" anchory="page"/>
            </v:shape>
          </w:pict>
        </mc:Fallback>
      </mc:AlternateContent>
    </w:r>
    <w:r w:rsidR="00CC5B83">
      <w:rPr>
        <w:noProof/>
        <w:lang w:eastAsia="nl-NL" w:bidi="ar-SA"/>
      </w:rPr>
      <mc:AlternateContent>
        <mc:Choice Requires="wps">
          <w:drawing>
            <wp:anchor distT="0" distB="0" distL="114300" distR="114300" simplePos="0" relativeHeight="251654144" behindDoc="0" locked="0" layoutInCell="1" allowOverlap="1" wp14:anchorId="51294596" wp14:editId="32C4F062">
              <wp:simplePos x="0" y="0"/>
              <wp:positionH relativeFrom="page">
                <wp:posOffset>1008380</wp:posOffset>
              </wp:positionH>
              <wp:positionV relativeFrom="page">
                <wp:posOffset>3384550</wp:posOffset>
              </wp:positionV>
              <wp:extent cx="4104005" cy="179705"/>
              <wp:effectExtent l="8255" t="12700" r="12065" b="7620"/>
              <wp:wrapNone/>
              <wp:docPr id="52039980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861C09B"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94596" id="Text Box 28" o:spid="_x0000_s1028" type="#_x0000_t202" style="position:absolute;margin-left:79.4pt;margin-top:266.5pt;width:323.15pt;height:1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0861C09B" w14:textId="77777777" w:rsidR="00CD5856" w:rsidRDefault="00CD5856">
                    <w:pPr>
                      <w:pStyle w:val="Huisstijl-Toezendgegevens"/>
                    </w:pPr>
                  </w:p>
                </w:txbxContent>
              </v:textbox>
              <w10:wrap anchorx="page" anchory="page"/>
            </v:shape>
          </w:pict>
        </mc:Fallback>
      </mc:AlternateContent>
    </w:r>
    <w:r w:rsidR="00CC5B83">
      <w:rPr>
        <w:noProof/>
        <w:lang w:eastAsia="nl-NL" w:bidi="ar-SA"/>
      </w:rPr>
      <mc:AlternateContent>
        <mc:Choice Requires="wps">
          <w:drawing>
            <wp:anchor distT="0" distB="0" distL="114300" distR="114300" simplePos="0" relativeHeight="251653120" behindDoc="0" locked="0" layoutInCell="1" allowOverlap="1" wp14:anchorId="375F5B11" wp14:editId="4EE613CF">
              <wp:simplePos x="0" y="0"/>
              <wp:positionH relativeFrom="page">
                <wp:posOffset>1008380</wp:posOffset>
              </wp:positionH>
              <wp:positionV relativeFrom="page">
                <wp:posOffset>1944370</wp:posOffset>
              </wp:positionV>
              <wp:extent cx="3347720" cy="1080135"/>
              <wp:effectExtent l="8255" t="10795" r="6350" b="13970"/>
              <wp:wrapNone/>
              <wp:docPr id="18902945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495C26EB" w14:textId="77777777" w:rsidR="00CD5856" w:rsidRDefault="00503E0B">
                          <w:pPr>
                            <w:pStyle w:val="Huisstijl-Toezendgegevens"/>
                          </w:pPr>
                          <w:r>
                            <w:t>De Voorzitter van de Tweede Kamer</w:t>
                          </w:r>
                          <w:r>
                            <w:br/>
                            <w:t>der Staten-Generaal</w:t>
                          </w:r>
                          <w:r>
                            <w:br/>
                            <w:t>Postbus 20018</w:t>
                          </w:r>
                          <w:r>
                            <w:br/>
                            <w:t xml:space="preserve">2500 EA </w:t>
                          </w:r>
                          <w:r w:rsidR="00FC776C">
                            <w:t xml:space="preserve"> </w:t>
                          </w:r>
                          <w:r>
                            <w:t xml:space="preserve">DEN </w:t>
                          </w:r>
                          <w:r>
                            <w:t>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F5B11" id="Text Box 27" o:spid="_x0000_s1029" type="#_x0000_t202" style="position:absolute;margin-left:79.4pt;margin-top:153.1pt;width:263.6pt;height:85.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495C26EB" w14:textId="77777777" w:rsidR="00CD5856" w:rsidRDefault="00503E0B">
                    <w:pPr>
                      <w:pStyle w:val="Huisstijl-Toezendgegevens"/>
                    </w:pPr>
                    <w:r>
                      <w:t>De Voorzitter van de Tweede Kamer</w:t>
                    </w:r>
                    <w:r>
                      <w:br/>
                      <w:t>der Staten-Generaal</w:t>
                    </w:r>
                    <w:r>
                      <w:br/>
                      <w:t>Postbus 20018</w:t>
                    </w:r>
                    <w:r>
                      <w:br/>
                      <w:t xml:space="preserve">2500 EA </w:t>
                    </w:r>
                    <w:r w:rsidR="00FC776C">
                      <w:t xml:space="preserve"> </w:t>
                    </w:r>
                    <w:r>
                      <w:t xml:space="preserve">DEN </w:t>
                    </w:r>
                    <w:r>
                      <w:t>HAAG</w:t>
                    </w:r>
                  </w:p>
                </w:txbxContent>
              </v:textbox>
              <w10:wrap anchorx="page" anchory="page"/>
            </v:shape>
          </w:pict>
        </mc:Fallback>
      </mc:AlternateContent>
    </w:r>
    <w:r w:rsidR="00CC5B83">
      <w:rPr>
        <w:noProof/>
        <w:lang w:eastAsia="nl-NL" w:bidi="ar-SA"/>
      </w:rPr>
      <mc:AlternateContent>
        <mc:Choice Requires="wps">
          <w:drawing>
            <wp:anchor distT="0" distB="0" distL="114300" distR="114300" simplePos="0" relativeHeight="251652096" behindDoc="0" locked="1" layoutInCell="1" allowOverlap="1" wp14:anchorId="60357144" wp14:editId="30119527">
              <wp:simplePos x="0" y="0"/>
              <wp:positionH relativeFrom="page">
                <wp:posOffset>1008380</wp:posOffset>
              </wp:positionH>
              <wp:positionV relativeFrom="page">
                <wp:posOffset>1713865</wp:posOffset>
              </wp:positionV>
              <wp:extent cx="3590925" cy="144145"/>
              <wp:effectExtent l="8255" t="8890" r="10795" b="8890"/>
              <wp:wrapNone/>
              <wp:docPr id="597716269"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AFFDAB4" w14:textId="77777777" w:rsidR="00CD5856" w:rsidRDefault="00503E0B">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57144" id="Text Box 26" o:spid="_x0000_s1030" type="#_x0000_t202" style="position:absolute;margin-left:79.4pt;margin-top:134.95pt;width:282.75pt;height:1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1AFFDAB4" w14:textId="77777777" w:rsidR="00CD5856" w:rsidRDefault="00503E0B">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202A" w14:textId="77777777" w:rsidR="00CD5856" w:rsidRDefault="00CC5B83">
    <w:pPr>
      <w:pStyle w:val="Koptekst"/>
    </w:pPr>
    <w:r>
      <w:rPr>
        <w:noProof/>
        <w:lang w:eastAsia="nl-NL" w:bidi="ar-SA"/>
      </w:rPr>
      <mc:AlternateContent>
        <mc:Choice Requires="wps">
          <w:drawing>
            <wp:anchor distT="0" distB="0" distL="114300" distR="114300" simplePos="0" relativeHeight="251659264" behindDoc="0" locked="0" layoutInCell="1" allowOverlap="1" wp14:anchorId="2F6CB27C" wp14:editId="74DB5E6B">
              <wp:simplePos x="0" y="0"/>
              <wp:positionH relativeFrom="page">
                <wp:posOffset>5922645</wp:posOffset>
              </wp:positionH>
              <wp:positionV relativeFrom="page">
                <wp:posOffset>1936750</wp:posOffset>
              </wp:positionV>
              <wp:extent cx="1259840" cy="8009890"/>
              <wp:effectExtent l="7620" t="12700" r="8890" b="6985"/>
              <wp:wrapNone/>
              <wp:docPr id="17773689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1FF6DAF" w14:textId="77777777" w:rsidR="00CD5856" w:rsidRDefault="00503E0B">
                          <w:pPr>
                            <w:pStyle w:val="Huisstijl-ReferentiegegevenskopW2"/>
                          </w:pPr>
                          <w:r w:rsidRPr="008D59C5">
                            <w:t>Kenmerk</w:t>
                          </w:r>
                        </w:p>
                        <w:p w14:paraId="3F1F7843" w14:textId="77777777" w:rsidR="00C95CA9" w:rsidRPr="00C95CA9" w:rsidRDefault="00503E0B" w:rsidP="00C95CA9">
                          <w:pPr>
                            <w:pStyle w:val="Huisstijl-Referentiegegevens"/>
                          </w:pPr>
                          <w:r w:rsidRPr="00C95CA9">
                            <w:t>3990329-1074289-IZB</w:t>
                          </w:r>
                        </w:p>
                        <w:p w14:paraId="35558A32"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CB27C"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01FF6DAF" w14:textId="77777777" w:rsidR="00CD5856" w:rsidRDefault="00503E0B">
                    <w:pPr>
                      <w:pStyle w:val="Huisstijl-ReferentiegegevenskopW2"/>
                    </w:pPr>
                    <w:r w:rsidRPr="008D59C5">
                      <w:t>Kenmerk</w:t>
                    </w:r>
                  </w:p>
                  <w:p w14:paraId="3F1F7843" w14:textId="77777777" w:rsidR="00C95CA9" w:rsidRPr="00C95CA9" w:rsidRDefault="00503E0B" w:rsidP="00C95CA9">
                    <w:pPr>
                      <w:pStyle w:val="Huisstijl-Referentiegegevens"/>
                    </w:pPr>
                    <w:r w:rsidRPr="00C95CA9">
                      <w:t>3990329-1074289-IZB</w:t>
                    </w:r>
                  </w:p>
                  <w:p w14:paraId="35558A32"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7807FA9D" wp14:editId="6D43878A">
              <wp:simplePos x="0" y="0"/>
              <wp:positionH relativeFrom="page">
                <wp:posOffset>5922645</wp:posOffset>
              </wp:positionH>
              <wp:positionV relativeFrom="page">
                <wp:posOffset>10225405</wp:posOffset>
              </wp:positionV>
              <wp:extent cx="1259840" cy="213995"/>
              <wp:effectExtent l="7620" t="5080" r="8890" b="9525"/>
              <wp:wrapNone/>
              <wp:docPr id="88255340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6FD4D4D7" w14:textId="28F4FFA9" w:rsidR="00CD5856" w:rsidRDefault="00503E0B">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6A3EC9">
                            <w:fldChar w:fldCharType="begin"/>
                          </w:r>
                          <w:r>
                            <w:instrText xml:space="preserve"> SECTIONPAGES  \* Arabic  \* MERGEFORMAT </w:instrText>
                          </w:r>
                          <w:r w:rsidR="006A3EC9">
                            <w:fldChar w:fldCharType="separate"/>
                          </w:r>
                          <w:r>
                            <w:rPr>
                              <w:noProof/>
                            </w:rPr>
                            <w:t>7</w:t>
                          </w:r>
                          <w:r w:rsidR="006A3EC9">
                            <w:rPr>
                              <w:noProof/>
                            </w:rPr>
                            <w:fldChar w:fldCharType="end"/>
                          </w:r>
                        </w:p>
                        <w:p w14:paraId="52F62AD9" w14:textId="77777777" w:rsidR="00CD5856" w:rsidRDefault="00CD5856"/>
                        <w:p w14:paraId="48D6B2A7" w14:textId="77777777" w:rsidR="00CD5856" w:rsidRDefault="00CD5856">
                          <w:pPr>
                            <w:pStyle w:val="Huisstijl-Paginanummer"/>
                          </w:pPr>
                        </w:p>
                        <w:p w14:paraId="6F90991E"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7FA9D"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6FD4D4D7" w14:textId="28F4FFA9" w:rsidR="00CD5856" w:rsidRDefault="00503E0B">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6A3EC9">
                      <w:fldChar w:fldCharType="begin"/>
                    </w:r>
                    <w:r>
                      <w:instrText xml:space="preserve"> SECTIONPAGES  \* Arabic  \* MERGEFORMAT </w:instrText>
                    </w:r>
                    <w:r w:rsidR="006A3EC9">
                      <w:fldChar w:fldCharType="separate"/>
                    </w:r>
                    <w:r>
                      <w:rPr>
                        <w:noProof/>
                      </w:rPr>
                      <w:t>7</w:t>
                    </w:r>
                    <w:r w:rsidR="006A3EC9">
                      <w:rPr>
                        <w:noProof/>
                      </w:rPr>
                      <w:fldChar w:fldCharType="end"/>
                    </w:r>
                  </w:p>
                  <w:p w14:paraId="52F62AD9" w14:textId="77777777" w:rsidR="00CD5856" w:rsidRDefault="00CD5856"/>
                  <w:p w14:paraId="48D6B2A7" w14:textId="77777777" w:rsidR="00CD5856" w:rsidRDefault="00CD5856">
                    <w:pPr>
                      <w:pStyle w:val="Huisstijl-Paginanummer"/>
                    </w:pPr>
                  </w:p>
                  <w:p w14:paraId="6F90991E"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A14B" w14:textId="77777777" w:rsidR="00CD5856" w:rsidRDefault="00CC5B83">
    <w:pPr>
      <w:pStyle w:val="Koptekst"/>
    </w:pPr>
    <w:r>
      <w:rPr>
        <w:noProof/>
        <w:lang w:eastAsia="nl-NL" w:bidi="ar-SA"/>
      </w:rPr>
      <mc:AlternateContent>
        <mc:Choice Requires="wps">
          <w:drawing>
            <wp:anchor distT="0" distB="0" distL="114300" distR="114300" simplePos="0" relativeHeight="251664384" behindDoc="0" locked="0" layoutInCell="1" allowOverlap="1" wp14:anchorId="65264262" wp14:editId="58776C53">
              <wp:simplePos x="0" y="0"/>
              <wp:positionH relativeFrom="page">
                <wp:posOffset>1009650</wp:posOffset>
              </wp:positionH>
              <wp:positionV relativeFrom="page">
                <wp:posOffset>3768725</wp:posOffset>
              </wp:positionV>
              <wp:extent cx="4103370" cy="457200"/>
              <wp:effectExtent l="9525" t="6350" r="11430" b="12700"/>
              <wp:wrapTopAndBottom/>
              <wp:docPr id="144831769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533EFB4" w14:textId="77777777" w:rsidR="00CD5856" w:rsidRDefault="00503E0B">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F0635A">
                                <w:t>26 juni 2014</w:t>
                              </w:r>
                            </w:sdtContent>
                          </w:sdt>
                        </w:p>
                        <w:p w14:paraId="347F778D" w14:textId="77777777" w:rsidR="00CD5856" w:rsidRDefault="00503E0B">
                          <w:pPr>
                            <w:pStyle w:val="Huisstijl-Datumenbetreft"/>
                            <w:tabs>
                              <w:tab w:val="left" w:pos="-5954"/>
                              <w:tab w:val="left" w:pos="-5670"/>
                            </w:tabs>
                          </w:pPr>
                          <w:r>
                            <w:t>Betreft</w:t>
                          </w:r>
                          <w:r>
                            <w:tab/>
                          </w:r>
                          <w:r w:rsidR="008D59C5">
                            <w:t>BETREFT</w:t>
                          </w:r>
                        </w:p>
                        <w:p w14:paraId="191A27AE"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5264262"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533EFB4" w14:textId="77777777" w:rsidR="00CD5856" w:rsidRDefault="00503E0B">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F0635A">
                          <w:t>26 juni 2014</w:t>
                        </w:r>
                      </w:sdtContent>
                    </w:sdt>
                  </w:p>
                  <w:p w14:paraId="347F778D" w14:textId="77777777" w:rsidR="00CD5856" w:rsidRDefault="00503E0B">
                    <w:pPr>
                      <w:pStyle w:val="Huisstijl-Datumenbetreft"/>
                      <w:tabs>
                        <w:tab w:val="left" w:pos="-5954"/>
                        <w:tab w:val="left" w:pos="-5670"/>
                      </w:tabs>
                    </w:pPr>
                    <w:r>
                      <w:t>Betreft</w:t>
                    </w:r>
                    <w:r>
                      <w:tab/>
                    </w:r>
                    <w:r w:rsidR="008D59C5">
                      <w:t>BETREFT</w:t>
                    </w:r>
                  </w:p>
                  <w:p w14:paraId="191A27AE"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07CD926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4773DDB">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D8CE7BB" wp14:editId="291DCB18">
              <wp:simplePos x="0" y="0"/>
              <wp:positionH relativeFrom="page">
                <wp:posOffset>5922645</wp:posOffset>
              </wp:positionH>
              <wp:positionV relativeFrom="page">
                <wp:posOffset>1964690</wp:posOffset>
              </wp:positionV>
              <wp:extent cx="1259840" cy="8009890"/>
              <wp:effectExtent l="7620" t="12065" r="8890" b="7620"/>
              <wp:wrapNone/>
              <wp:docPr id="540955272"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673646E" w14:textId="77777777" w:rsidR="00CD5856" w:rsidRDefault="00503E0B">
                          <w:pPr>
                            <w:pStyle w:val="Huisstijl-Afzendgegevens"/>
                          </w:pPr>
                          <w:r w:rsidRPr="008D59C5">
                            <w:t>Rijnstraat 50</w:t>
                          </w:r>
                        </w:p>
                        <w:p w14:paraId="23E0A2FC" w14:textId="77777777" w:rsidR="00CD5856" w:rsidRDefault="00503E0B">
                          <w:pPr>
                            <w:pStyle w:val="Huisstijl-Afzendgegevens"/>
                          </w:pPr>
                          <w:r w:rsidRPr="008D59C5">
                            <w:t>Den Haag</w:t>
                          </w:r>
                        </w:p>
                        <w:p w14:paraId="7BD95AE9" w14:textId="77777777" w:rsidR="00CD5856" w:rsidRDefault="00503E0B">
                          <w:pPr>
                            <w:pStyle w:val="Huisstijl-Afzendgegevens"/>
                          </w:pPr>
                          <w:r w:rsidRPr="008D59C5">
                            <w:t>www.rijksoverheid.nl</w:t>
                          </w:r>
                        </w:p>
                        <w:p w14:paraId="5C8193C7" w14:textId="77777777" w:rsidR="00CD5856" w:rsidRDefault="00503E0B">
                          <w:pPr>
                            <w:pStyle w:val="Huisstijl-AfzendgegevenskopW1"/>
                          </w:pPr>
                          <w:r>
                            <w:t>Contactpersoon</w:t>
                          </w:r>
                        </w:p>
                        <w:p w14:paraId="720F324D" w14:textId="77777777" w:rsidR="00CD5856" w:rsidRDefault="00503E0B">
                          <w:pPr>
                            <w:pStyle w:val="Huisstijl-Afzendgegevens"/>
                          </w:pPr>
                          <w:r w:rsidRPr="008D59C5">
                            <w:t>ing. J.A. Ramlal</w:t>
                          </w:r>
                        </w:p>
                        <w:p w14:paraId="4C099B39" w14:textId="77777777" w:rsidR="00CD5856" w:rsidRDefault="00503E0B">
                          <w:pPr>
                            <w:pStyle w:val="Huisstijl-Afzendgegevens"/>
                          </w:pPr>
                          <w:r w:rsidRPr="008D59C5">
                            <w:t>ja.ramlal@minvws.nl</w:t>
                          </w:r>
                        </w:p>
                        <w:p w14:paraId="2794BF3D" w14:textId="77777777" w:rsidR="00CD5856" w:rsidRDefault="00503E0B">
                          <w:pPr>
                            <w:pStyle w:val="Huisstijl-ReferentiegegevenskopW2"/>
                          </w:pPr>
                          <w:r>
                            <w:t>Ons kenmerk</w:t>
                          </w:r>
                        </w:p>
                        <w:p w14:paraId="10793F5C" w14:textId="77777777" w:rsidR="00CD5856" w:rsidRDefault="00503E0B">
                          <w:pPr>
                            <w:pStyle w:val="Huisstijl-Referentiegegevens"/>
                          </w:pPr>
                          <w:r>
                            <w:t>KENMERK</w:t>
                          </w:r>
                        </w:p>
                        <w:p w14:paraId="168068BE" w14:textId="77777777" w:rsidR="00CD5856" w:rsidRDefault="00503E0B">
                          <w:pPr>
                            <w:pStyle w:val="Huisstijl-ReferentiegegevenskopW1"/>
                          </w:pPr>
                          <w:r>
                            <w:t>Uw kenmerk</w:t>
                          </w:r>
                        </w:p>
                        <w:p w14:paraId="573EFCF7" w14:textId="77777777" w:rsidR="00CD5856" w:rsidRDefault="00503E0B">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CE7BB"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5673646E" w14:textId="77777777" w:rsidR="00CD5856" w:rsidRDefault="00503E0B">
                    <w:pPr>
                      <w:pStyle w:val="Huisstijl-Afzendgegevens"/>
                    </w:pPr>
                    <w:r w:rsidRPr="008D59C5">
                      <w:t>Rijnstraat 50</w:t>
                    </w:r>
                  </w:p>
                  <w:p w14:paraId="23E0A2FC" w14:textId="77777777" w:rsidR="00CD5856" w:rsidRDefault="00503E0B">
                    <w:pPr>
                      <w:pStyle w:val="Huisstijl-Afzendgegevens"/>
                    </w:pPr>
                    <w:r w:rsidRPr="008D59C5">
                      <w:t>Den Haag</w:t>
                    </w:r>
                  </w:p>
                  <w:p w14:paraId="7BD95AE9" w14:textId="77777777" w:rsidR="00CD5856" w:rsidRDefault="00503E0B">
                    <w:pPr>
                      <w:pStyle w:val="Huisstijl-Afzendgegevens"/>
                    </w:pPr>
                    <w:r w:rsidRPr="008D59C5">
                      <w:t>www.rijksoverheid.nl</w:t>
                    </w:r>
                  </w:p>
                  <w:p w14:paraId="5C8193C7" w14:textId="77777777" w:rsidR="00CD5856" w:rsidRDefault="00503E0B">
                    <w:pPr>
                      <w:pStyle w:val="Huisstijl-AfzendgegevenskopW1"/>
                    </w:pPr>
                    <w:r>
                      <w:t>Contactpersoon</w:t>
                    </w:r>
                  </w:p>
                  <w:p w14:paraId="720F324D" w14:textId="77777777" w:rsidR="00CD5856" w:rsidRDefault="00503E0B">
                    <w:pPr>
                      <w:pStyle w:val="Huisstijl-Afzendgegevens"/>
                    </w:pPr>
                    <w:r w:rsidRPr="008D59C5">
                      <w:t>ing. J.A. Ramlal</w:t>
                    </w:r>
                  </w:p>
                  <w:p w14:paraId="4C099B39" w14:textId="77777777" w:rsidR="00CD5856" w:rsidRDefault="00503E0B">
                    <w:pPr>
                      <w:pStyle w:val="Huisstijl-Afzendgegevens"/>
                    </w:pPr>
                    <w:r w:rsidRPr="008D59C5">
                      <w:t>ja.ramlal@minvws.nl</w:t>
                    </w:r>
                  </w:p>
                  <w:p w14:paraId="2794BF3D" w14:textId="77777777" w:rsidR="00CD5856" w:rsidRDefault="00503E0B">
                    <w:pPr>
                      <w:pStyle w:val="Huisstijl-ReferentiegegevenskopW2"/>
                    </w:pPr>
                    <w:r>
                      <w:t>Ons kenmerk</w:t>
                    </w:r>
                  </w:p>
                  <w:p w14:paraId="10793F5C" w14:textId="77777777" w:rsidR="00CD5856" w:rsidRDefault="00503E0B">
                    <w:pPr>
                      <w:pStyle w:val="Huisstijl-Referentiegegevens"/>
                    </w:pPr>
                    <w:r>
                      <w:t>KENMERK</w:t>
                    </w:r>
                  </w:p>
                  <w:p w14:paraId="168068BE" w14:textId="77777777" w:rsidR="00CD5856" w:rsidRDefault="00503E0B">
                    <w:pPr>
                      <w:pStyle w:val="Huisstijl-ReferentiegegevenskopW1"/>
                    </w:pPr>
                    <w:r>
                      <w:t>Uw kenmerk</w:t>
                    </w:r>
                  </w:p>
                  <w:p w14:paraId="573EFCF7" w14:textId="77777777" w:rsidR="00CD5856" w:rsidRDefault="00503E0B">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41A2BD70" wp14:editId="69DAB613">
              <wp:simplePos x="0" y="0"/>
              <wp:positionH relativeFrom="page">
                <wp:posOffset>1008380</wp:posOffset>
              </wp:positionH>
              <wp:positionV relativeFrom="page">
                <wp:posOffset>1942465</wp:posOffset>
              </wp:positionV>
              <wp:extent cx="2988310" cy="1080135"/>
              <wp:effectExtent l="8255" t="8890" r="13335" b="6350"/>
              <wp:wrapNone/>
              <wp:docPr id="154030067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959C304" w14:textId="77777777" w:rsidR="00CD5856" w:rsidRDefault="00503E0B">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A2BD70"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6959C304" w14:textId="77777777" w:rsidR="00CD5856" w:rsidRDefault="00503E0B">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B4A36A0" wp14:editId="7CC12540">
              <wp:simplePos x="0" y="0"/>
              <wp:positionH relativeFrom="page">
                <wp:posOffset>5922645</wp:posOffset>
              </wp:positionH>
              <wp:positionV relativeFrom="page">
                <wp:posOffset>10224770</wp:posOffset>
              </wp:positionV>
              <wp:extent cx="730885" cy="107950"/>
              <wp:effectExtent l="7620" t="13970" r="13970" b="11430"/>
              <wp:wrapNone/>
              <wp:docPr id="158522463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6C187BE4" w14:textId="77777777" w:rsidR="00CD5856" w:rsidRDefault="00503E0B">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4A36A0"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6C187BE4" w14:textId="77777777" w:rsidR="00CD5856" w:rsidRDefault="00503E0B">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091E4FCD" wp14:editId="3A55FC51">
              <wp:simplePos x="0" y="0"/>
              <wp:positionH relativeFrom="page">
                <wp:posOffset>1008380</wp:posOffset>
              </wp:positionH>
              <wp:positionV relativeFrom="page">
                <wp:posOffset>3384550</wp:posOffset>
              </wp:positionV>
              <wp:extent cx="4104005" cy="179705"/>
              <wp:effectExtent l="8255" t="12700" r="12065" b="7620"/>
              <wp:wrapNone/>
              <wp:docPr id="630912609"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249BA46"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E4FCD"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3249BA46"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6AE81D5F" wp14:editId="7DBFBFA9">
              <wp:simplePos x="0" y="0"/>
              <wp:positionH relativeFrom="page">
                <wp:posOffset>1008380</wp:posOffset>
              </wp:positionH>
              <wp:positionV relativeFrom="page">
                <wp:posOffset>1715135</wp:posOffset>
              </wp:positionV>
              <wp:extent cx="3590925" cy="144145"/>
              <wp:effectExtent l="8255" t="10160" r="10795" b="7620"/>
              <wp:wrapNone/>
              <wp:docPr id="1242180615"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AB678FA" w14:textId="77777777" w:rsidR="00CD5856" w:rsidRDefault="00503E0B">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81D5F"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1AB678FA" w14:textId="77777777" w:rsidR="00CD5856" w:rsidRDefault="00503E0B">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443AE"/>
    <w:multiLevelType w:val="hybridMultilevel"/>
    <w:tmpl w:val="47D41184"/>
    <w:lvl w:ilvl="0" w:tplc="06B49082">
      <w:start w:val="1"/>
      <w:numFmt w:val="upperRoman"/>
      <w:lvlText w:val="%1."/>
      <w:lvlJc w:val="right"/>
      <w:pPr>
        <w:ind w:left="530" w:hanging="360"/>
      </w:pPr>
      <w:rPr>
        <w:rFonts w:hint="default"/>
      </w:rPr>
    </w:lvl>
    <w:lvl w:ilvl="1" w:tplc="351CBD4C">
      <w:start w:val="1"/>
      <w:numFmt w:val="lowerLetter"/>
      <w:lvlText w:val="%2."/>
      <w:lvlJc w:val="left"/>
      <w:pPr>
        <w:ind w:left="1250" w:hanging="360"/>
      </w:pPr>
    </w:lvl>
    <w:lvl w:ilvl="2" w:tplc="9EFA6DEC" w:tentative="1">
      <w:start w:val="1"/>
      <w:numFmt w:val="lowerRoman"/>
      <w:lvlText w:val="%3."/>
      <w:lvlJc w:val="right"/>
      <w:pPr>
        <w:ind w:left="1970" w:hanging="180"/>
      </w:pPr>
    </w:lvl>
    <w:lvl w:ilvl="3" w:tplc="7E3C2146" w:tentative="1">
      <w:start w:val="1"/>
      <w:numFmt w:val="decimal"/>
      <w:lvlText w:val="%4."/>
      <w:lvlJc w:val="left"/>
      <w:pPr>
        <w:ind w:left="2690" w:hanging="360"/>
      </w:pPr>
    </w:lvl>
    <w:lvl w:ilvl="4" w:tplc="F058E588" w:tentative="1">
      <w:start w:val="1"/>
      <w:numFmt w:val="lowerLetter"/>
      <w:lvlText w:val="%5."/>
      <w:lvlJc w:val="left"/>
      <w:pPr>
        <w:ind w:left="3410" w:hanging="360"/>
      </w:pPr>
    </w:lvl>
    <w:lvl w:ilvl="5" w:tplc="59EC2B7E" w:tentative="1">
      <w:start w:val="1"/>
      <w:numFmt w:val="lowerRoman"/>
      <w:lvlText w:val="%6."/>
      <w:lvlJc w:val="right"/>
      <w:pPr>
        <w:ind w:left="4130" w:hanging="180"/>
      </w:pPr>
    </w:lvl>
    <w:lvl w:ilvl="6" w:tplc="E9B8CFE8" w:tentative="1">
      <w:start w:val="1"/>
      <w:numFmt w:val="decimal"/>
      <w:lvlText w:val="%7."/>
      <w:lvlJc w:val="left"/>
      <w:pPr>
        <w:ind w:left="4850" w:hanging="360"/>
      </w:pPr>
    </w:lvl>
    <w:lvl w:ilvl="7" w:tplc="8DC8AFD0" w:tentative="1">
      <w:start w:val="1"/>
      <w:numFmt w:val="lowerLetter"/>
      <w:lvlText w:val="%8."/>
      <w:lvlJc w:val="left"/>
      <w:pPr>
        <w:ind w:left="5570" w:hanging="360"/>
      </w:pPr>
    </w:lvl>
    <w:lvl w:ilvl="8" w:tplc="4FA0103E" w:tentative="1">
      <w:start w:val="1"/>
      <w:numFmt w:val="lowerRoman"/>
      <w:lvlText w:val="%9."/>
      <w:lvlJc w:val="right"/>
      <w:pPr>
        <w:ind w:left="6290" w:hanging="180"/>
      </w:pPr>
    </w:lvl>
  </w:abstractNum>
  <w:abstractNum w:abstractNumId="1" w15:restartNumberingAfterBreak="0">
    <w:nsid w:val="558A576F"/>
    <w:multiLevelType w:val="hybridMultilevel"/>
    <w:tmpl w:val="DB8AF5D4"/>
    <w:lvl w:ilvl="0" w:tplc="55007748">
      <w:numFmt w:val="bullet"/>
      <w:lvlText w:val=""/>
      <w:lvlJc w:val="left"/>
      <w:pPr>
        <w:ind w:left="720" w:hanging="360"/>
      </w:pPr>
      <w:rPr>
        <w:rFonts w:ascii="Wingdings" w:eastAsia="DejaVu Sans" w:hAnsi="Wingdings" w:cs="Lohit Hindi" w:hint="default"/>
      </w:rPr>
    </w:lvl>
    <w:lvl w:ilvl="1" w:tplc="5F50F554" w:tentative="1">
      <w:start w:val="1"/>
      <w:numFmt w:val="bullet"/>
      <w:lvlText w:val="o"/>
      <w:lvlJc w:val="left"/>
      <w:pPr>
        <w:ind w:left="1440" w:hanging="360"/>
      </w:pPr>
      <w:rPr>
        <w:rFonts w:ascii="Courier New" w:hAnsi="Courier New" w:cs="Courier New" w:hint="default"/>
      </w:rPr>
    </w:lvl>
    <w:lvl w:ilvl="2" w:tplc="21E487BA" w:tentative="1">
      <w:start w:val="1"/>
      <w:numFmt w:val="bullet"/>
      <w:lvlText w:val=""/>
      <w:lvlJc w:val="left"/>
      <w:pPr>
        <w:ind w:left="2160" w:hanging="360"/>
      </w:pPr>
      <w:rPr>
        <w:rFonts w:ascii="Wingdings" w:hAnsi="Wingdings" w:hint="default"/>
      </w:rPr>
    </w:lvl>
    <w:lvl w:ilvl="3" w:tplc="92B81D8A" w:tentative="1">
      <w:start w:val="1"/>
      <w:numFmt w:val="bullet"/>
      <w:lvlText w:val=""/>
      <w:lvlJc w:val="left"/>
      <w:pPr>
        <w:ind w:left="2880" w:hanging="360"/>
      </w:pPr>
      <w:rPr>
        <w:rFonts w:ascii="Symbol" w:hAnsi="Symbol" w:hint="default"/>
      </w:rPr>
    </w:lvl>
    <w:lvl w:ilvl="4" w:tplc="92122AB6" w:tentative="1">
      <w:start w:val="1"/>
      <w:numFmt w:val="bullet"/>
      <w:lvlText w:val="o"/>
      <w:lvlJc w:val="left"/>
      <w:pPr>
        <w:ind w:left="3600" w:hanging="360"/>
      </w:pPr>
      <w:rPr>
        <w:rFonts w:ascii="Courier New" w:hAnsi="Courier New" w:cs="Courier New" w:hint="default"/>
      </w:rPr>
    </w:lvl>
    <w:lvl w:ilvl="5" w:tplc="F0BC0616" w:tentative="1">
      <w:start w:val="1"/>
      <w:numFmt w:val="bullet"/>
      <w:lvlText w:val=""/>
      <w:lvlJc w:val="left"/>
      <w:pPr>
        <w:ind w:left="4320" w:hanging="360"/>
      </w:pPr>
      <w:rPr>
        <w:rFonts w:ascii="Wingdings" w:hAnsi="Wingdings" w:hint="default"/>
      </w:rPr>
    </w:lvl>
    <w:lvl w:ilvl="6" w:tplc="F144825E" w:tentative="1">
      <w:start w:val="1"/>
      <w:numFmt w:val="bullet"/>
      <w:lvlText w:val=""/>
      <w:lvlJc w:val="left"/>
      <w:pPr>
        <w:ind w:left="5040" w:hanging="360"/>
      </w:pPr>
      <w:rPr>
        <w:rFonts w:ascii="Symbol" w:hAnsi="Symbol" w:hint="default"/>
      </w:rPr>
    </w:lvl>
    <w:lvl w:ilvl="7" w:tplc="CB82E7CE" w:tentative="1">
      <w:start w:val="1"/>
      <w:numFmt w:val="bullet"/>
      <w:lvlText w:val="o"/>
      <w:lvlJc w:val="left"/>
      <w:pPr>
        <w:ind w:left="5760" w:hanging="360"/>
      </w:pPr>
      <w:rPr>
        <w:rFonts w:ascii="Courier New" w:hAnsi="Courier New" w:cs="Courier New" w:hint="default"/>
      </w:rPr>
    </w:lvl>
    <w:lvl w:ilvl="8" w:tplc="4ADC5588" w:tentative="1">
      <w:start w:val="1"/>
      <w:numFmt w:val="bullet"/>
      <w:lvlText w:val=""/>
      <w:lvlJc w:val="left"/>
      <w:pPr>
        <w:ind w:left="6480" w:hanging="360"/>
      </w:pPr>
      <w:rPr>
        <w:rFonts w:ascii="Wingdings" w:hAnsi="Wingdings" w:hint="default"/>
      </w:rPr>
    </w:lvl>
  </w:abstractNum>
  <w:abstractNum w:abstractNumId="2" w15:restartNumberingAfterBreak="0">
    <w:nsid w:val="6B8F1D9B"/>
    <w:multiLevelType w:val="hybridMultilevel"/>
    <w:tmpl w:val="F9721B04"/>
    <w:lvl w:ilvl="0" w:tplc="72B622EA">
      <w:numFmt w:val="bullet"/>
      <w:lvlText w:val="-"/>
      <w:lvlJc w:val="left"/>
      <w:pPr>
        <w:ind w:left="720" w:hanging="360"/>
      </w:pPr>
      <w:rPr>
        <w:rFonts w:ascii="Verdana" w:eastAsia="DejaVu Sans" w:hAnsi="Verdana" w:cs="Lohit Hindi" w:hint="default"/>
      </w:rPr>
    </w:lvl>
    <w:lvl w:ilvl="1" w:tplc="BB60EDC4" w:tentative="1">
      <w:start w:val="1"/>
      <w:numFmt w:val="bullet"/>
      <w:lvlText w:val="o"/>
      <w:lvlJc w:val="left"/>
      <w:pPr>
        <w:ind w:left="1440" w:hanging="360"/>
      </w:pPr>
      <w:rPr>
        <w:rFonts w:ascii="Courier New" w:hAnsi="Courier New" w:cs="Courier New" w:hint="default"/>
      </w:rPr>
    </w:lvl>
    <w:lvl w:ilvl="2" w:tplc="4032348C" w:tentative="1">
      <w:start w:val="1"/>
      <w:numFmt w:val="bullet"/>
      <w:lvlText w:val=""/>
      <w:lvlJc w:val="left"/>
      <w:pPr>
        <w:ind w:left="2160" w:hanging="360"/>
      </w:pPr>
      <w:rPr>
        <w:rFonts w:ascii="Wingdings" w:hAnsi="Wingdings" w:hint="default"/>
      </w:rPr>
    </w:lvl>
    <w:lvl w:ilvl="3" w:tplc="65F4DB92" w:tentative="1">
      <w:start w:val="1"/>
      <w:numFmt w:val="bullet"/>
      <w:lvlText w:val=""/>
      <w:lvlJc w:val="left"/>
      <w:pPr>
        <w:ind w:left="2880" w:hanging="360"/>
      </w:pPr>
      <w:rPr>
        <w:rFonts w:ascii="Symbol" w:hAnsi="Symbol" w:hint="default"/>
      </w:rPr>
    </w:lvl>
    <w:lvl w:ilvl="4" w:tplc="20C80EE0" w:tentative="1">
      <w:start w:val="1"/>
      <w:numFmt w:val="bullet"/>
      <w:lvlText w:val="o"/>
      <w:lvlJc w:val="left"/>
      <w:pPr>
        <w:ind w:left="3600" w:hanging="360"/>
      </w:pPr>
      <w:rPr>
        <w:rFonts w:ascii="Courier New" w:hAnsi="Courier New" w:cs="Courier New" w:hint="default"/>
      </w:rPr>
    </w:lvl>
    <w:lvl w:ilvl="5" w:tplc="204C55CC" w:tentative="1">
      <w:start w:val="1"/>
      <w:numFmt w:val="bullet"/>
      <w:lvlText w:val=""/>
      <w:lvlJc w:val="left"/>
      <w:pPr>
        <w:ind w:left="4320" w:hanging="360"/>
      </w:pPr>
      <w:rPr>
        <w:rFonts w:ascii="Wingdings" w:hAnsi="Wingdings" w:hint="default"/>
      </w:rPr>
    </w:lvl>
    <w:lvl w:ilvl="6" w:tplc="DC740B06" w:tentative="1">
      <w:start w:val="1"/>
      <w:numFmt w:val="bullet"/>
      <w:lvlText w:val=""/>
      <w:lvlJc w:val="left"/>
      <w:pPr>
        <w:ind w:left="5040" w:hanging="360"/>
      </w:pPr>
      <w:rPr>
        <w:rFonts w:ascii="Symbol" w:hAnsi="Symbol" w:hint="default"/>
      </w:rPr>
    </w:lvl>
    <w:lvl w:ilvl="7" w:tplc="4D588E4E" w:tentative="1">
      <w:start w:val="1"/>
      <w:numFmt w:val="bullet"/>
      <w:lvlText w:val="o"/>
      <w:lvlJc w:val="left"/>
      <w:pPr>
        <w:ind w:left="5760" w:hanging="360"/>
      </w:pPr>
      <w:rPr>
        <w:rFonts w:ascii="Courier New" w:hAnsi="Courier New" w:cs="Courier New" w:hint="default"/>
      </w:rPr>
    </w:lvl>
    <w:lvl w:ilvl="8" w:tplc="BF5A5824" w:tentative="1">
      <w:start w:val="1"/>
      <w:numFmt w:val="bullet"/>
      <w:lvlText w:val=""/>
      <w:lvlJc w:val="left"/>
      <w:pPr>
        <w:ind w:left="6480" w:hanging="360"/>
      </w:pPr>
      <w:rPr>
        <w:rFonts w:ascii="Wingdings" w:hAnsi="Wingdings" w:hint="default"/>
      </w:rPr>
    </w:lvl>
  </w:abstractNum>
  <w:abstractNum w:abstractNumId="3" w15:restartNumberingAfterBreak="0">
    <w:nsid w:val="7D630433"/>
    <w:multiLevelType w:val="hybridMultilevel"/>
    <w:tmpl w:val="A7B66520"/>
    <w:lvl w:ilvl="0" w:tplc="F6AE0A88">
      <w:numFmt w:val="bullet"/>
      <w:lvlText w:val="-"/>
      <w:lvlJc w:val="left"/>
      <w:pPr>
        <w:ind w:left="720" w:hanging="360"/>
      </w:pPr>
      <w:rPr>
        <w:rFonts w:ascii="Verdana" w:eastAsia="DejaVu Sans" w:hAnsi="Verdana" w:cs="Lohit Hindi" w:hint="default"/>
      </w:rPr>
    </w:lvl>
    <w:lvl w:ilvl="1" w:tplc="6706ECCC" w:tentative="1">
      <w:start w:val="1"/>
      <w:numFmt w:val="bullet"/>
      <w:lvlText w:val="o"/>
      <w:lvlJc w:val="left"/>
      <w:pPr>
        <w:ind w:left="1440" w:hanging="360"/>
      </w:pPr>
      <w:rPr>
        <w:rFonts w:ascii="Courier New" w:hAnsi="Courier New" w:cs="Courier New" w:hint="default"/>
      </w:rPr>
    </w:lvl>
    <w:lvl w:ilvl="2" w:tplc="05200CA0" w:tentative="1">
      <w:start w:val="1"/>
      <w:numFmt w:val="bullet"/>
      <w:lvlText w:val=""/>
      <w:lvlJc w:val="left"/>
      <w:pPr>
        <w:ind w:left="2160" w:hanging="360"/>
      </w:pPr>
      <w:rPr>
        <w:rFonts w:ascii="Wingdings" w:hAnsi="Wingdings" w:hint="default"/>
      </w:rPr>
    </w:lvl>
    <w:lvl w:ilvl="3" w:tplc="ABD4578A" w:tentative="1">
      <w:start w:val="1"/>
      <w:numFmt w:val="bullet"/>
      <w:lvlText w:val=""/>
      <w:lvlJc w:val="left"/>
      <w:pPr>
        <w:ind w:left="2880" w:hanging="360"/>
      </w:pPr>
      <w:rPr>
        <w:rFonts w:ascii="Symbol" w:hAnsi="Symbol" w:hint="default"/>
      </w:rPr>
    </w:lvl>
    <w:lvl w:ilvl="4" w:tplc="A9082738" w:tentative="1">
      <w:start w:val="1"/>
      <w:numFmt w:val="bullet"/>
      <w:lvlText w:val="o"/>
      <w:lvlJc w:val="left"/>
      <w:pPr>
        <w:ind w:left="3600" w:hanging="360"/>
      </w:pPr>
      <w:rPr>
        <w:rFonts w:ascii="Courier New" w:hAnsi="Courier New" w:cs="Courier New" w:hint="default"/>
      </w:rPr>
    </w:lvl>
    <w:lvl w:ilvl="5" w:tplc="015CA932" w:tentative="1">
      <w:start w:val="1"/>
      <w:numFmt w:val="bullet"/>
      <w:lvlText w:val=""/>
      <w:lvlJc w:val="left"/>
      <w:pPr>
        <w:ind w:left="4320" w:hanging="360"/>
      </w:pPr>
      <w:rPr>
        <w:rFonts w:ascii="Wingdings" w:hAnsi="Wingdings" w:hint="default"/>
      </w:rPr>
    </w:lvl>
    <w:lvl w:ilvl="6" w:tplc="779E7A5A" w:tentative="1">
      <w:start w:val="1"/>
      <w:numFmt w:val="bullet"/>
      <w:lvlText w:val=""/>
      <w:lvlJc w:val="left"/>
      <w:pPr>
        <w:ind w:left="5040" w:hanging="360"/>
      </w:pPr>
      <w:rPr>
        <w:rFonts w:ascii="Symbol" w:hAnsi="Symbol" w:hint="default"/>
      </w:rPr>
    </w:lvl>
    <w:lvl w:ilvl="7" w:tplc="2AD8FB64" w:tentative="1">
      <w:start w:val="1"/>
      <w:numFmt w:val="bullet"/>
      <w:lvlText w:val="o"/>
      <w:lvlJc w:val="left"/>
      <w:pPr>
        <w:ind w:left="5760" w:hanging="360"/>
      </w:pPr>
      <w:rPr>
        <w:rFonts w:ascii="Courier New" w:hAnsi="Courier New" w:cs="Courier New" w:hint="default"/>
      </w:rPr>
    </w:lvl>
    <w:lvl w:ilvl="8" w:tplc="B2EC971A" w:tentative="1">
      <w:start w:val="1"/>
      <w:numFmt w:val="bullet"/>
      <w:lvlText w:val=""/>
      <w:lvlJc w:val="left"/>
      <w:pPr>
        <w:ind w:left="6480" w:hanging="360"/>
      </w:pPr>
      <w:rPr>
        <w:rFonts w:ascii="Wingdings" w:hAnsi="Wingdings" w:hint="default"/>
      </w:rPr>
    </w:lvl>
  </w:abstractNum>
  <w:abstractNum w:abstractNumId="4" w15:restartNumberingAfterBreak="0">
    <w:nsid w:val="7FF93DE1"/>
    <w:multiLevelType w:val="hybridMultilevel"/>
    <w:tmpl w:val="47E801B2"/>
    <w:lvl w:ilvl="0" w:tplc="01C68602">
      <w:start w:val="1"/>
      <w:numFmt w:val="bullet"/>
      <w:lvlText w:val=""/>
      <w:lvlJc w:val="left"/>
      <w:pPr>
        <w:ind w:left="720" w:hanging="360"/>
      </w:pPr>
      <w:rPr>
        <w:rFonts w:ascii="Symbol" w:hAnsi="Symbol" w:hint="default"/>
      </w:rPr>
    </w:lvl>
    <w:lvl w:ilvl="1" w:tplc="64B6F8BC">
      <w:start w:val="1"/>
      <w:numFmt w:val="bullet"/>
      <w:lvlText w:val="o"/>
      <w:lvlJc w:val="left"/>
      <w:pPr>
        <w:ind w:left="1440" w:hanging="360"/>
      </w:pPr>
      <w:rPr>
        <w:rFonts w:ascii="Courier New" w:hAnsi="Courier New" w:cs="Courier New" w:hint="default"/>
      </w:rPr>
    </w:lvl>
    <w:lvl w:ilvl="2" w:tplc="036E0D9C">
      <w:start w:val="1"/>
      <w:numFmt w:val="bullet"/>
      <w:lvlText w:val=""/>
      <w:lvlJc w:val="left"/>
      <w:pPr>
        <w:ind w:left="2160" w:hanging="360"/>
      </w:pPr>
      <w:rPr>
        <w:rFonts w:ascii="Wingdings" w:hAnsi="Wingdings" w:hint="default"/>
      </w:rPr>
    </w:lvl>
    <w:lvl w:ilvl="3" w:tplc="7ED2A7E8">
      <w:start w:val="1"/>
      <w:numFmt w:val="bullet"/>
      <w:lvlText w:val=""/>
      <w:lvlJc w:val="left"/>
      <w:pPr>
        <w:ind w:left="2880" w:hanging="360"/>
      </w:pPr>
      <w:rPr>
        <w:rFonts w:ascii="Symbol" w:hAnsi="Symbol" w:hint="default"/>
      </w:rPr>
    </w:lvl>
    <w:lvl w:ilvl="4" w:tplc="035C2DA0">
      <w:start w:val="1"/>
      <w:numFmt w:val="bullet"/>
      <w:lvlText w:val="o"/>
      <w:lvlJc w:val="left"/>
      <w:pPr>
        <w:ind w:left="3600" w:hanging="360"/>
      </w:pPr>
      <w:rPr>
        <w:rFonts w:ascii="Courier New" w:hAnsi="Courier New" w:cs="Courier New" w:hint="default"/>
      </w:rPr>
    </w:lvl>
    <w:lvl w:ilvl="5" w:tplc="DD42DC3C">
      <w:start w:val="1"/>
      <w:numFmt w:val="bullet"/>
      <w:lvlText w:val=""/>
      <w:lvlJc w:val="left"/>
      <w:pPr>
        <w:ind w:left="4320" w:hanging="360"/>
      </w:pPr>
      <w:rPr>
        <w:rFonts w:ascii="Wingdings" w:hAnsi="Wingdings" w:hint="default"/>
      </w:rPr>
    </w:lvl>
    <w:lvl w:ilvl="6" w:tplc="66986E14">
      <w:start w:val="1"/>
      <w:numFmt w:val="bullet"/>
      <w:lvlText w:val=""/>
      <w:lvlJc w:val="left"/>
      <w:pPr>
        <w:ind w:left="5040" w:hanging="360"/>
      </w:pPr>
      <w:rPr>
        <w:rFonts w:ascii="Symbol" w:hAnsi="Symbol" w:hint="default"/>
      </w:rPr>
    </w:lvl>
    <w:lvl w:ilvl="7" w:tplc="93B046A2">
      <w:start w:val="1"/>
      <w:numFmt w:val="bullet"/>
      <w:lvlText w:val="o"/>
      <w:lvlJc w:val="left"/>
      <w:pPr>
        <w:ind w:left="5760" w:hanging="360"/>
      </w:pPr>
      <w:rPr>
        <w:rFonts w:ascii="Courier New" w:hAnsi="Courier New" w:cs="Courier New" w:hint="default"/>
      </w:rPr>
    </w:lvl>
    <w:lvl w:ilvl="8" w:tplc="07189B52">
      <w:start w:val="1"/>
      <w:numFmt w:val="bullet"/>
      <w:lvlText w:val=""/>
      <w:lvlJc w:val="left"/>
      <w:pPr>
        <w:ind w:left="6480" w:hanging="360"/>
      </w:pPr>
      <w:rPr>
        <w:rFonts w:ascii="Wingdings" w:hAnsi="Wingdings" w:hint="default"/>
      </w:rPr>
    </w:lvl>
  </w:abstractNum>
  <w:num w:numId="1" w16cid:durableId="996303126">
    <w:abstractNumId w:val="1"/>
  </w:num>
  <w:num w:numId="2" w16cid:durableId="733242903">
    <w:abstractNumId w:val="2"/>
  </w:num>
  <w:num w:numId="3" w16cid:durableId="1102186080">
    <w:abstractNumId w:val="4"/>
  </w:num>
  <w:num w:numId="4" w16cid:durableId="373162419">
    <w:abstractNumId w:val="3"/>
  </w:num>
  <w:num w:numId="5" w16cid:durableId="1236091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1AD8"/>
    <w:rsid w:val="00033666"/>
    <w:rsid w:val="00034261"/>
    <w:rsid w:val="000344CB"/>
    <w:rsid w:val="000401F1"/>
    <w:rsid w:val="00044F13"/>
    <w:rsid w:val="00050D5B"/>
    <w:rsid w:val="00055FFE"/>
    <w:rsid w:val="000710B5"/>
    <w:rsid w:val="000970B2"/>
    <w:rsid w:val="000A257A"/>
    <w:rsid w:val="000B1832"/>
    <w:rsid w:val="000B45B1"/>
    <w:rsid w:val="000C29E1"/>
    <w:rsid w:val="000D0CCB"/>
    <w:rsid w:val="000D6D8A"/>
    <w:rsid w:val="000E2F12"/>
    <w:rsid w:val="000E54B6"/>
    <w:rsid w:val="000F34E0"/>
    <w:rsid w:val="000F619C"/>
    <w:rsid w:val="00113778"/>
    <w:rsid w:val="00114060"/>
    <w:rsid w:val="00124577"/>
    <w:rsid w:val="00125BDF"/>
    <w:rsid w:val="0013576B"/>
    <w:rsid w:val="00172CD9"/>
    <w:rsid w:val="001B0D24"/>
    <w:rsid w:val="001B41E1"/>
    <w:rsid w:val="001B7303"/>
    <w:rsid w:val="001C5636"/>
    <w:rsid w:val="001E6168"/>
    <w:rsid w:val="002150DF"/>
    <w:rsid w:val="00215CB5"/>
    <w:rsid w:val="002207C1"/>
    <w:rsid w:val="00230718"/>
    <w:rsid w:val="00232BD1"/>
    <w:rsid w:val="00235AED"/>
    <w:rsid w:val="00241BB9"/>
    <w:rsid w:val="00272526"/>
    <w:rsid w:val="002805EA"/>
    <w:rsid w:val="00297795"/>
    <w:rsid w:val="002A3BC9"/>
    <w:rsid w:val="002B1D9F"/>
    <w:rsid w:val="002B504F"/>
    <w:rsid w:val="002C2E98"/>
    <w:rsid w:val="002D4819"/>
    <w:rsid w:val="002D54BC"/>
    <w:rsid w:val="002F3C96"/>
    <w:rsid w:val="002F4886"/>
    <w:rsid w:val="002F6783"/>
    <w:rsid w:val="0031616F"/>
    <w:rsid w:val="00334C45"/>
    <w:rsid w:val="003451E2"/>
    <w:rsid w:val="00346148"/>
    <w:rsid w:val="00347F1B"/>
    <w:rsid w:val="003A2DC2"/>
    <w:rsid w:val="003B287C"/>
    <w:rsid w:val="003B485B"/>
    <w:rsid w:val="003B48D4"/>
    <w:rsid w:val="003C472B"/>
    <w:rsid w:val="003C6ED5"/>
    <w:rsid w:val="003C700C"/>
    <w:rsid w:val="003C7185"/>
    <w:rsid w:val="003D27F8"/>
    <w:rsid w:val="003E73D5"/>
    <w:rsid w:val="003F3A47"/>
    <w:rsid w:val="003F4386"/>
    <w:rsid w:val="0040266E"/>
    <w:rsid w:val="00423CEE"/>
    <w:rsid w:val="0043480A"/>
    <w:rsid w:val="00437B5F"/>
    <w:rsid w:val="004509BE"/>
    <w:rsid w:val="0045486D"/>
    <w:rsid w:val="00463DBC"/>
    <w:rsid w:val="0048382F"/>
    <w:rsid w:val="00486C5E"/>
    <w:rsid w:val="004934A8"/>
    <w:rsid w:val="004B42AD"/>
    <w:rsid w:val="004C2B52"/>
    <w:rsid w:val="004D3BBC"/>
    <w:rsid w:val="004F0B09"/>
    <w:rsid w:val="00503E0B"/>
    <w:rsid w:val="00516D6A"/>
    <w:rsid w:val="005211C8"/>
    <w:rsid w:val="00523C02"/>
    <w:rsid w:val="00537B02"/>
    <w:rsid w:val="00543031"/>
    <w:rsid w:val="00544135"/>
    <w:rsid w:val="005463F3"/>
    <w:rsid w:val="00550C30"/>
    <w:rsid w:val="00555521"/>
    <w:rsid w:val="005600D7"/>
    <w:rsid w:val="00561863"/>
    <w:rsid w:val="00562F1D"/>
    <w:rsid w:val="005677D6"/>
    <w:rsid w:val="00567A9C"/>
    <w:rsid w:val="0058211A"/>
    <w:rsid w:val="00582E97"/>
    <w:rsid w:val="00587714"/>
    <w:rsid w:val="0059099E"/>
    <w:rsid w:val="005C3CD4"/>
    <w:rsid w:val="005D327A"/>
    <w:rsid w:val="005E4C4C"/>
    <w:rsid w:val="005F220A"/>
    <w:rsid w:val="00616738"/>
    <w:rsid w:val="00630BAC"/>
    <w:rsid w:val="00632461"/>
    <w:rsid w:val="0063555A"/>
    <w:rsid w:val="00640009"/>
    <w:rsid w:val="0064153D"/>
    <w:rsid w:val="006430FB"/>
    <w:rsid w:val="00662073"/>
    <w:rsid w:val="00686885"/>
    <w:rsid w:val="006922AC"/>
    <w:rsid w:val="00696FB4"/>
    <w:rsid w:val="00697032"/>
    <w:rsid w:val="006A01E5"/>
    <w:rsid w:val="006A3EC9"/>
    <w:rsid w:val="006A6A92"/>
    <w:rsid w:val="006B0A19"/>
    <w:rsid w:val="006B16C1"/>
    <w:rsid w:val="007373D8"/>
    <w:rsid w:val="00745623"/>
    <w:rsid w:val="0074764C"/>
    <w:rsid w:val="007567E8"/>
    <w:rsid w:val="00763E81"/>
    <w:rsid w:val="00776965"/>
    <w:rsid w:val="007A4F37"/>
    <w:rsid w:val="007B028B"/>
    <w:rsid w:val="007B11F2"/>
    <w:rsid w:val="007B6A41"/>
    <w:rsid w:val="007B6D32"/>
    <w:rsid w:val="007D0F21"/>
    <w:rsid w:val="007D23C6"/>
    <w:rsid w:val="007E36BA"/>
    <w:rsid w:val="007E6264"/>
    <w:rsid w:val="007F0FEF"/>
    <w:rsid w:val="007F380D"/>
    <w:rsid w:val="007F4A98"/>
    <w:rsid w:val="008008DF"/>
    <w:rsid w:val="00837308"/>
    <w:rsid w:val="00861C54"/>
    <w:rsid w:val="0087691C"/>
    <w:rsid w:val="00890AC6"/>
    <w:rsid w:val="00893C24"/>
    <w:rsid w:val="008A21F4"/>
    <w:rsid w:val="008C4C53"/>
    <w:rsid w:val="008D59C5"/>
    <w:rsid w:val="008D618A"/>
    <w:rsid w:val="008E210E"/>
    <w:rsid w:val="008E4B89"/>
    <w:rsid w:val="008F33AD"/>
    <w:rsid w:val="009109B6"/>
    <w:rsid w:val="00911B10"/>
    <w:rsid w:val="00926B5B"/>
    <w:rsid w:val="009526D8"/>
    <w:rsid w:val="00960E2B"/>
    <w:rsid w:val="00966307"/>
    <w:rsid w:val="00985A65"/>
    <w:rsid w:val="009920C7"/>
    <w:rsid w:val="009A0A15"/>
    <w:rsid w:val="009A2803"/>
    <w:rsid w:val="009A31BF"/>
    <w:rsid w:val="009B2459"/>
    <w:rsid w:val="009B72F3"/>
    <w:rsid w:val="009C4777"/>
    <w:rsid w:val="009D3C77"/>
    <w:rsid w:val="009D64B4"/>
    <w:rsid w:val="009D65F6"/>
    <w:rsid w:val="009D7D63"/>
    <w:rsid w:val="009E5E07"/>
    <w:rsid w:val="009F419D"/>
    <w:rsid w:val="00A34CA0"/>
    <w:rsid w:val="00A51D39"/>
    <w:rsid w:val="00A52DBE"/>
    <w:rsid w:val="00A55C84"/>
    <w:rsid w:val="00A83BE3"/>
    <w:rsid w:val="00A86EB2"/>
    <w:rsid w:val="00A903E2"/>
    <w:rsid w:val="00AA399D"/>
    <w:rsid w:val="00AA61EA"/>
    <w:rsid w:val="00AD621E"/>
    <w:rsid w:val="00AE52AF"/>
    <w:rsid w:val="00AE72FD"/>
    <w:rsid w:val="00AF6BEC"/>
    <w:rsid w:val="00B24F2D"/>
    <w:rsid w:val="00B44ECC"/>
    <w:rsid w:val="00B63EA4"/>
    <w:rsid w:val="00B70CCC"/>
    <w:rsid w:val="00B8296E"/>
    <w:rsid w:val="00B82F43"/>
    <w:rsid w:val="00BA7566"/>
    <w:rsid w:val="00BB171D"/>
    <w:rsid w:val="00BC3591"/>
    <w:rsid w:val="00BC481F"/>
    <w:rsid w:val="00BD4054"/>
    <w:rsid w:val="00BD75C1"/>
    <w:rsid w:val="00C03636"/>
    <w:rsid w:val="00C0509F"/>
    <w:rsid w:val="00C12F79"/>
    <w:rsid w:val="00C3438D"/>
    <w:rsid w:val="00C3489D"/>
    <w:rsid w:val="00C3572A"/>
    <w:rsid w:val="00C62B6C"/>
    <w:rsid w:val="00C81260"/>
    <w:rsid w:val="00C8665F"/>
    <w:rsid w:val="00C95CA9"/>
    <w:rsid w:val="00CA00BA"/>
    <w:rsid w:val="00CA061B"/>
    <w:rsid w:val="00CA4DE7"/>
    <w:rsid w:val="00CC5B83"/>
    <w:rsid w:val="00CD4AED"/>
    <w:rsid w:val="00CD5856"/>
    <w:rsid w:val="00CF0F2E"/>
    <w:rsid w:val="00CF3E82"/>
    <w:rsid w:val="00D04A24"/>
    <w:rsid w:val="00D14C5B"/>
    <w:rsid w:val="00D1636A"/>
    <w:rsid w:val="00D317D3"/>
    <w:rsid w:val="00D3411F"/>
    <w:rsid w:val="00D54679"/>
    <w:rsid w:val="00D6053B"/>
    <w:rsid w:val="00D67BAF"/>
    <w:rsid w:val="00D916DF"/>
    <w:rsid w:val="00DA15A1"/>
    <w:rsid w:val="00DB1C27"/>
    <w:rsid w:val="00DB53E2"/>
    <w:rsid w:val="00DC7639"/>
    <w:rsid w:val="00DD7799"/>
    <w:rsid w:val="00DE2687"/>
    <w:rsid w:val="00E12707"/>
    <w:rsid w:val="00E1490C"/>
    <w:rsid w:val="00E20CB0"/>
    <w:rsid w:val="00E22B5E"/>
    <w:rsid w:val="00E37122"/>
    <w:rsid w:val="00E463BB"/>
    <w:rsid w:val="00E85195"/>
    <w:rsid w:val="00E91CA6"/>
    <w:rsid w:val="00EA275E"/>
    <w:rsid w:val="00EB1E78"/>
    <w:rsid w:val="00EB61FA"/>
    <w:rsid w:val="00EC3FC7"/>
    <w:rsid w:val="00EE23CE"/>
    <w:rsid w:val="00EE2A9D"/>
    <w:rsid w:val="00F0635A"/>
    <w:rsid w:val="00F32EA9"/>
    <w:rsid w:val="00F33D0F"/>
    <w:rsid w:val="00F43E2C"/>
    <w:rsid w:val="00F56EBE"/>
    <w:rsid w:val="00F60035"/>
    <w:rsid w:val="00F60565"/>
    <w:rsid w:val="00F72360"/>
    <w:rsid w:val="00F822D1"/>
    <w:rsid w:val="00F847BF"/>
    <w:rsid w:val="00F84897"/>
    <w:rsid w:val="00F87E88"/>
    <w:rsid w:val="00F948A4"/>
    <w:rsid w:val="00FA23F8"/>
    <w:rsid w:val="00FA6FCA"/>
    <w:rsid w:val="00FC776C"/>
    <w:rsid w:val="00FD036B"/>
    <w:rsid w:val="00FE4200"/>
    <w:rsid w:val="00FE549A"/>
    <w:rsid w:val="00FF0F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3A4A8"/>
  <w15:docId w15:val="{417E1555-F2CB-4DC4-8794-966E9831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unhideWhenUsed/>
    <w:rsid w:val="00114060"/>
    <w:pPr>
      <w:spacing w:line="240" w:lineRule="auto"/>
    </w:pPr>
    <w:rPr>
      <w:rFonts w:cs="Mangal"/>
      <w:sz w:val="20"/>
      <w:szCs w:val="18"/>
    </w:rPr>
  </w:style>
  <w:style w:type="character" w:customStyle="1" w:styleId="VoetnoottekstChar">
    <w:name w:val="Voetnoottekst Char"/>
    <w:basedOn w:val="Standaardalinea-lettertype"/>
    <w:link w:val="Voetnoottekst"/>
    <w:uiPriority w:val="99"/>
    <w:rsid w:val="00114060"/>
    <w:rPr>
      <w:rFonts w:ascii="Verdana" w:hAnsi="Verdana" w:cs="Mangal"/>
      <w:sz w:val="20"/>
      <w:szCs w:val="18"/>
    </w:rPr>
  </w:style>
  <w:style w:type="character" w:styleId="Voetnootmarkering">
    <w:name w:val="footnote reference"/>
    <w:basedOn w:val="Standaardalinea-lettertype"/>
    <w:uiPriority w:val="99"/>
    <w:semiHidden/>
    <w:unhideWhenUsed/>
    <w:rsid w:val="00114060"/>
    <w:rPr>
      <w:vertAlign w:val="superscript"/>
    </w:rPr>
  </w:style>
  <w:style w:type="character" w:styleId="Verwijzingopmerking">
    <w:name w:val="annotation reference"/>
    <w:basedOn w:val="Standaardalinea-lettertype"/>
    <w:uiPriority w:val="99"/>
    <w:semiHidden/>
    <w:unhideWhenUsed/>
    <w:rsid w:val="00FF0F91"/>
    <w:rPr>
      <w:sz w:val="16"/>
      <w:szCs w:val="16"/>
    </w:rPr>
  </w:style>
  <w:style w:type="paragraph" w:styleId="Tekstopmerking">
    <w:name w:val="annotation text"/>
    <w:basedOn w:val="Standaard"/>
    <w:link w:val="TekstopmerkingChar"/>
    <w:uiPriority w:val="99"/>
    <w:unhideWhenUsed/>
    <w:rsid w:val="00FF0F91"/>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FF0F91"/>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F0F91"/>
    <w:rPr>
      <w:b/>
      <w:bCs/>
    </w:rPr>
  </w:style>
  <w:style w:type="character" w:customStyle="1" w:styleId="OnderwerpvanopmerkingChar">
    <w:name w:val="Onderwerp van opmerking Char"/>
    <w:basedOn w:val="TekstopmerkingChar"/>
    <w:link w:val="Onderwerpvanopmerking"/>
    <w:uiPriority w:val="99"/>
    <w:semiHidden/>
    <w:rsid w:val="00FF0F91"/>
    <w:rPr>
      <w:rFonts w:ascii="Verdana" w:hAnsi="Verdana" w:cs="Mangal"/>
      <w:b/>
      <w:bCs/>
      <w:sz w:val="20"/>
      <w:szCs w:val="18"/>
    </w:rPr>
  </w:style>
  <w:style w:type="character" w:styleId="Hyperlink">
    <w:name w:val="Hyperlink"/>
    <w:basedOn w:val="Standaardalinea-lettertype"/>
    <w:uiPriority w:val="99"/>
    <w:unhideWhenUsed/>
    <w:rsid w:val="0058211A"/>
    <w:rPr>
      <w:color w:val="0000FF"/>
      <w:u w:val="single"/>
    </w:rPr>
  </w:style>
  <w:style w:type="paragraph" w:styleId="Lijstalinea">
    <w:name w:val="List Paragraph"/>
    <w:basedOn w:val="Standaard"/>
    <w:uiPriority w:val="34"/>
    <w:qFormat/>
    <w:rsid w:val="002D4819"/>
    <w:pPr>
      <w:ind w:left="720"/>
      <w:contextualSpacing/>
    </w:pPr>
    <w:rPr>
      <w:rFonts w:cs="Mangal"/>
    </w:rPr>
  </w:style>
  <w:style w:type="paragraph" w:styleId="Revisie">
    <w:name w:val="Revision"/>
    <w:hidden/>
    <w:uiPriority w:val="99"/>
    <w:semiHidden/>
    <w:rsid w:val="000F34E0"/>
    <w:pPr>
      <w:widowControl/>
      <w:suppressAutoHyphens w:val="0"/>
      <w:autoSpaceDN/>
      <w:textAlignment w:val="auto"/>
    </w:pPr>
    <w:rPr>
      <w:rFonts w:ascii="Verdana" w:hAnsi="Verdana" w:cs="Mangal"/>
      <w:sz w:val="18"/>
    </w:rPr>
  </w:style>
  <w:style w:type="character" w:styleId="GevolgdeHyperlink">
    <w:name w:val="FollowedHyperlink"/>
    <w:basedOn w:val="Standaardalinea-lettertype"/>
    <w:uiPriority w:val="99"/>
    <w:semiHidden/>
    <w:unhideWhenUsed/>
    <w:rsid w:val="000F34E0"/>
    <w:rPr>
      <w:color w:val="800080" w:themeColor="followedHyperlink"/>
      <w:u w:val="single"/>
    </w:rPr>
  </w:style>
  <w:style w:type="character" w:styleId="Onopgelostemelding">
    <w:name w:val="Unresolved Mention"/>
    <w:basedOn w:val="Standaardalinea-lettertype"/>
    <w:uiPriority w:val="99"/>
    <w:semiHidden/>
    <w:unhideWhenUsed/>
    <w:rsid w:val="003B485B"/>
    <w:rPr>
      <w:color w:val="605E5C"/>
      <w:shd w:val="clear" w:color="auto" w:fill="E1DFDD"/>
    </w:rPr>
  </w:style>
  <w:style w:type="paragraph" w:styleId="Geenafstand">
    <w:name w:val="No Spacing"/>
    <w:uiPriority w:val="1"/>
    <w:qFormat/>
    <w:rsid w:val="006A01E5"/>
    <w:pPr>
      <w:widowControl/>
      <w:suppressAutoHyphens w:val="0"/>
      <w:autoSpaceDN/>
      <w:textAlignment w:val="auto"/>
    </w:pPr>
    <w:rPr>
      <w:rFonts w:eastAsia="MS Mincho" w:cs="Times New Roman"/>
      <w:kern w:val="0"/>
      <w:sz w:val="22"/>
      <w:szCs w:val="20"/>
      <w:lang w:bidi="ar-SA"/>
    </w:rPr>
  </w:style>
  <w:style w:type="paragraph" w:customStyle="1" w:styleId="Default">
    <w:name w:val="Default"/>
    <w:rsid w:val="00640009"/>
    <w:pPr>
      <w:widowControl/>
      <w:suppressAutoHyphens w:val="0"/>
      <w:autoSpaceDE w:val="0"/>
      <w:adjustRightInd w:val="0"/>
      <w:textAlignment w:val="auto"/>
    </w:pPr>
    <w:rPr>
      <w:rFonts w:ascii="Verdana" w:hAnsi="Verdana" w:cs="Verdana"/>
      <w:color w:val="000000"/>
      <w:kern w:val="0"/>
      <w:lang w:val="en-GB" w:bidi="ar-SA"/>
    </w:rPr>
  </w:style>
  <w:style w:type="paragraph" w:styleId="Eindnoottekst">
    <w:name w:val="endnote text"/>
    <w:basedOn w:val="Standaard"/>
    <w:link w:val="EindnoottekstChar"/>
    <w:uiPriority w:val="99"/>
    <w:semiHidden/>
    <w:unhideWhenUsed/>
    <w:rsid w:val="00E91CA6"/>
    <w:pPr>
      <w:spacing w:line="240" w:lineRule="auto"/>
    </w:pPr>
    <w:rPr>
      <w:rFonts w:cs="Mangal"/>
      <w:sz w:val="20"/>
      <w:szCs w:val="18"/>
    </w:rPr>
  </w:style>
  <w:style w:type="character" w:customStyle="1" w:styleId="EindnoottekstChar">
    <w:name w:val="Eindnoottekst Char"/>
    <w:basedOn w:val="Standaardalinea-lettertype"/>
    <w:link w:val="Eindnoottekst"/>
    <w:uiPriority w:val="99"/>
    <w:semiHidden/>
    <w:rsid w:val="00E91CA6"/>
    <w:rPr>
      <w:rFonts w:ascii="Verdana" w:hAnsi="Verdana" w:cs="Mangal"/>
      <w:sz w:val="20"/>
      <w:szCs w:val="18"/>
    </w:rPr>
  </w:style>
  <w:style w:type="character" w:styleId="Eindnootmarkering">
    <w:name w:val="endnote reference"/>
    <w:basedOn w:val="Standaardalinea-lettertype"/>
    <w:uiPriority w:val="99"/>
    <w:semiHidden/>
    <w:unhideWhenUsed/>
    <w:rsid w:val="00E91CA6"/>
    <w:rPr>
      <w:vertAlign w:val="superscript"/>
    </w:rPr>
  </w:style>
  <w:style w:type="character" w:customStyle="1" w:styleId="cf01">
    <w:name w:val="cf01"/>
    <w:basedOn w:val="Standaardalinea-lettertype"/>
    <w:rsid w:val="00F822D1"/>
    <w:rPr>
      <w:rFonts w:ascii="Segoe UI" w:hAnsi="Segoe UI" w:cs="Segoe UI" w:hint="default"/>
      <w:b/>
      <w:bCs/>
      <w:i/>
      <w:iCs/>
      <w:sz w:val="18"/>
      <w:szCs w:val="18"/>
    </w:rPr>
  </w:style>
  <w:style w:type="paragraph" w:customStyle="1" w:styleId="pf0">
    <w:name w:val="pf0"/>
    <w:basedOn w:val="Standaard"/>
    <w:rsid w:val="00F822D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apps.who.int/gb/ebwha/pdf_files/WHA77/A77_R17-en.pdf" TargetMode="External"/><Relationship Id="rId2" Type="http://schemas.openxmlformats.org/officeDocument/2006/relationships/hyperlink" Target="https://apps.who.int/gb/wgihr/pdf_files/wgihr2/A_WGIHR2_5-en.pdf?sfvrsn=4b549603_12" TargetMode="External"/><Relationship Id="rId1" Type="http://schemas.openxmlformats.org/officeDocument/2006/relationships/hyperlink" Target="https://apps.who.int/gb/wgihr/pdf_files/wgihr1/WGIHR_Compilation-en.pdf" TargetMode="External"/><Relationship Id="rId5" Type="http://schemas.openxmlformats.org/officeDocument/2006/relationships/hyperlink" Target="https://apps.who.int/gb/ebwha/pdf_files/WHA77/A77_10-en.pdf" TargetMode="External"/><Relationship Id="rId4" Type="http://schemas.openxmlformats.org/officeDocument/2006/relationships/hyperlink" Target="https://apps.who.int/gb/ebwha/pdf_files/WHA77/A77_10-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2667</ap:Words>
  <ap:Characters>14671</ap:Characters>
  <ap:DocSecurity>0</ap:DocSecurity>
  <ap:Lines>122</ap:Lines>
  <ap:Paragraphs>34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2024-12-20T10:08:00.0000000Z</lastPrinted>
  <dcterms:created xsi:type="dcterms:W3CDTF">2024-12-20T10:28:00.0000000Z</dcterms:created>
  <dcterms:modified xsi:type="dcterms:W3CDTF">2024-12-20T10:33:00.0000000Z</dcterms:modified>
  <dc:description>------------------------</dc:description>
  <dc:subject/>
  <keywords/>
  <version/>
  <category/>
</coreProperties>
</file>