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2024Z21911</w:t>
        <w:br/>
      </w:r>
      <w:proofErr w:type="spellEnd"/>
    </w:p>
    <w:p>
      <w:pPr>
        <w:pStyle w:val="Normal"/>
        <w:rPr>
          <w:b w:val="1"/>
          <w:bCs w:val="1"/>
        </w:rPr>
      </w:pPr>
      <w:r w:rsidR="250AE766">
        <w:rPr>
          <w:b w:val="0"/>
          <w:bCs w:val="0"/>
        </w:rPr>
        <w:t>(ingezonden 20 december 2024)</w:t>
        <w:br/>
      </w:r>
    </w:p>
    <w:p>
      <w:r>
        <w:t xml:space="preserve">Vragen van het lid Patijn (GroenLinks-PvdA) aan de minister van Sociale Zaken en Werkgelegenheid en de staatssecretaris van Financiën over de handhaving van schijnzelfstandigheid</w:t>
      </w:r>
      <w:r>
        <w:br/>
      </w:r>
    </w:p>
    <w:p>
      <w:pPr>
        <w:pStyle w:val="ListParagraph"/>
        <w:numPr>
          <w:ilvl w:val="0"/>
          <w:numId w:val="100464040"/>
        </w:numPr>
        <w:ind w:left="360"/>
      </w:pPr>
      <w:r>
        <w:t>Kunt u een overzicht geven van de verschillen in de handhaving op schijnzelfstandigheid in 2024, 2025 en de handhaving die er in 2026 gaat komen?</w:t>
      </w:r>
      <w:r>
        <w:br/>
      </w:r>
    </w:p>
    <w:p>
      <w:pPr>
        <w:pStyle w:val="ListParagraph"/>
        <w:numPr>
          <w:ilvl w:val="0"/>
          <w:numId w:val="100464040"/>
        </w:numPr>
        <w:ind w:left="360"/>
      </w:pPr>
      <w:r>
        <w:t>Klopt het dat er ook bij kwaadwillendheid of evidente schijnzelfstandigheid geen boetes opgelegd worden worden? Waarom is dit?</w:t>
      </w:r>
      <w:r>
        <w:br/>
      </w:r>
    </w:p>
    <w:p>
      <w:pPr>
        <w:pStyle w:val="ListParagraph"/>
        <w:numPr>
          <w:ilvl w:val="0"/>
          <w:numId w:val="100464040"/>
        </w:numPr>
        <w:ind w:left="360"/>
      </w:pPr>
      <w:r>
        <w:t>Waarom is er besloten om bij kwaadwillendheid of evidente schijnzelfstandigheid niet te beboeten?</w:t>
      </w:r>
      <w:r>
        <w:br/>
      </w:r>
    </w:p>
    <w:p>
      <w:pPr>
        <w:pStyle w:val="ListParagraph"/>
        <w:numPr>
          <w:ilvl w:val="0"/>
          <w:numId w:val="100464040"/>
        </w:numPr>
        <w:ind w:left="360"/>
      </w:pPr>
      <w:r>
        <w:t>Hoe verhoudt het niet beboeten bij kwaadwillendheid zich tot de motie-Aartsen c.s. 1) die de regering verzoekt om te focussen op de probleemgevallen waaronder evidente schijnzelfstandigheid door naheffingen op te leggen?</w:t>
      </w:r>
      <w:r>
        <w:br/>
      </w:r>
    </w:p>
    <w:p>
      <w:pPr>
        <w:pStyle w:val="ListParagraph"/>
        <w:numPr>
          <w:ilvl w:val="0"/>
          <w:numId w:val="100464040"/>
        </w:numPr>
        <w:ind w:left="360"/>
      </w:pPr>
      <w:r>
        <w:t>Hoe verhoudt het niet beboeten bij kwaadwillendheid zich tot de wijze van handhaving in 2024 (en daarvoor), waarbij wel gehandhaafd werd op kwaadwillende onjuiste kwalificaties van de arbeidsrelatie, waarbij correctieverplichtingen, naheffingsaanslagen en een eventuele boetes opgelegd konden worden? 2)</w:t>
      </w:r>
      <w:r>
        <w:br/>
      </w:r>
    </w:p>
    <w:p>
      <w:pPr>
        <w:pStyle w:val="ListParagraph"/>
        <w:numPr>
          <w:ilvl w:val="0"/>
          <w:numId w:val="100464040"/>
        </w:numPr>
        <w:ind w:left="360"/>
      </w:pPr>
      <w:r>
        <w:t>Hoe verhoudt dit zich tot de situatie in 2024 (en daarvoor), waarbij gehandhaafd werd als aanwijzingen van de Belastingdienst niet werden opgevolgd, waarbij correctieverplichtingen, naheffingsaanslagen en een eventuele boete opgelegd konden worden?</w:t>
      </w:r>
      <w:r>
        <w:br/>
      </w:r>
    </w:p>
    <w:p>
      <w:pPr>
        <w:pStyle w:val="ListParagraph"/>
        <w:numPr>
          <w:ilvl w:val="0"/>
          <w:numId w:val="100464040"/>
        </w:numPr>
        <w:ind w:left="360"/>
      </w:pPr>
      <w:r>
        <w:t>Wordt er op kwaadwillendheid of evidente schijnzelfstandigheid daarmee minder gehandhaafd in 2025 dan in het voorgaande jaar?</w:t>
      </w:r>
      <w:r>
        <w:br/>
      </w:r>
    </w:p>
    <w:p>
      <w:pPr>
        <w:pStyle w:val="ListParagraph"/>
        <w:numPr>
          <w:ilvl w:val="0"/>
          <w:numId w:val="100464040"/>
        </w:numPr>
        <w:ind w:left="360"/>
      </w:pPr>
      <w:r>
        <w:t>Op welke momenten wordt er overgegaan op boekenonderzoek?</w:t>
      </w:r>
      <w:r>
        <w:br/>
      </w:r>
    </w:p>
    <w:p>
      <w:pPr>
        <w:pStyle w:val="ListParagraph"/>
        <w:numPr>
          <w:ilvl w:val="0"/>
          <w:numId w:val="100464040"/>
        </w:numPr>
        <w:ind w:left="360"/>
      </w:pPr>
      <w:r>
        <w:t>Kunt u nadere duiding geven bij het besluit dat alle goedgekeurde modelovereenkomsten van kracht blijven tot eind 2029? Worden bestaande modelovereenkomsten die aflopen verlengd?</w:t>
      </w:r>
      <w:r>
        <w:br/>
      </w:r>
    </w:p>
    <w:p>
      <w:pPr>
        <w:pStyle w:val="ListParagraph"/>
        <w:numPr>
          <w:ilvl w:val="0"/>
          <w:numId w:val="100464040"/>
        </w:numPr>
        <w:ind w:left="360"/>
      </w:pPr>
      <w:r>
        <w:t>Om welke modelovereenkomsten gaat het? Kan het kabinet een volledig overzicht geven?</w:t>
      </w:r>
      <w:r>
        <w:br/>
      </w:r>
    </w:p>
    <w:p>
      <w:pPr>
        <w:pStyle w:val="ListParagraph"/>
        <w:numPr>
          <w:ilvl w:val="0"/>
          <w:numId w:val="100464040"/>
        </w:numPr>
        <w:ind w:left="360"/>
      </w:pPr>
      <w:r>
        <w:t>Gaat er per 1 januari 2025 nog een vrijwarende werking uit van de modelovereenkomsten? Hoe zit dat per 1 januari 2026?</w:t>
      </w:r>
      <w:r>
        <w:br/>
      </w:r>
    </w:p>
    <w:p>
      <w:pPr>
        <w:pStyle w:val="ListParagraph"/>
        <w:numPr>
          <w:ilvl w:val="0"/>
          <w:numId w:val="100464040"/>
        </w:numPr>
        <w:ind w:left="360"/>
      </w:pPr>
      <w:r>
        <w:t>Hoe veel opdrachtgevers en werkenden maken er gebruik van een modelovereenkomst?</w:t>
      </w:r>
      <w:r>
        <w:br/>
      </w:r>
    </w:p>
    <w:p>
      <w:pPr>
        <w:pStyle w:val="ListParagraph"/>
        <w:numPr>
          <w:ilvl w:val="0"/>
          <w:numId w:val="100464040"/>
        </w:numPr>
        <w:ind w:left="360"/>
      </w:pPr>
      <w:r>
        <w:t>Worden er ook modelovereenkomsten doorgezet voor opdrachtgevers c.q. platforms die betalen onder 32,24 euro per uur?</w:t>
      </w:r>
      <w:r>
        <w:br/>
      </w:r>
    </w:p>
    <w:p>
      <w:pPr>
        <w:pStyle w:val="ListParagraph"/>
        <w:numPr>
          <w:ilvl w:val="0"/>
          <w:numId w:val="100464040"/>
        </w:numPr>
        <w:ind w:left="360"/>
      </w:pPr>
      <w:r>
        <w:t>Klopt het dat de Belastingdienst via een vooroverleg een adviserende heeft rol zonder dat daar rechten aan ontleend kunnen worden? Kan het kabinet uitleggen wanneer de Belastingdienst bij het vooroverleg aan het handhaven is en wanneer er geadviseerd wordt?</w:t>
      </w:r>
      <w:r>
        <w:br/>
      </w:r>
    </w:p>
    <w:p>
      <w:r>
        <w:t xml:space="preserve"> </w:t>
      </w:r>
      <w:r>
        <w:br/>
      </w:r>
    </w:p>
    <w:p>
      <w:r>
        <w:t xml:space="preserve">1) Kamerstuk 31 311, nr. 264.</w:t>
      </w:r>
      <w:r>
        <w:br/>
      </w:r>
    </w:p>
    <w:p>
      <w:r>
        <w:t xml:space="preserve">2) De Belastingdienst, 'Handhavingsplan arbeidsrelaties tranche 2024', 12 januari 2024, (Handhavingsplan arbeidsrelaties tranche 2024).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