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Pr="00A23BF0" w:rsidR="00A23BF0" w:rsidTr="00EA1CE4" w14:paraId="0D5A9176" w14:textId="77777777">
        <w:tc>
          <w:tcPr>
            <w:tcW w:w="6379" w:type="dxa"/>
            <w:gridSpan w:val="2"/>
            <w:tcBorders>
              <w:top w:val="nil"/>
              <w:left w:val="nil"/>
              <w:bottom w:val="nil"/>
              <w:right w:val="nil"/>
            </w:tcBorders>
            <w:vAlign w:val="center"/>
          </w:tcPr>
          <w:p w:rsidRPr="00A23BF0" w:rsidR="004330ED" w:rsidP="00EA1CE4" w:rsidRDefault="004330ED" w14:paraId="114EF4EC" w14:textId="77777777">
            <w:pPr>
              <w:pStyle w:val="Amendement"/>
              <w:tabs>
                <w:tab w:val="clear" w:pos="3310"/>
                <w:tab w:val="clear" w:pos="3600"/>
              </w:tabs>
              <w:rPr>
                <w:rFonts w:ascii="Times New Roman" w:hAnsi="Times New Roman"/>
                <w:color w:val="000000" w:themeColor="text1"/>
                <w:spacing w:val="40"/>
                <w:sz w:val="22"/>
              </w:rPr>
            </w:pPr>
            <w:r w:rsidRPr="00A23BF0">
              <w:rPr>
                <w:rFonts w:ascii="Times New Roman" w:hAnsi="Times New Roman"/>
                <w:color w:val="000000" w:themeColor="text1"/>
                <w:spacing w:val="40"/>
                <w:sz w:val="30"/>
              </w:rPr>
              <w:t>T</w:t>
            </w:r>
            <w:r w:rsidRPr="00A23BF0" w:rsidR="0021777F">
              <w:rPr>
                <w:rFonts w:ascii="Times New Roman" w:hAnsi="Times New Roman"/>
                <w:color w:val="000000" w:themeColor="text1"/>
                <w:spacing w:val="40"/>
                <w:sz w:val="22"/>
              </w:rPr>
              <w:t>WEEDE</w:t>
            </w:r>
            <w:r w:rsidRPr="00A23BF0">
              <w:rPr>
                <w:rFonts w:ascii="Times New Roman" w:hAnsi="Times New Roman"/>
                <w:color w:val="000000" w:themeColor="text1"/>
                <w:spacing w:val="40"/>
                <w:sz w:val="22"/>
              </w:rPr>
              <w:t xml:space="preserve"> </w:t>
            </w:r>
            <w:r w:rsidRPr="00A23BF0">
              <w:rPr>
                <w:rFonts w:ascii="Times New Roman" w:hAnsi="Times New Roman"/>
                <w:color w:val="000000" w:themeColor="text1"/>
                <w:spacing w:val="40"/>
                <w:sz w:val="30"/>
              </w:rPr>
              <w:t>K</w:t>
            </w:r>
            <w:r w:rsidRPr="00A23BF0" w:rsidR="0021777F">
              <w:rPr>
                <w:rFonts w:ascii="Times New Roman" w:hAnsi="Times New Roman"/>
                <w:color w:val="000000" w:themeColor="text1"/>
                <w:spacing w:val="40"/>
                <w:sz w:val="22"/>
              </w:rPr>
              <w:t xml:space="preserve">AMER </w:t>
            </w:r>
            <w:r w:rsidRPr="00A23BF0">
              <w:rPr>
                <w:rFonts w:ascii="Times New Roman" w:hAnsi="Times New Roman"/>
                <w:color w:val="000000" w:themeColor="text1"/>
                <w:spacing w:val="40"/>
                <w:sz w:val="22"/>
              </w:rPr>
              <w:t>DER</w:t>
            </w:r>
            <w:r w:rsidRPr="00A23BF0">
              <w:rPr>
                <w:rFonts w:ascii="Times New Roman" w:hAnsi="Times New Roman"/>
                <w:color w:val="000000" w:themeColor="text1"/>
                <w:spacing w:val="40"/>
                <w:sz w:val="30"/>
              </w:rPr>
              <w:t xml:space="preserve"> S</w:t>
            </w:r>
            <w:r w:rsidRPr="00A23BF0">
              <w:rPr>
                <w:rFonts w:ascii="Times New Roman" w:hAnsi="Times New Roman"/>
                <w:color w:val="000000" w:themeColor="text1"/>
                <w:spacing w:val="40"/>
                <w:sz w:val="22"/>
              </w:rPr>
              <w:t>TATEN-</w:t>
            </w:r>
            <w:r w:rsidRPr="00A23BF0">
              <w:rPr>
                <w:rFonts w:ascii="Times New Roman" w:hAnsi="Times New Roman"/>
                <w:color w:val="000000" w:themeColor="text1"/>
                <w:spacing w:val="40"/>
                <w:sz w:val="30"/>
              </w:rPr>
              <w:t>G</w:t>
            </w:r>
            <w:r w:rsidRPr="00A23BF0">
              <w:rPr>
                <w:rFonts w:ascii="Times New Roman" w:hAnsi="Times New Roman"/>
                <w:color w:val="000000" w:themeColor="text1"/>
                <w:spacing w:val="40"/>
                <w:sz w:val="22"/>
              </w:rPr>
              <w:t>ENERAAL</w:t>
            </w:r>
          </w:p>
        </w:tc>
        <w:tc>
          <w:tcPr>
            <w:tcW w:w="3969" w:type="dxa"/>
            <w:tcBorders>
              <w:top w:val="nil"/>
              <w:left w:val="nil"/>
              <w:bottom w:val="nil"/>
              <w:right w:val="nil"/>
            </w:tcBorders>
          </w:tcPr>
          <w:p w:rsidRPr="00A23BF0" w:rsidR="004330ED" w:rsidP="006E0971" w:rsidRDefault="004330ED" w14:paraId="1D16C399" w14:textId="77777777">
            <w:pPr>
              <w:pStyle w:val="Amendement"/>
              <w:tabs>
                <w:tab w:val="clear" w:pos="3310"/>
                <w:tab w:val="clear" w:pos="3600"/>
              </w:tabs>
              <w:ind w:left="-70"/>
              <w:jc w:val="right"/>
              <w:rPr>
                <w:rFonts w:ascii="Times New Roman" w:hAnsi="Times New Roman"/>
                <w:color w:val="000000" w:themeColor="text1"/>
                <w:spacing w:val="40"/>
                <w:sz w:val="22"/>
              </w:rPr>
            </w:pPr>
            <w:r w:rsidRPr="00A23BF0">
              <w:rPr>
                <w:rFonts w:ascii="Times New Roman" w:hAnsi="Times New Roman"/>
                <w:color w:val="000000" w:themeColor="text1"/>
                <w:sz w:val="88"/>
              </w:rPr>
              <w:t>2</w:t>
            </w:r>
          </w:p>
        </w:tc>
      </w:tr>
      <w:tr w:rsidRPr="00A23BF0" w:rsidR="00A23BF0" w:rsidTr="00EA1CE4" w14:paraId="01EF1C97" w14:textId="77777777">
        <w:trPr>
          <w:cantSplit/>
        </w:trPr>
        <w:tc>
          <w:tcPr>
            <w:tcW w:w="10348" w:type="dxa"/>
            <w:gridSpan w:val="3"/>
            <w:tcBorders>
              <w:top w:val="single" w:color="auto" w:sz="4" w:space="0"/>
              <w:left w:val="nil"/>
              <w:bottom w:val="nil"/>
              <w:right w:val="nil"/>
            </w:tcBorders>
          </w:tcPr>
          <w:p w:rsidRPr="00A23BF0" w:rsidR="004330ED" w:rsidP="004A1E29" w:rsidRDefault="004330ED" w14:paraId="668B1D47" w14:textId="77777777">
            <w:pPr>
              <w:pStyle w:val="Amendement"/>
              <w:tabs>
                <w:tab w:val="clear" w:pos="3310"/>
                <w:tab w:val="clear" w:pos="3600"/>
              </w:tabs>
              <w:rPr>
                <w:rFonts w:ascii="Times New Roman" w:hAnsi="Times New Roman"/>
                <w:color w:val="000000" w:themeColor="text1"/>
              </w:rPr>
            </w:pPr>
            <w:r w:rsidRPr="00A23BF0">
              <w:rPr>
                <w:rFonts w:ascii="Times New Roman" w:hAnsi="Times New Roman"/>
                <w:b w:val="0"/>
                <w:color w:val="000000" w:themeColor="text1"/>
              </w:rPr>
              <w:t xml:space="preserve">Vergaderjaar </w:t>
            </w:r>
            <w:r w:rsidRPr="00A23BF0" w:rsidR="00E908D7">
              <w:rPr>
                <w:rFonts w:ascii="Times New Roman" w:hAnsi="Times New Roman"/>
                <w:b w:val="0"/>
                <w:color w:val="000000" w:themeColor="text1"/>
              </w:rPr>
              <w:t>2024-2025</w:t>
            </w:r>
          </w:p>
        </w:tc>
      </w:tr>
      <w:tr w:rsidRPr="00A23BF0" w:rsidR="00A23BF0" w:rsidTr="00EA1CE4" w14:paraId="25DB8E0A" w14:textId="77777777">
        <w:trPr>
          <w:cantSplit/>
        </w:trPr>
        <w:tc>
          <w:tcPr>
            <w:tcW w:w="10348" w:type="dxa"/>
            <w:gridSpan w:val="3"/>
            <w:tcBorders>
              <w:top w:val="nil"/>
              <w:left w:val="nil"/>
              <w:bottom w:val="nil"/>
              <w:right w:val="nil"/>
            </w:tcBorders>
          </w:tcPr>
          <w:p w:rsidRPr="00A23BF0" w:rsidR="004330ED" w:rsidP="00BF623B" w:rsidRDefault="004330ED" w14:paraId="4D2880A1" w14:textId="77777777">
            <w:pPr>
              <w:pStyle w:val="Amendement"/>
              <w:tabs>
                <w:tab w:val="clear" w:pos="3310"/>
                <w:tab w:val="clear" w:pos="3600"/>
              </w:tabs>
              <w:rPr>
                <w:rFonts w:ascii="Times New Roman" w:hAnsi="Times New Roman"/>
                <w:b w:val="0"/>
                <w:color w:val="000000" w:themeColor="text1"/>
              </w:rPr>
            </w:pPr>
          </w:p>
        </w:tc>
      </w:tr>
      <w:tr w:rsidRPr="00A23BF0" w:rsidR="00A23BF0" w:rsidTr="00EA1CE4" w14:paraId="4EECDE5E" w14:textId="77777777">
        <w:trPr>
          <w:cantSplit/>
        </w:trPr>
        <w:tc>
          <w:tcPr>
            <w:tcW w:w="10348" w:type="dxa"/>
            <w:gridSpan w:val="3"/>
            <w:tcBorders>
              <w:top w:val="nil"/>
              <w:left w:val="nil"/>
              <w:bottom w:val="single" w:color="auto" w:sz="4" w:space="0"/>
              <w:right w:val="nil"/>
            </w:tcBorders>
          </w:tcPr>
          <w:p w:rsidRPr="00A23BF0" w:rsidR="004330ED" w:rsidP="00BF623B" w:rsidRDefault="004330ED" w14:paraId="72E4CF2D" w14:textId="77777777">
            <w:pPr>
              <w:pStyle w:val="Amendement"/>
              <w:tabs>
                <w:tab w:val="clear" w:pos="3310"/>
                <w:tab w:val="clear" w:pos="3600"/>
              </w:tabs>
              <w:rPr>
                <w:rFonts w:ascii="Times New Roman" w:hAnsi="Times New Roman"/>
                <w:color w:val="000000" w:themeColor="text1"/>
              </w:rPr>
            </w:pPr>
          </w:p>
        </w:tc>
      </w:tr>
      <w:tr w:rsidRPr="00A23BF0" w:rsidR="00A23BF0" w:rsidTr="00EA1CE4" w14:paraId="52B1517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A23BF0" w:rsidR="004330ED" w:rsidP="006E0971" w:rsidRDefault="004330ED" w14:paraId="701BA113" w14:textId="77777777">
            <w:pPr>
              <w:pStyle w:val="Amendement"/>
              <w:tabs>
                <w:tab w:val="clear" w:pos="3310"/>
                <w:tab w:val="clear" w:pos="3600"/>
              </w:tabs>
              <w:rPr>
                <w:rFonts w:ascii="Times New Roman" w:hAnsi="Times New Roman"/>
                <w:color w:val="000000" w:themeColor="text1"/>
              </w:rPr>
            </w:pPr>
          </w:p>
        </w:tc>
        <w:tc>
          <w:tcPr>
            <w:tcW w:w="7371" w:type="dxa"/>
            <w:gridSpan w:val="2"/>
          </w:tcPr>
          <w:p w:rsidRPr="00A23BF0" w:rsidR="004330ED" w:rsidP="006E0971" w:rsidRDefault="004330ED" w14:paraId="6EFF4970" w14:textId="77777777">
            <w:pPr>
              <w:suppressAutoHyphens/>
              <w:ind w:left="-70"/>
              <w:rPr>
                <w:b/>
                <w:color w:val="000000" w:themeColor="text1"/>
              </w:rPr>
            </w:pPr>
          </w:p>
        </w:tc>
      </w:tr>
      <w:tr w:rsidRPr="00A23BF0" w:rsidR="00A23BF0" w:rsidTr="00EA1CE4" w14:paraId="67FF54D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A23BF0" w:rsidR="003C21AC" w:rsidP="00EA1CE4" w:rsidRDefault="00537ACA" w14:paraId="778FEF5D" w14:textId="5FDBA6EC">
            <w:pPr>
              <w:pStyle w:val="Amendement"/>
              <w:tabs>
                <w:tab w:val="clear" w:pos="3310"/>
                <w:tab w:val="clear" w:pos="3600"/>
              </w:tabs>
              <w:rPr>
                <w:rFonts w:ascii="Times New Roman" w:hAnsi="Times New Roman"/>
                <w:color w:val="000000" w:themeColor="text1"/>
              </w:rPr>
            </w:pPr>
            <w:r w:rsidRPr="00A23BF0">
              <w:rPr>
                <w:rFonts w:ascii="Times New Roman" w:hAnsi="Times New Roman"/>
                <w:color w:val="000000" w:themeColor="text1"/>
              </w:rPr>
              <w:t>36 327</w:t>
            </w:r>
          </w:p>
        </w:tc>
        <w:tc>
          <w:tcPr>
            <w:tcW w:w="7371" w:type="dxa"/>
            <w:gridSpan w:val="2"/>
          </w:tcPr>
          <w:p w:rsidRPr="00A23BF0" w:rsidR="003C21AC" w:rsidP="006E0971" w:rsidRDefault="00537ACA" w14:paraId="67DEC383" w14:textId="6070A6A2">
            <w:pPr>
              <w:ind w:left="-70"/>
              <w:rPr>
                <w:b/>
                <w:color w:val="000000" w:themeColor="text1"/>
              </w:rPr>
            </w:pPr>
            <w:r w:rsidRPr="00A23BF0">
              <w:rPr>
                <w:b/>
                <w:bCs/>
                <w:color w:val="000000" w:themeColor="text1"/>
                <w:szCs w:val="24"/>
              </w:rPr>
              <w:t>Vaststelling van het nieuwe Wetboek van Strafvordering (Wetboek van Strafvordering)</w:t>
            </w:r>
          </w:p>
        </w:tc>
      </w:tr>
      <w:tr w:rsidRPr="00A23BF0" w:rsidR="00A23BF0" w:rsidTr="00EA1CE4" w14:paraId="58C3CE3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A23BF0" w:rsidR="003C21AC" w:rsidP="006E0971" w:rsidRDefault="003C21AC" w14:paraId="4966137E" w14:textId="77777777">
            <w:pPr>
              <w:pStyle w:val="Amendement"/>
              <w:tabs>
                <w:tab w:val="clear" w:pos="3310"/>
                <w:tab w:val="clear" w:pos="3600"/>
              </w:tabs>
              <w:rPr>
                <w:rFonts w:ascii="Times New Roman" w:hAnsi="Times New Roman"/>
                <w:color w:val="000000" w:themeColor="text1"/>
              </w:rPr>
            </w:pPr>
          </w:p>
        </w:tc>
        <w:tc>
          <w:tcPr>
            <w:tcW w:w="7371" w:type="dxa"/>
            <w:gridSpan w:val="2"/>
          </w:tcPr>
          <w:p w:rsidRPr="00A23BF0" w:rsidR="003C21AC" w:rsidP="006E0971" w:rsidRDefault="003C21AC" w14:paraId="6C06B7BD" w14:textId="77777777">
            <w:pPr>
              <w:pStyle w:val="Amendement"/>
              <w:tabs>
                <w:tab w:val="clear" w:pos="3310"/>
                <w:tab w:val="clear" w:pos="3600"/>
              </w:tabs>
              <w:ind w:left="-70"/>
              <w:rPr>
                <w:rFonts w:ascii="Times New Roman" w:hAnsi="Times New Roman"/>
                <w:color w:val="000000" w:themeColor="text1"/>
              </w:rPr>
            </w:pPr>
          </w:p>
        </w:tc>
      </w:tr>
      <w:tr w:rsidRPr="00A23BF0" w:rsidR="00A23BF0" w:rsidTr="00EA1CE4" w14:paraId="24797A1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A23BF0" w:rsidR="003C21AC" w:rsidP="006E0971" w:rsidRDefault="003C21AC" w14:paraId="6ACBC84F" w14:textId="77777777">
            <w:pPr>
              <w:pStyle w:val="Amendement"/>
              <w:tabs>
                <w:tab w:val="clear" w:pos="3310"/>
                <w:tab w:val="clear" w:pos="3600"/>
              </w:tabs>
              <w:rPr>
                <w:rFonts w:ascii="Times New Roman" w:hAnsi="Times New Roman"/>
                <w:color w:val="000000" w:themeColor="text1"/>
              </w:rPr>
            </w:pPr>
          </w:p>
        </w:tc>
        <w:tc>
          <w:tcPr>
            <w:tcW w:w="7371" w:type="dxa"/>
            <w:gridSpan w:val="2"/>
          </w:tcPr>
          <w:p w:rsidRPr="00A23BF0" w:rsidR="003C21AC" w:rsidP="006E0971" w:rsidRDefault="003C21AC" w14:paraId="26D069D9" w14:textId="77777777">
            <w:pPr>
              <w:pStyle w:val="Amendement"/>
              <w:tabs>
                <w:tab w:val="clear" w:pos="3310"/>
                <w:tab w:val="clear" w:pos="3600"/>
              </w:tabs>
              <w:ind w:left="-70"/>
              <w:rPr>
                <w:rFonts w:ascii="Times New Roman" w:hAnsi="Times New Roman"/>
                <w:color w:val="000000" w:themeColor="text1"/>
              </w:rPr>
            </w:pPr>
          </w:p>
        </w:tc>
      </w:tr>
      <w:tr w:rsidRPr="00A23BF0" w:rsidR="00A23BF0" w:rsidTr="00EA1CE4" w14:paraId="6C07140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A23BF0" w:rsidR="003C21AC" w:rsidP="00EA1CE4" w:rsidRDefault="003C21AC" w14:paraId="634D3FB5" w14:textId="58178A9E">
            <w:pPr>
              <w:pStyle w:val="Amendement"/>
              <w:tabs>
                <w:tab w:val="clear" w:pos="3310"/>
                <w:tab w:val="clear" w:pos="3600"/>
              </w:tabs>
              <w:rPr>
                <w:rFonts w:ascii="Times New Roman" w:hAnsi="Times New Roman"/>
                <w:color w:val="000000" w:themeColor="text1"/>
              </w:rPr>
            </w:pPr>
            <w:r w:rsidRPr="00A23BF0">
              <w:rPr>
                <w:rFonts w:ascii="Times New Roman" w:hAnsi="Times New Roman"/>
                <w:color w:val="000000" w:themeColor="text1"/>
              </w:rPr>
              <w:t xml:space="preserve">Nr. </w:t>
            </w:r>
            <w:r w:rsidR="003A6E93">
              <w:rPr>
                <w:rFonts w:ascii="Times New Roman" w:hAnsi="Times New Roman"/>
                <w:caps/>
                <w:color w:val="000000" w:themeColor="text1"/>
              </w:rPr>
              <w:t>15</w:t>
            </w:r>
          </w:p>
        </w:tc>
        <w:tc>
          <w:tcPr>
            <w:tcW w:w="7371" w:type="dxa"/>
            <w:gridSpan w:val="2"/>
          </w:tcPr>
          <w:p w:rsidRPr="00A23BF0" w:rsidR="003C21AC" w:rsidP="006E0971" w:rsidRDefault="003C21AC" w14:paraId="2591F8EB" w14:textId="14B68F22">
            <w:pPr>
              <w:pStyle w:val="Amendement"/>
              <w:tabs>
                <w:tab w:val="clear" w:pos="3310"/>
                <w:tab w:val="clear" w:pos="3600"/>
              </w:tabs>
              <w:ind w:left="-70"/>
              <w:rPr>
                <w:rFonts w:ascii="Times New Roman" w:hAnsi="Times New Roman"/>
                <w:caps/>
                <w:color w:val="000000" w:themeColor="text1"/>
              </w:rPr>
            </w:pPr>
            <w:r w:rsidRPr="00A23BF0">
              <w:rPr>
                <w:rFonts w:ascii="Times New Roman" w:hAnsi="Times New Roman"/>
                <w:caps/>
                <w:color w:val="000000" w:themeColor="text1"/>
              </w:rPr>
              <w:t xml:space="preserve">AMENDEMENT VAN HET LID </w:t>
            </w:r>
            <w:r w:rsidRPr="00A23BF0" w:rsidR="003B08CB">
              <w:rPr>
                <w:rFonts w:ascii="Times New Roman" w:hAnsi="Times New Roman"/>
                <w:caps/>
                <w:color w:val="000000" w:themeColor="text1"/>
              </w:rPr>
              <w:t>Sneller</w:t>
            </w:r>
          </w:p>
        </w:tc>
      </w:tr>
      <w:tr w:rsidRPr="00A23BF0" w:rsidR="00A23BF0" w:rsidTr="00EA1CE4" w14:paraId="64AB702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A23BF0" w:rsidR="003C21AC" w:rsidP="006E0971" w:rsidRDefault="003C21AC" w14:paraId="669752E3" w14:textId="77777777">
            <w:pPr>
              <w:pStyle w:val="Amendement"/>
              <w:tabs>
                <w:tab w:val="clear" w:pos="3310"/>
                <w:tab w:val="clear" w:pos="3600"/>
              </w:tabs>
              <w:rPr>
                <w:rFonts w:ascii="Times New Roman" w:hAnsi="Times New Roman"/>
                <w:color w:val="000000" w:themeColor="text1"/>
              </w:rPr>
            </w:pPr>
          </w:p>
        </w:tc>
        <w:tc>
          <w:tcPr>
            <w:tcW w:w="7371" w:type="dxa"/>
            <w:gridSpan w:val="2"/>
          </w:tcPr>
          <w:p w:rsidRPr="00A23BF0" w:rsidR="003C21AC" w:rsidP="006E0971" w:rsidRDefault="003C21AC" w14:paraId="5653B74A" w14:textId="069CFF08">
            <w:pPr>
              <w:pStyle w:val="Amendement"/>
              <w:tabs>
                <w:tab w:val="clear" w:pos="3310"/>
                <w:tab w:val="clear" w:pos="3600"/>
              </w:tabs>
              <w:ind w:left="-70"/>
              <w:rPr>
                <w:rFonts w:ascii="Times New Roman" w:hAnsi="Times New Roman"/>
                <w:color w:val="000000" w:themeColor="text1"/>
              </w:rPr>
            </w:pPr>
            <w:r w:rsidRPr="00A23BF0">
              <w:rPr>
                <w:rFonts w:ascii="Times New Roman" w:hAnsi="Times New Roman"/>
                <w:b w:val="0"/>
                <w:color w:val="000000" w:themeColor="text1"/>
              </w:rPr>
              <w:t xml:space="preserve">Ontvangen </w:t>
            </w:r>
            <w:r w:rsidR="00847167">
              <w:rPr>
                <w:rFonts w:ascii="Times New Roman" w:hAnsi="Times New Roman"/>
                <w:b w:val="0"/>
                <w:color w:val="000000" w:themeColor="text1"/>
              </w:rPr>
              <w:t>19 december 2024</w:t>
            </w:r>
          </w:p>
        </w:tc>
      </w:tr>
      <w:tr w:rsidRPr="00A23BF0" w:rsidR="00A23BF0" w:rsidTr="00EA1CE4" w14:paraId="71C05A2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A23BF0" w:rsidR="00B01BA6" w:rsidP="006E0971" w:rsidRDefault="00B01BA6" w14:paraId="1FFA0240" w14:textId="77777777">
            <w:pPr>
              <w:pStyle w:val="Amendement"/>
              <w:tabs>
                <w:tab w:val="clear" w:pos="3310"/>
                <w:tab w:val="clear" w:pos="3600"/>
              </w:tabs>
              <w:rPr>
                <w:rFonts w:ascii="Times New Roman" w:hAnsi="Times New Roman"/>
                <w:color w:val="000000" w:themeColor="text1"/>
              </w:rPr>
            </w:pPr>
          </w:p>
        </w:tc>
        <w:tc>
          <w:tcPr>
            <w:tcW w:w="7371" w:type="dxa"/>
            <w:gridSpan w:val="2"/>
          </w:tcPr>
          <w:p w:rsidRPr="00A23BF0" w:rsidR="00B01BA6" w:rsidP="006E0971" w:rsidRDefault="00B01BA6" w14:paraId="55351DAD" w14:textId="77777777">
            <w:pPr>
              <w:pStyle w:val="Amendement"/>
              <w:tabs>
                <w:tab w:val="clear" w:pos="3310"/>
                <w:tab w:val="clear" w:pos="3600"/>
              </w:tabs>
              <w:ind w:left="-70"/>
              <w:rPr>
                <w:rFonts w:ascii="Times New Roman" w:hAnsi="Times New Roman"/>
                <w:b w:val="0"/>
                <w:color w:val="000000" w:themeColor="text1"/>
              </w:rPr>
            </w:pPr>
          </w:p>
        </w:tc>
      </w:tr>
      <w:tr w:rsidRPr="00A23BF0" w:rsidR="00B01BA6" w:rsidTr="00EA1CE4" w14:paraId="5379F6E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A23BF0" w:rsidR="00B01BA6" w:rsidP="0088452C" w:rsidRDefault="00B01BA6" w14:paraId="7B505280" w14:textId="77777777">
            <w:pPr>
              <w:ind w:firstLine="284"/>
              <w:rPr>
                <w:color w:val="000000" w:themeColor="text1"/>
              </w:rPr>
            </w:pPr>
            <w:r w:rsidRPr="00A23BF0">
              <w:rPr>
                <w:color w:val="000000" w:themeColor="text1"/>
              </w:rPr>
              <w:t>De ondergetekende stelt het volgende amendement voor:</w:t>
            </w:r>
          </w:p>
        </w:tc>
      </w:tr>
    </w:tbl>
    <w:p w:rsidRPr="00A23BF0" w:rsidR="004330ED" w:rsidP="00D774B3" w:rsidRDefault="004330ED" w14:paraId="0901E63F" w14:textId="77777777">
      <w:pPr>
        <w:rPr>
          <w:color w:val="000000" w:themeColor="text1"/>
        </w:rPr>
      </w:pPr>
    </w:p>
    <w:p w:rsidRPr="00A23BF0" w:rsidR="004330ED" w:rsidP="00EA1CE4" w:rsidRDefault="004330ED" w14:paraId="28EAA8B3" w14:textId="77777777">
      <w:pPr>
        <w:rPr>
          <w:color w:val="000000" w:themeColor="text1"/>
        </w:rPr>
      </w:pPr>
      <w:r w:rsidRPr="00A23BF0">
        <w:rPr>
          <w:color w:val="000000" w:themeColor="text1"/>
        </w:rPr>
        <w:t>I</w:t>
      </w:r>
    </w:p>
    <w:p w:rsidRPr="00A23BF0" w:rsidR="005B1DCC" w:rsidP="00BF623B" w:rsidRDefault="005B1DCC" w14:paraId="4D569C24" w14:textId="77777777">
      <w:pPr>
        <w:rPr>
          <w:color w:val="000000" w:themeColor="text1"/>
        </w:rPr>
      </w:pPr>
    </w:p>
    <w:p w:rsidRPr="00A23BF0" w:rsidR="005B1DCC" w:rsidP="0088452C" w:rsidRDefault="00A8653B" w14:paraId="0EB0E500" w14:textId="4793D29C">
      <w:pPr>
        <w:ind w:firstLine="284"/>
        <w:rPr>
          <w:color w:val="000000" w:themeColor="text1"/>
        </w:rPr>
      </w:pPr>
      <w:r w:rsidRPr="00A23BF0">
        <w:rPr>
          <w:color w:val="000000" w:themeColor="text1"/>
        </w:rPr>
        <w:t>Aan a</w:t>
      </w:r>
      <w:r w:rsidRPr="00A23BF0" w:rsidR="00800474">
        <w:rPr>
          <w:color w:val="000000" w:themeColor="text1"/>
        </w:rPr>
        <w:t>rt</w:t>
      </w:r>
      <w:r w:rsidRPr="00A23BF0">
        <w:rPr>
          <w:color w:val="000000" w:themeColor="text1"/>
        </w:rPr>
        <w:t>ikel</w:t>
      </w:r>
      <w:r w:rsidRPr="00A23BF0" w:rsidR="00800474">
        <w:rPr>
          <w:color w:val="000000" w:themeColor="text1"/>
        </w:rPr>
        <w:t xml:space="preserve"> 1.8.6 </w:t>
      </w:r>
      <w:r w:rsidRPr="00A23BF0">
        <w:rPr>
          <w:color w:val="000000" w:themeColor="text1"/>
        </w:rPr>
        <w:t xml:space="preserve">wordt een lid toegevoegd, luidende: </w:t>
      </w:r>
    </w:p>
    <w:p w:rsidRPr="00A23BF0" w:rsidR="00A8653B" w:rsidP="0088452C" w:rsidRDefault="00A8653B" w14:paraId="5A51EC97" w14:textId="753467F8">
      <w:pPr>
        <w:ind w:firstLine="284"/>
        <w:rPr>
          <w:color w:val="000000" w:themeColor="text1"/>
        </w:rPr>
      </w:pPr>
      <w:r w:rsidRPr="00A23BF0">
        <w:rPr>
          <w:color w:val="000000" w:themeColor="text1"/>
        </w:rPr>
        <w:t xml:space="preserve">4. </w:t>
      </w:r>
      <w:r w:rsidRPr="00A23BF0" w:rsidR="00CB1CA9">
        <w:rPr>
          <w:color w:val="000000" w:themeColor="text1"/>
        </w:rPr>
        <w:t>Indien de officier van justitie in gebreke blijft de kennisneming toe te staan binnen de door de rechter-commissaris gestelde termijn als bedoeld in het derde lid, kan de rechter-commissaris beslissen dat de berechting niet aanvangt totdat de kennisneming is toegestaan, voor zover dat niet tot onaanvaardbare consequenties zal leiden.</w:t>
      </w:r>
    </w:p>
    <w:p w:rsidRPr="00A23BF0" w:rsidR="00800474" w:rsidP="00800474" w:rsidRDefault="00800474" w14:paraId="7E8AB33F" w14:textId="77777777">
      <w:pPr>
        <w:rPr>
          <w:color w:val="000000" w:themeColor="text1"/>
        </w:rPr>
      </w:pPr>
    </w:p>
    <w:p w:rsidRPr="00A23BF0" w:rsidR="00800474" w:rsidP="00800474" w:rsidRDefault="00800474" w14:paraId="14D9FE61" w14:textId="51A90C62">
      <w:pPr>
        <w:rPr>
          <w:color w:val="000000" w:themeColor="text1"/>
        </w:rPr>
      </w:pPr>
      <w:r w:rsidRPr="00A23BF0">
        <w:rPr>
          <w:color w:val="000000" w:themeColor="text1"/>
        </w:rPr>
        <w:t>II</w:t>
      </w:r>
    </w:p>
    <w:p w:rsidRPr="00A23BF0" w:rsidR="00800474" w:rsidP="00800474" w:rsidRDefault="00800474" w14:paraId="6B4443A0" w14:textId="77777777">
      <w:pPr>
        <w:rPr>
          <w:color w:val="000000" w:themeColor="text1"/>
        </w:rPr>
      </w:pPr>
    </w:p>
    <w:p w:rsidRPr="00A23BF0" w:rsidR="00800474" w:rsidP="00800474" w:rsidRDefault="00800474" w14:paraId="0B8F2510" w14:textId="3693C2FA">
      <w:pPr>
        <w:rPr>
          <w:color w:val="000000" w:themeColor="text1"/>
        </w:rPr>
      </w:pPr>
      <w:r w:rsidRPr="00A23BF0">
        <w:rPr>
          <w:color w:val="000000" w:themeColor="text1"/>
        </w:rPr>
        <w:tab/>
      </w:r>
      <w:r w:rsidRPr="00A23BF0" w:rsidR="00CB1CA9">
        <w:rPr>
          <w:color w:val="000000" w:themeColor="text1"/>
        </w:rPr>
        <w:t>Aan a</w:t>
      </w:r>
      <w:r w:rsidRPr="00A23BF0">
        <w:rPr>
          <w:color w:val="000000" w:themeColor="text1"/>
        </w:rPr>
        <w:t>rt</w:t>
      </w:r>
      <w:r w:rsidRPr="00A23BF0" w:rsidR="00CB1CA9">
        <w:rPr>
          <w:color w:val="000000" w:themeColor="text1"/>
        </w:rPr>
        <w:t>ikel</w:t>
      </w:r>
      <w:r w:rsidRPr="00A23BF0">
        <w:rPr>
          <w:color w:val="000000" w:themeColor="text1"/>
        </w:rPr>
        <w:t xml:space="preserve"> 2.10.64 </w:t>
      </w:r>
      <w:r w:rsidRPr="00A23BF0" w:rsidR="00CB1CA9">
        <w:rPr>
          <w:color w:val="000000" w:themeColor="text1"/>
        </w:rPr>
        <w:t>wordt een lid toegevoegd, luidende:</w:t>
      </w:r>
    </w:p>
    <w:p w:rsidRPr="00A23BF0" w:rsidR="00CB1CA9" w:rsidP="00800474" w:rsidRDefault="00CB1CA9" w14:paraId="237BFC34" w14:textId="5F02CD93">
      <w:pPr>
        <w:rPr>
          <w:color w:val="000000" w:themeColor="text1"/>
        </w:rPr>
      </w:pPr>
      <w:r w:rsidRPr="00A23BF0">
        <w:rPr>
          <w:color w:val="000000" w:themeColor="text1"/>
        </w:rPr>
        <w:tab/>
        <w:t xml:space="preserve">3. Indien de officier van justitie in gebreke blijft </w:t>
      </w:r>
      <w:r w:rsidRPr="00A23BF0" w:rsidR="00F776A9">
        <w:rPr>
          <w:color w:val="000000" w:themeColor="text1"/>
        </w:rPr>
        <w:t xml:space="preserve">overeenkomstig het eerste lid </w:t>
      </w:r>
      <w:r w:rsidRPr="00A23BF0">
        <w:rPr>
          <w:color w:val="000000" w:themeColor="text1"/>
        </w:rPr>
        <w:t>de verdachte</w:t>
      </w:r>
      <w:r w:rsidRPr="00A23BF0" w:rsidR="00F776A9">
        <w:rPr>
          <w:color w:val="000000" w:themeColor="text1"/>
        </w:rPr>
        <w:t xml:space="preserve"> en de rechter-commissaris</w:t>
      </w:r>
      <w:r w:rsidRPr="00A23BF0">
        <w:rPr>
          <w:color w:val="000000" w:themeColor="text1"/>
        </w:rPr>
        <w:t xml:space="preserve"> in kennis te stellen, kan de rechter-commissaris beslissen </w:t>
      </w:r>
      <w:r w:rsidRPr="00A23BF0" w:rsidR="00F776A9">
        <w:rPr>
          <w:color w:val="000000" w:themeColor="text1"/>
        </w:rPr>
        <w:t>dat de officier van justitie nog geen procesinleiding kan indienen</w:t>
      </w:r>
      <w:r w:rsidRPr="00A23BF0" w:rsidR="003A44CF">
        <w:rPr>
          <w:color w:val="000000" w:themeColor="text1"/>
        </w:rPr>
        <w:t>, voor zover dat niet tot onaanvaardbare consequenties zal leiden.</w:t>
      </w:r>
    </w:p>
    <w:p w:rsidRPr="00A23BF0" w:rsidR="00800474" w:rsidP="00800474" w:rsidRDefault="00800474" w14:paraId="3ECF76BD" w14:textId="77777777">
      <w:pPr>
        <w:rPr>
          <w:color w:val="000000" w:themeColor="text1"/>
        </w:rPr>
      </w:pPr>
    </w:p>
    <w:p w:rsidRPr="00A23BF0" w:rsidR="00800474" w:rsidP="00800474" w:rsidRDefault="00800474" w14:paraId="17AAA430" w14:textId="13541F28">
      <w:pPr>
        <w:rPr>
          <w:color w:val="000000" w:themeColor="text1"/>
        </w:rPr>
      </w:pPr>
      <w:r w:rsidRPr="00A23BF0">
        <w:rPr>
          <w:color w:val="000000" w:themeColor="text1"/>
        </w:rPr>
        <w:t>III</w:t>
      </w:r>
    </w:p>
    <w:p w:rsidRPr="00A23BF0" w:rsidR="00800474" w:rsidP="00800474" w:rsidRDefault="00800474" w14:paraId="1F9DA620" w14:textId="77777777">
      <w:pPr>
        <w:rPr>
          <w:color w:val="000000" w:themeColor="text1"/>
        </w:rPr>
      </w:pPr>
    </w:p>
    <w:p w:rsidRPr="00A23BF0" w:rsidR="00800474" w:rsidP="00800474" w:rsidRDefault="00800474" w14:paraId="1CE84A19" w14:textId="100EC553">
      <w:pPr>
        <w:rPr>
          <w:color w:val="000000" w:themeColor="text1"/>
        </w:rPr>
      </w:pPr>
      <w:r w:rsidRPr="00A23BF0">
        <w:rPr>
          <w:color w:val="000000" w:themeColor="text1"/>
        </w:rPr>
        <w:tab/>
        <w:t>A</w:t>
      </w:r>
      <w:r w:rsidRPr="00A23BF0" w:rsidR="00F776A9">
        <w:rPr>
          <w:color w:val="000000" w:themeColor="text1"/>
        </w:rPr>
        <w:t>an ar</w:t>
      </w:r>
      <w:r w:rsidRPr="00A23BF0">
        <w:rPr>
          <w:color w:val="000000" w:themeColor="text1"/>
        </w:rPr>
        <w:t>t</w:t>
      </w:r>
      <w:r w:rsidRPr="00A23BF0" w:rsidR="00F776A9">
        <w:rPr>
          <w:color w:val="000000" w:themeColor="text1"/>
        </w:rPr>
        <w:t>ikel</w:t>
      </w:r>
      <w:r w:rsidRPr="00A23BF0">
        <w:rPr>
          <w:color w:val="000000" w:themeColor="text1"/>
        </w:rPr>
        <w:t xml:space="preserve"> 4.1.1 </w:t>
      </w:r>
      <w:r w:rsidRPr="00A23BF0" w:rsidR="00F776A9">
        <w:rPr>
          <w:color w:val="000000" w:themeColor="text1"/>
        </w:rPr>
        <w:t>wordt een lid toegevoegd, luidende:</w:t>
      </w:r>
    </w:p>
    <w:p w:rsidRPr="00A23BF0" w:rsidR="00EA1CE4" w:rsidP="00EA1CE4" w:rsidRDefault="00F776A9" w14:paraId="334DF543" w14:textId="434ACB3E">
      <w:pPr>
        <w:rPr>
          <w:color w:val="000000" w:themeColor="text1"/>
        </w:rPr>
      </w:pPr>
      <w:r w:rsidRPr="00A23BF0">
        <w:rPr>
          <w:color w:val="000000" w:themeColor="text1"/>
        </w:rPr>
        <w:tab/>
        <w:t xml:space="preserve">7. Indien de officier van justitie in gebreke blijft overeenkomstig het vijfde lid de processtukken aan de verdachte ter beschikking te stellen, </w:t>
      </w:r>
      <w:r w:rsidRPr="00A23BF0" w:rsidR="003A44CF">
        <w:rPr>
          <w:color w:val="000000" w:themeColor="text1"/>
        </w:rPr>
        <w:t xml:space="preserve">kan de voorzitter van de rechtbank beslissen dat de berechting nog niet aanvangt, voor zover dat niet tot onaanvaardbare consequenties zal leiden. </w:t>
      </w:r>
    </w:p>
    <w:p w:rsidRPr="00A23BF0" w:rsidR="00273C38" w:rsidP="00EA1CE4" w:rsidRDefault="00273C38" w14:paraId="408D2C1C" w14:textId="77777777">
      <w:pPr>
        <w:rPr>
          <w:color w:val="000000" w:themeColor="text1"/>
        </w:rPr>
      </w:pPr>
    </w:p>
    <w:p w:rsidRPr="00A23BF0" w:rsidR="003C21AC" w:rsidP="00BF623B" w:rsidRDefault="003C21AC" w14:paraId="764DAA2B" w14:textId="30480679">
      <w:pPr>
        <w:rPr>
          <w:b/>
          <w:color w:val="000000" w:themeColor="text1"/>
        </w:rPr>
      </w:pPr>
      <w:r w:rsidRPr="00A23BF0">
        <w:rPr>
          <w:b/>
          <w:color w:val="000000" w:themeColor="text1"/>
        </w:rPr>
        <w:t>Toelichting</w:t>
      </w:r>
    </w:p>
    <w:p w:rsidRPr="00A23BF0" w:rsidR="00B36E61" w:rsidP="00B36E61" w:rsidRDefault="00B36E61" w14:paraId="704A6531" w14:textId="5C836BFD">
      <w:pPr>
        <w:pStyle w:val="Normaalweb"/>
        <w:rPr>
          <w:color w:val="000000" w:themeColor="text1"/>
        </w:rPr>
      </w:pPr>
      <w:r w:rsidRPr="00A23BF0">
        <w:rPr>
          <w:color w:val="000000" w:themeColor="text1"/>
        </w:rPr>
        <w:t xml:space="preserve">De beweging naar voren brengt met zich mee dat verdachten al in een veel eerder stadium actief moeten zijn met hun verdediging. Dit vereist dat verdachten in een vroeg stadium toegang krijgen tot het strafdossier. Zonder tijdige kennisneming van het dossier is het voor de verdachte onmogelijk om zich adequaat te verdedigen, omdat hij dan geen inzicht heeft in de verdenkingen, de onderbouwing daarvan en het tegen hem beschikbare bewijs. De gemoderniseerde regeling van de kennisneming van processtukken impliceert dat de wetgever waarde hecht aan het zo vroeg mogelijk delen van informatie. Echter, wanneer het Openbaar Ministerie (OM) nalaat stukken tijdig te verstrekken of rechterlijke termijnstellingen negeert, ontbreekt een </w:t>
      </w:r>
      <w:r w:rsidRPr="00A23BF0" w:rsidR="002479E9">
        <w:rPr>
          <w:color w:val="000000" w:themeColor="text1"/>
        </w:rPr>
        <w:t xml:space="preserve">consequentie. De Nederlandse Orde van Advocaten heeft aangegeven </w:t>
      </w:r>
      <w:r w:rsidRPr="00A23BF0" w:rsidR="001D4FE7">
        <w:rPr>
          <w:color w:val="000000" w:themeColor="text1"/>
        </w:rPr>
        <w:t>dat de verdediging in de praktijk regelmatig met termijnoverschrijdingen te maken krijgt</w:t>
      </w:r>
      <w:r w:rsidRPr="00A23BF0" w:rsidR="000F5D99">
        <w:rPr>
          <w:color w:val="000000" w:themeColor="text1"/>
        </w:rPr>
        <w:t>.</w:t>
      </w:r>
      <w:r w:rsidRPr="00A23BF0" w:rsidR="001D4FE7">
        <w:rPr>
          <w:rStyle w:val="Voetnootmarkering"/>
          <w:color w:val="000000" w:themeColor="text1"/>
        </w:rPr>
        <w:footnoteReference w:id="1"/>
      </w:r>
      <w:r w:rsidRPr="00A23BF0" w:rsidR="000F5D99">
        <w:rPr>
          <w:color w:val="000000" w:themeColor="text1"/>
        </w:rPr>
        <w:t xml:space="preserve"> </w:t>
      </w:r>
      <w:r w:rsidRPr="00A23BF0" w:rsidR="00652A2C">
        <w:rPr>
          <w:color w:val="000000" w:themeColor="text1"/>
        </w:rPr>
        <w:t xml:space="preserve">Derhalve acht de indiener het, met het oog op het recht op een eerlijk proces zoals neergelegd in </w:t>
      </w:r>
      <w:r w:rsidRPr="00A23BF0" w:rsidR="001E6784">
        <w:rPr>
          <w:color w:val="000000" w:themeColor="text1"/>
        </w:rPr>
        <w:t xml:space="preserve">artikel 17 Grondwet en </w:t>
      </w:r>
      <w:r w:rsidRPr="00A23BF0" w:rsidR="00652A2C">
        <w:rPr>
          <w:color w:val="000000" w:themeColor="text1"/>
        </w:rPr>
        <w:t xml:space="preserve">artikel 6 EVRM,  </w:t>
      </w:r>
      <w:r w:rsidRPr="00A23BF0" w:rsidR="00996668">
        <w:rPr>
          <w:color w:val="000000" w:themeColor="text1"/>
        </w:rPr>
        <w:lastRenderedPageBreak/>
        <w:t>wenselijk</w:t>
      </w:r>
      <w:r w:rsidRPr="00A23BF0" w:rsidR="00652A2C">
        <w:rPr>
          <w:color w:val="000000" w:themeColor="text1"/>
        </w:rPr>
        <w:t xml:space="preserve"> om consequenties te verbinden aan termijnoverschrijdingen</w:t>
      </w:r>
      <w:r w:rsidRPr="00A23BF0" w:rsidR="00D74C6D">
        <w:rPr>
          <w:color w:val="000000" w:themeColor="text1"/>
        </w:rPr>
        <w:t xml:space="preserve">. Het amendement sluit aan bij de regeling zoals die op dit moment is neergelegd in het </w:t>
      </w:r>
      <w:r w:rsidRPr="00A23BF0">
        <w:rPr>
          <w:color w:val="000000" w:themeColor="text1"/>
        </w:rPr>
        <w:t>Landelijk Strafprocesreglement</w:t>
      </w:r>
      <w:r w:rsidRPr="00A23BF0" w:rsidR="00D74C6D">
        <w:rPr>
          <w:color w:val="000000" w:themeColor="text1"/>
        </w:rPr>
        <w:t>.</w:t>
      </w:r>
      <w:r w:rsidRPr="00A23BF0" w:rsidR="00D5111F">
        <w:rPr>
          <w:rStyle w:val="Voetnootmarkering"/>
          <w:color w:val="000000" w:themeColor="text1"/>
        </w:rPr>
        <w:footnoteReference w:id="2"/>
      </w:r>
    </w:p>
    <w:p w:rsidRPr="00A23BF0" w:rsidR="00B4708A" w:rsidP="00EA1CE4" w:rsidRDefault="00750B88" w14:paraId="2EA89CFE" w14:textId="6DE87C9D">
      <w:pPr>
        <w:rPr>
          <w:color w:val="000000" w:themeColor="text1"/>
        </w:rPr>
      </w:pPr>
      <w:r w:rsidRPr="00A23BF0">
        <w:rPr>
          <w:color w:val="000000" w:themeColor="text1"/>
        </w:rPr>
        <w:t>Sneller</w:t>
      </w:r>
    </w:p>
    <w:sectPr w:rsidRPr="00A23BF0" w:rsidR="00B4708A"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81744B" w14:textId="77777777" w:rsidR="00411300" w:rsidRDefault="00411300">
      <w:pPr>
        <w:spacing w:line="20" w:lineRule="exact"/>
      </w:pPr>
    </w:p>
  </w:endnote>
  <w:endnote w:type="continuationSeparator" w:id="0">
    <w:p w14:paraId="28BCE3A1" w14:textId="77777777" w:rsidR="00411300" w:rsidRDefault="00411300">
      <w:pPr>
        <w:pStyle w:val="Amendement"/>
      </w:pPr>
      <w:r>
        <w:rPr>
          <w:b w:val="0"/>
        </w:rPr>
        <w:t xml:space="preserve"> </w:t>
      </w:r>
    </w:p>
  </w:endnote>
  <w:endnote w:type="continuationNotice" w:id="1">
    <w:p w14:paraId="3F7B7B3E" w14:textId="77777777" w:rsidR="00411300" w:rsidRDefault="00411300">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D7BC09" w14:textId="77777777" w:rsidR="00411300" w:rsidRDefault="00411300">
      <w:pPr>
        <w:pStyle w:val="Amendement"/>
      </w:pPr>
      <w:r>
        <w:rPr>
          <w:b w:val="0"/>
        </w:rPr>
        <w:separator/>
      </w:r>
    </w:p>
  </w:footnote>
  <w:footnote w:type="continuationSeparator" w:id="0">
    <w:p w14:paraId="38EED2DF" w14:textId="77777777" w:rsidR="00411300" w:rsidRDefault="00411300">
      <w:r>
        <w:continuationSeparator/>
      </w:r>
    </w:p>
  </w:footnote>
  <w:footnote w:id="1">
    <w:p w14:paraId="3EE41733" w14:textId="07373267" w:rsidR="001D4FE7" w:rsidRDefault="001D4FE7">
      <w:pPr>
        <w:pStyle w:val="Voetnoottekst"/>
      </w:pPr>
      <w:r>
        <w:rPr>
          <w:rStyle w:val="Voetnootmarkering"/>
        </w:rPr>
        <w:footnoteRef/>
      </w:r>
      <w:r>
        <w:t xml:space="preserve"> </w:t>
      </w:r>
      <w:proofErr w:type="spellStart"/>
      <w:r w:rsidR="001B767C">
        <w:t>Position</w:t>
      </w:r>
      <w:proofErr w:type="spellEnd"/>
      <w:r w:rsidR="001B767C">
        <w:t xml:space="preserve"> paper Nederlandse Orde van Advocaten ten behoeve van </w:t>
      </w:r>
      <w:proofErr w:type="spellStart"/>
      <w:r w:rsidR="001B767C">
        <w:t>kennisontbijtsessie</w:t>
      </w:r>
      <w:proofErr w:type="spellEnd"/>
      <w:r w:rsidR="001B767C">
        <w:t xml:space="preserve"> 28 november 2024</w:t>
      </w:r>
    </w:p>
  </w:footnote>
  <w:footnote w:id="2">
    <w:p w14:paraId="1008A1DF" w14:textId="26792043" w:rsidR="00D5111F" w:rsidRPr="00184DBF" w:rsidRDefault="00D5111F">
      <w:pPr>
        <w:pStyle w:val="Voetnoottekst"/>
        <w:rPr>
          <w:sz w:val="20"/>
        </w:rPr>
      </w:pPr>
      <w:r w:rsidRPr="00184DBF">
        <w:rPr>
          <w:rStyle w:val="Voetnootmarkering"/>
          <w:sz w:val="20"/>
        </w:rPr>
        <w:footnoteRef/>
      </w:r>
      <w:r w:rsidRPr="00184DBF">
        <w:rPr>
          <w:sz w:val="20"/>
        </w:rPr>
        <w:t xml:space="preserve"> </w:t>
      </w:r>
      <w:r w:rsidR="00D74C6D" w:rsidRPr="00184DBF">
        <w:rPr>
          <w:sz w:val="20"/>
        </w:rPr>
        <w:t>https://www.rechtspraak.nl/Voor-advocaten-en-juristen/Reglementen-procedures-en-formulieren/Strafrecht/Paginas/Strafprocesreglement.aspx</w:t>
      </w:r>
      <w:r w:rsidR="00D74C6D" w:rsidRPr="00184DBF">
        <w:rPr>
          <w:sz w:val="20"/>
        </w:rPr>
        <w:br/>
      </w:r>
      <w:r w:rsidR="00D74C6D" w:rsidRPr="00184DBF">
        <w:rPr>
          <w:rStyle w:val="Nadruk"/>
          <w:sz w:val="20"/>
        </w:rPr>
        <w:t>"Wanneer met betrekking tot voorgeleidingen en toetsingen niet overeenkomstig de bepalingen is gehandeld, kan de rechter-commissaris beslissen dat de voorgeleiding of toetsing die dag niet meer in behandeling wordt genomen, voor zover dat niet tot onaanvaardbare consequenties leidt."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ACA"/>
    <w:rsid w:val="00006A49"/>
    <w:rsid w:val="00052300"/>
    <w:rsid w:val="00067811"/>
    <w:rsid w:val="0007471A"/>
    <w:rsid w:val="000D17BF"/>
    <w:rsid w:val="000F5D99"/>
    <w:rsid w:val="000F7E84"/>
    <w:rsid w:val="00157CAF"/>
    <w:rsid w:val="001656EE"/>
    <w:rsid w:val="0016653D"/>
    <w:rsid w:val="00184DBF"/>
    <w:rsid w:val="00194D21"/>
    <w:rsid w:val="001A098A"/>
    <w:rsid w:val="001B767C"/>
    <w:rsid w:val="001D258C"/>
    <w:rsid w:val="001D4FE7"/>
    <w:rsid w:val="001D56AF"/>
    <w:rsid w:val="001D747C"/>
    <w:rsid w:val="001E0E21"/>
    <w:rsid w:val="001E6784"/>
    <w:rsid w:val="00212E0A"/>
    <w:rsid w:val="002153B0"/>
    <w:rsid w:val="0021777F"/>
    <w:rsid w:val="00241DD0"/>
    <w:rsid w:val="002479E9"/>
    <w:rsid w:val="00273C38"/>
    <w:rsid w:val="002A0713"/>
    <w:rsid w:val="003A44CF"/>
    <w:rsid w:val="003A6E93"/>
    <w:rsid w:val="003B08CB"/>
    <w:rsid w:val="003C21AC"/>
    <w:rsid w:val="003C5218"/>
    <w:rsid w:val="003C7876"/>
    <w:rsid w:val="003E2308"/>
    <w:rsid w:val="003E2F98"/>
    <w:rsid w:val="003F08F1"/>
    <w:rsid w:val="00411300"/>
    <w:rsid w:val="0042574B"/>
    <w:rsid w:val="004330ED"/>
    <w:rsid w:val="004576E5"/>
    <w:rsid w:val="00481C91"/>
    <w:rsid w:val="004911E3"/>
    <w:rsid w:val="00497D57"/>
    <w:rsid w:val="004A1E29"/>
    <w:rsid w:val="004A7DD4"/>
    <w:rsid w:val="004B50D8"/>
    <w:rsid w:val="004B5B90"/>
    <w:rsid w:val="00501109"/>
    <w:rsid w:val="00537ACA"/>
    <w:rsid w:val="005703C9"/>
    <w:rsid w:val="00597703"/>
    <w:rsid w:val="005A20AF"/>
    <w:rsid w:val="005A6097"/>
    <w:rsid w:val="005B1DCC"/>
    <w:rsid w:val="005B7323"/>
    <w:rsid w:val="005C25B9"/>
    <w:rsid w:val="005C7F34"/>
    <w:rsid w:val="00623DAC"/>
    <w:rsid w:val="006267E6"/>
    <w:rsid w:val="00652A2C"/>
    <w:rsid w:val="006558D2"/>
    <w:rsid w:val="00672D25"/>
    <w:rsid w:val="006738BC"/>
    <w:rsid w:val="00692991"/>
    <w:rsid w:val="006D3E69"/>
    <w:rsid w:val="006E0971"/>
    <w:rsid w:val="00750B88"/>
    <w:rsid w:val="007709F6"/>
    <w:rsid w:val="00783215"/>
    <w:rsid w:val="007965FC"/>
    <w:rsid w:val="007D2608"/>
    <w:rsid w:val="00800474"/>
    <w:rsid w:val="008164E5"/>
    <w:rsid w:val="00830081"/>
    <w:rsid w:val="008426C5"/>
    <w:rsid w:val="008467D7"/>
    <w:rsid w:val="00847167"/>
    <w:rsid w:val="00852541"/>
    <w:rsid w:val="00865D47"/>
    <w:rsid w:val="0088452C"/>
    <w:rsid w:val="00894298"/>
    <w:rsid w:val="008D7DCB"/>
    <w:rsid w:val="008E72D4"/>
    <w:rsid w:val="009055DB"/>
    <w:rsid w:val="00905ECB"/>
    <w:rsid w:val="0096165D"/>
    <w:rsid w:val="00993E91"/>
    <w:rsid w:val="00996668"/>
    <w:rsid w:val="009A409F"/>
    <w:rsid w:val="009B5845"/>
    <w:rsid w:val="009C0C1F"/>
    <w:rsid w:val="00A06EC3"/>
    <w:rsid w:val="00A10505"/>
    <w:rsid w:val="00A1288B"/>
    <w:rsid w:val="00A23BF0"/>
    <w:rsid w:val="00A53203"/>
    <w:rsid w:val="00A772EB"/>
    <w:rsid w:val="00A84A80"/>
    <w:rsid w:val="00A8653B"/>
    <w:rsid w:val="00A9217D"/>
    <w:rsid w:val="00AF25AE"/>
    <w:rsid w:val="00B01BA6"/>
    <w:rsid w:val="00B36E61"/>
    <w:rsid w:val="00B418F1"/>
    <w:rsid w:val="00B4708A"/>
    <w:rsid w:val="00B54441"/>
    <w:rsid w:val="00B935A0"/>
    <w:rsid w:val="00BF623B"/>
    <w:rsid w:val="00C035D4"/>
    <w:rsid w:val="00C32C75"/>
    <w:rsid w:val="00C679BF"/>
    <w:rsid w:val="00C81BBD"/>
    <w:rsid w:val="00CB1CA9"/>
    <w:rsid w:val="00CD3132"/>
    <w:rsid w:val="00CE0207"/>
    <w:rsid w:val="00CE27CD"/>
    <w:rsid w:val="00CF2689"/>
    <w:rsid w:val="00D134F3"/>
    <w:rsid w:val="00D47D01"/>
    <w:rsid w:val="00D5111F"/>
    <w:rsid w:val="00D61143"/>
    <w:rsid w:val="00D74C6D"/>
    <w:rsid w:val="00D774B3"/>
    <w:rsid w:val="00DD35A5"/>
    <w:rsid w:val="00DE2948"/>
    <w:rsid w:val="00DF68BE"/>
    <w:rsid w:val="00DF712A"/>
    <w:rsid w:val="00E25DF4"/>
    <w:rsid w:val="00E3485D"/>
    <w:rsid w:val="00E6619B"/>
    <w:rsid w:val="00E908D7"/>
    <w:rsid w:val="00EA01DA"/>
    <w:rsid w:val="00EA1CE4"/>
    <w:rsid w:val="00EA69AC"/>
    <w:rsid w:val="00EB40A1"/>
    <w:rsid w:val="00EC3112"/>
    <w:rsid w:val="00ED5E57"/>
    <w:rsid w:val="00EE1BD8"/>
    <w:rsid w:val="00F776A9"/>
    <w:rsid w:val="00F8019C"/>
    <w:rsid w:val="00F92240"/>
    <w:rsid w:val="00FA5B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CF7298"/>
  <w15:docId w15:val="{DA604B12-9B3E-44CC-8522-49976D39F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character" w:styleId="Verwijzingopmerking">
    <w:name w:val="annotation reference"/>
    <w:basedOn w:val="Standaardalinea-lettertype"/>
    <w:semiHidden/>
    <w:unhideWhenUsed/>
    <w:rsid w:val="00A8653B"/>
    <w:rPr>
      <w:sz w:val="16"/>
      <w:szCs w:val="16"/>
    </w:rPr>
  </w:style>
  <w:style w:type="paragraph" w:styleId="Tekstopmerking">
    <w:name w:val="annotation text"/>
    <w:basedOn w:val="Standaard"/>
    <w:link w:val="TekstopmerkingChar"/>
    <w:unhideWhenUsed/>
    <w:rsid w:val="00A8653B"/>
    <w:rPr>
      <w:sz w:val="20"/>
    </w:rPr>
  </w:style>
  <w:style w:type="character" w:customStyle="1" w:styleId="TekstopmerkingChar">
    <w:name w:val="Tekst opmerking Char"/>
    <w:basedOn w:val="Standaardalinea-lettertype"/>
    <w:link w:val="Tekstopmerking"/>
    <w:rsid w:val="00A8653B"/>
  </w:style>
  <w:style w:type="paragraph" w:styleId="Onderwerpvanopmerking">
    <w:name w:val="annotation subject"/>
    <w:basedOn w:val="Tekstopmerking"/>
    <w:next w:val="Tekstopmerking"/>
    <w:link w:val="OnderwerpvanopmerkingChar"/>
    <w:semiHidden/>
    <w:unhideWhenUsed/>
    <w:rsid w:val="00A8653B"/>
    <w:rPr>
      <w:b/>
      <w:bCs/>
    </w:rPr>
  </w:style>
  <w:style w:type="character" w:customStyle="1" w:styleId="OnderwerpvanopmerkingChar">
    <w:name w:val="Onderwerp van opmerking Char"/>
    <w:basedOn w:val="TekstopmerkingChar"/>
    <w:link w:val="Onderwerpvanopmerking"/>
    <w:semiHidden/>
    <w:rsid w:val="00A8653B"/>
    <w:rPr>
      <w:b/>
      <w:bCs/>
    </w:rPr>
  </w:style>
  <w:style w:type="character" w:styleId="Hyperlink">
    <w:name w:val="Hyperlink"/>
    <w:basedOn w:val="Standaardalinea-lettertype"/>
    <w:unhideWhenUsed/>
    <w:rsid w:val="00067811"/>
    <w:rPr>
      <w:color w:val="0000FF" w:themeColor="hyperlink"/>
      <w:u w:val="single"/>
    </w:rPr>
  </w:style>
  <w:style w:type="character" w:styleId="Onopgelostemelding">
    <w:name w:val="Unresolved Mention"/>
    <w:basedOn w:val="Standaardalinea-lettertype"/>
    <w:uiPriority w:val="99"/>
    <w:semiHidden/>
    <w:unhideWhenUsed/>
    <w:rsid w:val="00067811"/>
    <w:rPr>
      <w:color w:val="605E5C"/>
      <w:shd w:val="clear" w:color="auto" w:fill="E1DFDD"/>
    </w:rPr>
  </w:style>
  <w:style w:type="paragraph" w:styleId="Normaalweb">
    <w:name w:val="Normal (Web)"/>
    <w:basedOn w:val="Standaard"/>
    <w:uiPriority w:val="99"/>
    <w:semiHidden/>
    <w:unhideWhenUsed/>
    <w:rsid w:val="00B36E61"/>
    <w:pPr>
      <w:widowControl/>
      <w:spacing w:before="100" w:beforeAutospacing="1" w:after="100" w:afterAutospacing="1"/>
    </w:pPr>
    <w:rPr>
      <w:szCs w:val="24"/>
    </w:rPr>
  </w:style>
  <w:style w:type="character" w:styleId="Nadruk">
    <w:name w:val="Emphasis"/>
    <w:basedOn w:val="Standaardalinea-lettertype"/>
    <w:uiPriority w:val="20"/>
    <w:qFormat/>
    <w:rsid w:val="00B36E61"/>
    <w:rPr>
      <w:i/>
      <w:iCs/>
    </w:rPr>
  </w:style>
  <w:style w:type="character" w:styleId="Zwaar">
    <w:name w:val="Strong"/>
    <w:basedOn w:val="Standaardalinea-lettertype"/>
    <w:uiPriority w:val="22"/>
    <w:qFormat/>
    <w:rsid w:val="00B36E61"/>
    <w:rPr>
      <w:b/>
      <w:bCs/>
    </w:rPr>
  </w:style>
  <w:style w:type="character" w:styleId="Voetnootmarkering">
    <w:name w:val="footnote reference"/>
    <w:basedOn w:val="Standaardalinea-lettertype"/>
    <w:semiHidden/>
    <w:unhideWhenUsed/>
    <w:rsid w:val="001D4FE7"/>
    <w:rPr>
      <w:vertAlign w:val="superscript"/>
    </w:rPr>
  </w:style>
  <w:style w:type="paragraph" w:styleId="Revisie">
    <w:name w:val="Revision"/>
    <w:hidden/>
    <w:uiPriority w:val="99"/>
    <w:semiHidden/>
    <w:rsid w:val="00273C38"/>
    <w:rPr>
      <w:sz w:val="24"/>
    </w:rPr>
  </w:style>
  <w:style w:type="character" w:styleId="GevolgdeHyperlink">
    <w:name w:val="FollowedHyperlink"/>
    <w:basedOn w:val="Standaardalinea-lettertype"/>
    <w:semiHidden/>
    <w:unhideWhenUsed/>
    <w:rsid w:val="00273C3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7454894">
      <w:bodyDiv w:val="1"/>
      <w:marLeft w:val="0"/>
      <w:marRight w:val="0"/>
      <w:marTop w:val="0"/>
      <w:marBottom w:val="0"/>
      <w:divBdr>
        <w:top w:val="none" w:sz="0" w:space="0" w:color="auto"/>
        <w:left w:val="none" w:sz="0" w:space="0" w:color="auto"/>
        <w:bottom w:val="none" w:sz="0" w:space="0" w:color="auto"/>
        <w:right w:val="none" w:sz="0" w:space="0" w:color="auto"/>
      </w:divBdr>
    </w:div>
    <w:div w:id="1253397163">
      <w:bodyDiv w:val="1"/>
      <w:marLeft w:val="0"/>
      <w:marRight w:val="0"/>
      <w:marTop w:val="0"/>
      <w:marBottom w:val="0"/>
      <w:divBdr>
        <w:top w:val="none" w:sz="0" w:space="0" w:color="auto"/>
        <w:left w:val="none" w:sz="0" w:space="0" w:color="auto"/>
        <w:bottom w:val="none" w:sz="0" w:space="0" w:color="auto"/>
        <w:right w:val="none" w:sz="0" w:space="0" w:color="auto"/>
      </w:divBdr>
    </w:div>
    <w:div w:id="2098164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2</ap:Pages>
  <ap:Words>384</ap:Words>
  <ap:Characters>2273</ap:Characters>
  <ap:DocSecurity>0</ap:DocSecurity>
  <ap:Lines>18</ap:Lines>
  <ap:Paragraphs>5</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2652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2024-12-19T14:45:00.0000000Z</dcterms:created>
  <dcterms:modified xsi:type="dcterms:W3CDTF">2024-12-19T14:45:00.0000000Z</dcterms:modified>
  <dc:description>------------------------</dc:description>
  <dc:subject/>
  <keywords/>
  <version/>
  <category/>
</coreProperties>
</file>