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4B7" w:rsidP="001304B7" w:rsidRDefault="001304B7" w14:paraId="0EE5067C" w14:textId="582BFBB6">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Pr>
          <w:rFonts w:ascii="Verdana" w:hAnsi="Verdana" w:eastAsia="DejaVuSerifCondensed" w:cs="DejaVuSerifCondensed"/>
          <w:color w:val="000000" w:themeColor="text1"/>
          <w:kern w:val="0"/>
          <w:sz w:val="18"/>
          <w:szCs w:val="18"/>
        </w:rPr>
        <w:t>AH 892</w:t>
      </w:r>
    </w:p>
    <w:p w:rsidR="001304B7" w:rsidP="001304B7" w:rsidRDefault="001304B7" w14:paraId="08891463"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001304B7" w:rsidP="001304B7" w:rsidRDefault="001304B7" w14:paraId="68F5F37B" w14:textId="689B1D9E">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Pr>
          <w:rFonts w:ascii="Verdana" w:hAnsi="Verdana" w:eastAsia="DejaVuSerifCondensed" w:cs="DejaVuSerifCondensed"/>
          <w:color w:val="000000" w:themeColor="text1"/>
          <w:kern w:val="0"/>
          <w:sz w:val="18"/>
          <w:szCs w:val="18"/>
        </w:rPr>
        <w:t>2024Z19290</w:t>
      </w:r>
    </w:p>
    <w:p w:rsidR="001304B7" w:rsidP="001304B7" w:rsidRDefault="001304B7" w14:paraId="5E96F130"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001304B7" w:rsidP="001304B7" w:rsidRDefault="001304B7" w14:paraId="2F74C4DB" w14:textId="7707E334">
      <w:pPr>
        <w:autoSpaceDE w:val="0"/>
        <w:autoSpaceDN w:val="0"/>
        <w:adjustRightInd w:val="0"/>
        <w:spacing w:after="0" w:line="240" w:lineRule="auto"/>
        <w:rPr>
          <w:rFonts w:ascii="Verdana" w:hAnsi="Verdana" w:eastAsia="DejaVuSerifCondensed" w:cs="DejaVuSerifCondensed"/>
          <w:color w:val="000000" w:themeColor="text1"/>
          <w:kern w:val="0"/>
          <w:sz w:val="24"/>
          <w:szCs w:val="24"/>
        </w:rPr>
      </w:pPr>
      <w:r w:rsidRPr="001304B7">
        <w:rPr>
          <w:rFonts w:ascii="Verdana" w:hAnsi="Verdana" w:eastAsia="DejaVuSerifCondensed" w:cs="DejaVuSerifCondensed"/>
          <w:color w:val="000000" w:themeColor="text1"/>
          <w:kern w:val="0"/>
          <w:sz w:val="24"/>
          <w:szCs w:val="24"/>
        </w:rPr>
        <w:t>Antwoord van minister Van Hijum (Sociale Zaken en Werkgelegenheid) (ontvangen</w:t>
      </w:r>
      <w:r>
        <w:rPr>
          <w:rFonts w:ascii="Verdana" w:hAnsi="Verdana" w:eastAsia="DejaVuSerifCondensed" w:cs="DejaVuSerifCondensed"/>
          <w:color w:val="000000" w:themeColor="text1"/>
          <w:kern w:val="0"/>
          <w:sz w:val="24"/>
          <w:szCs w:val="24"/>
        </w:rPr>
        <w:t xml:space="preserve"> 19 december 2024)</w:t>
      </w:r>
    </w:p>
    <w:p w:rsidR="001304B7" w:rsidP="001304B7" w:rsidRDefault="001304B7" w14:paraId="6DDC3430" w14:textId="77777777">
      <w:pPr>
        <w:autoSpaceDE w:val="0"/>
        <w:autoSpaceDN w:val="0"/>
        <w:adjustRightInd w:val="0"/>
        <w:spacing w:after="0" w:line="240" w:lineRule="auto"/>
        <w:rPr>
          <w:rFonts w:ascii="Verdana" w:hAnsi="Verdana" w:eastAsia="DejaVuSerifCondensed" w:cs="DejaVuSerifCondensed"/>
          <w:color w:val="000000" w:themeColor="text1"/>
          <w:kern w:val="0"/>
          <w:sz w:val="24"/>
          <w:szCs w:val="24"/>
        </w:rPr>
      </w:pPr>
    </w:p>
    <w:p w:rsidRPr="00F86127" w:rsidR="001304B7" w:rsidP="001304B7" w:rsidRDefault="001304B7" w14:paraId="2B01760E"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03367E0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 xml:space="preserve">1. Bent u bekend met het artikel 'Koploper PWRI krijgt van DNB duidelijkheid en haalt 1 januari' van 21 november 2024 uit </w:t>
      </w:r>
      <w:proofErr w:type="spellStart"/>
      <w:r w:rsidRPr="00F86127">
        <w:rPr>
          <w:rFonts w:ascii="Verdana" w:hAnsi="Verdana" w:eastAsia="DejaVuSerifCondensed" w:cs="DejaVuSerifCondensed"/>
          <w:color w:val="000000" w:themeColor="text1"/>
          <w:kern w:val="0"/>
          <w:sz w:val="18"/>
          <w:szCs w:val="18"/>
        </w:rPr>
        <w:t>PensioenPro</w:t>
      </w:r>
      <w:proofErr w:type="spellEnd"/>
      <w:r w:rsidRPr="00F86127">
        <w:rPr>
          <w:rFonts w:ascii="Verdana" w:hAnsi="Verdana" w:eastAsia="DejaVuSerifCondensed" w:cs="DejaVuSerifCondensed"/>
          <w:color w:val="000000" w:themeColor="text1"/>
          <w:kern w:val="0"/>
          <w:sz w:val="18"/>
          <w:szCs w:val="18"/>
        </w:rPr>
        <w:t>? 1)</w:t>
      </w:r>
    </w:p>
    <w:p w:rsidRPr="00F86127" w:rsidR="001304B7" w:rsidP="001304B7" w:rsidRDefault="001304B7" w14:paraId="5C8D376B"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3093E728"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 xml:space="preserve">Ja, daar ben ik mee bekend. </w:t>
      </w:r>
    </w:p>
    <w:p w:rsidRPr="00F86127" w:rsidR="001304B7" w:rsidP="001304B7" w:rsidRDefault="001304B7" w14:paraId="3517A77F"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6781954A"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2. Wat vindt u van het feit dat in dit artikel door de voorzitter van het fonds wordt gesteld dat de</w:t>
      </w:r>
    </w:p>
    <w:p w:rsidRPr="00F86127" w:rsidR="001304B7" w:rsidP="001304B7" w:rsidRDefault="001304B7" w14:paraId="71493622"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deelnemers van PWRI helemaal niet blij zullen zijn en ook geen vertrouwen in het nieuwe stelsel</w:t>
      </w:r>
    </w:p>
    <w:p w:rsidRPr="00F86127" w:rsidR="001304B7" w:rsidP="001304B7" w:rsidRDefault="001304B7" w14:paraId="20AEB907"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zullen hebben op basis van de wettelijk verplicht te communiceren informatie, en die naar</w:t>
      </w:r>
    </w:p>
    <w:p w:rsidRPr="00F86127" w:rsidR="001304B7" w:rsidP="001304B7" w:rsidRDefault="001304B7" w14:paraId="69FD12FD"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verwachting ook niet zullen lezen?</w:t>
      </w:r>
    </w:p>
    <w:p w:rsidRPr="00F86127" w:rsidR="001304B7" w:rsidP="001304B7" w:rsidRDefault="001304B7" w14:paraId="2CCE5EC2"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04161312"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De bestuursvoorzitter van PWRI geeft aan dat de voorgeschreven informatie veelomvattend en fijnmazig is. De transitie-informatie geeft inzicht in wat er met het pensioen van deelnemers gebeurt als gevolg van de transitie naar het nieuwe pensioenstelsel. Nu in veel gevallen de aard van de aanspraak verandert, heeft dat effect op de bedragen. Het is daarom goed daarover te informeren. De bedragen staan daarbij echter niet op zichzelf, de bijbehorende toelichting en context zijn van groot belang, daar ben ik in eerdere Kamervragen ook op ingegaan.</w:t>
      </w:r>
      <w:r w:rsidRPr="00F86127">
        <w:rPr>
          <w:rStyle w:val="Voetnootmarkering"/>
          <w:rFonts w:ascii="Verdana" w:hAnsi="Verdana" w:eastAsia="DejaVuSerifCondensed" w:cs="DejaVuSerifCondensed"/>
          <w:color w:val="000000" w:themeColor="text1"/>
          <w:kern w:val="0"/>
          <w:sz w:val="18"/>
          <w:szCs w:val="18"/>
        </w:rPr>
        <w:footnoteReference w:id="1"/>
      </w:r>
      <w:r w:rsidRPr="00F86127">
        <w:rPr>
          <w:rFonts w:ascii="Verdana" w:hAnsi="Verdana" w:eastAsia="DejaVuSerifCondensed" w:cs="DejaVuSerifCondensed"/>
          <w:color w:val="000000" w:themeColor="text1"/>
          <w:kern w:val="0"/>
          <w:sz w:val="18"/>
          <w:szCs w:val="18"/>
        </w:rPr>
        <w:t xml:space="preserve"> Pensioenuitvoerders hebben binnen de wettelijke voorschriften een grote mate van vrijheid om, gelet op de eigen populatie, deelnemers aanvullend te informeren. Gelaagdheid, afgestemd op doelgroep en behoeftes, zijn daarbij instrumenten die de pensioenuitvoerder kan inzetten. De bestuursvoorzitter van PWRI geeft ook aan dat te doen, door te verwijzen naar de belangrijke elementen uit ons pensioenstelsel die behouden blijven, namelijk solidariteit en collectiviteit. De Pensioenfederatie heeft daarnaast een servicedocument gepubliceerd met als doel pensioenfondsen te helpen bij het uitvoeren van de wettelijke verplichtingen rond transitiecommunicatie, waarin ook wordt verwezen naar de uitgangspunten die de Autoriteit Financiële Markten (AFM) daarbij hanteert.</w:t>
      </w:r>
      <w:r w:rsidRPr="00F86127">
        <w:rPr>
          <w:rStyle w:val="Voetnootmarkering"/>
          <w:rFonts w:ascii="Verdana" w:hAnsi="Verdana" w:eastAsia="DejaVuSerifCondensed" w:cs="DejaVuSerifCondensed"/>
          <w:color w:val="000000" w:themeColor="text1"/>
          <w:kern w:val="0"/>
          <w:sz w:val="18"/>
          <w:szCs w:val="18"/>
        </w:rPr>
        <w:footnoteReference w:id="2"/>
      </w:r>
      <w:r w:rsidRPr="00F86127">
        <w:rPr>
          <w:rFonts w:ascii="Verdana" w:hAnsi="Verdana" w:eastAsia="DejaVuSerifCondensed" w:cs="DejaVuSerifCondensed"/>
          <w:color w:val="000000" w:themeColor="text1"/>
          <w:kern w:val="0"/>
          <w:sz w:val="18"/>
          <w:szCs w:val="18"/>
        </w:rPr>
        <w:t xml:space="preserve"> </w:t>
      </w:r>
    </w:p>
    <w:p w:rsidRPr="00F86127" w:rsidR="001304B7" w:rsidP="001304B7" w:rsidRDefault="001304B7" w14:paraId="5DE63DCE"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64DDDE60"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3. Deelt u de mening dat een dergelijke uitkomst volstrekt haaks staat op wat de Pensioenwet en de Code Pensioenfondsen beogen, namelijk dat het belang van deelnemers bij ieder besluit voorop dient te staan?</w:t>
      </w:r>
    </w:p>
    <w:p w:rsidRPr="00F86127" w:rsidR="001304B7" w:rsidP="001304B7" w:rsidRDefault="001304B7" w14:paraId="2EA90136"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24A0438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Pr>
          <w:rFonts w:ascii="Verdana" w:hAnsi="Verdana" w:eastAsia="DejaVuSerifCondensed" w:cs="DejaVuSerifCondensed"/>
          <w:color w:val="000000" w:themeColor="text1"/>
          <w:kern w:val="0"/>
          <w:sz w:val="18"/>
          <w:szCs w:val="18"/>
        </w:rPr>
        <w:t xml:space="preserve">Pensioenuitvoerders zijn verantwoordelijk voor de communicatie en informatieverstrekking. De vereisten in wet- en regelgeving vormen de basis waarop zij dit invullen. Daarbij maken pensioenuitvoerders aanvullend gebruik van initiatieven uit de sector </w:t>
      </w:r>
      <w:r w:rsidRPr="00F86127">
        <w:rPr>
          <w:rFonts w:ascii="Verdana" w:hAnsi="Verdana" w:eastAsia="DejaVuSerifCondensed" w:cs="DejaVuSerifCondensed"/>
          <w:color w:val="000000" w:themeColor="text1"/>
          <w:kern w:val="0"/>
          <w:sz w:val="18"/>
          <w:szCs w:val="18"/>
        </w:rPr>
        <w:t>(bijvoorbeeld het servicedocument waaraan ik in het antwoord op vraag 2 refereer)</w:t>
      </w:r>
      <w:r>
        <w:rPr>
          <w:rFonts w:ascii="Verdana" w:hAnsi="Verdana" w:eastAsia="DejaVuSerifCondensed" w:cs="DejaVuSerifCondensed"/>
          <w:color w:val="000000" w:themeColor="text1"/>
          <w:kern w:val="0"/>
          <w:sz w:val="18"/>
          <w:szCs w:val="18"/>
        </w:rPr>
        <w:t>.</w:t>
      </w:r>
      <w:r w:rsidRPr="00F86127">
        <w:rPr>
          <w:rFonts w:ascii="Verdana" w:hAnsi="Verdana" w:eastAsia="DejaVuSerifCondensed" w:cs="DejaVuSerifCondensed"/>
          <w:color w:val="000000" w:themeColor="text1"/>
          <w:kern w:val="0"/>
          <w:sz w:val="18"/>
          <w:szCs w:val="18"/>
        </w:rPr>
        <w:t xml:space="preserve"> </w:t>
      </w:r>
    </w:p>
    <w:p w:rsidRPr="00F86127" w:rsidR="001304B7" w:rsidP="001304B7" w:rsidRDefault="001304B7" w14:paraId="334B030F"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5FC123B3"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 xml:space="preserve">4. Ben u het ermee eens dat, gezien het bestuur van PWRI-pensioenfonds bij monde van zijn voorzitter aangeeft dat de verplichte communicatie </w:t>
      </w:r>
      <w:r w:rsidRPr="00042886">
        <w:rPr>
          <w:rFonts w:ascii="Verdana" w:hAnsi="Verdana" w:eastAsia="DejaVuSerifCondensed" w:cs="DejaVuSerifCondensed"/>
          <w:kern w:val="0"/>
          <w:sz w:val="18"/>
          <w:szCs w:val="18"/>
        </w:rPr>
        <w:t xml:space="preserve">over het invaren deelnemers niet tevreden zal stellen, hun </w:t>
      </w:r>
      <w:r w:rsidRPr="00F86127">
        <w:rPr>
          <w:rFonts w:ascii="Verdana" w:hAnsi="Verdana" w:eastAsia="DejaVuSerifCondensed" w:cs="DejaVuSerifCondensed"/>
          <w:color w:val="000000" w:themeColor="text1"/>
          <w:kern w:val="0"/>
          <w:sz w:val="18"/>
          <w:szCs w:val="18"/>
        </w:rPr>
        <w:t>vertrouwen niet zal winnen en niet gelezen zal worden, de toezichthouders Autoriteit Financiële Markten (AFM) en De Nederlandsche Bank (DNB) het invaarverzoek niet hadden mogen goedkeuren?</w:t>
      </w:r>
    </w:p>
    <w:p w:rsidRPr="00F86127" w:rsidR="001304B7" w:rsidP="001304B7" w:rsidRDefault="001304B7" w14:paraId="0F836E49"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001304B7" w:rsidP="001304B7" w:rsidRDefault="001304B7" w14:paraId="402A9B58" w14:textId="77777777">
      <w:pPr>
        <w:spacing w:after="0" w:line="240" w:lineRule="auto"/>
        <w:rPr>
          <w:rFonts w:ascii="Verdana" w:hAnsi="Verdana"/>
          <w:color w:val="000000" w:themeColor="text1"/>
          <w:sz w:val="18"/>
          <w:szCs w:val="18"/>
        </w:rPr>
      </w:pPr>
      <w:r w:rsidRPr="00E456E6">
        <w:rPr>
          <w:rFonts w:ascii="Verdana" w:hAnsi="Verdana" w:eastAsia="DejaVuSerifCondensed" w:cs="DejaVuSerifCondensed"/>
          <w:kern w:val="0"/>
          <w:sz w:val="18"/>
          <w:szCs w:val="18"/>
        </w:rPr>
        <w:t>De wet geeft mij als minister geen bevoegdheid om inhoudelijk iets te vinden van het invaren van een specifiek fonds. De toezichthouders</w:t>
      </w:r>
      <w:r w:rsidRPr="00F86127">
        <w:rPr>
          <w:rFonts w:ascii="Verdana" w:hAnsi="Verdana"/>
          <w:color w:val="000000" w:themeColor="text1"/>
          <w:sz w:val="18"/>
          <w:szCs w:val="18"/>
        </w:rPr>
        <w:t xml:space="preserve"> zien toe op de naleving van de wetgeving zoals deze ook door de Tweede en Eerste Kamer is aangenomen. Met betrekking tot de informatievoorziening voor het invaren is vastgelegd in artikel 150j van de Pensioenwet en artikel 46a van het Besluit uitvoering Pensioenwet en Wet verplichte beroepspensioenregeling, dat het pensioenfonds een communicatieplan opstelt. De AFM heeft niet de rol in het transitieproces een invaarverzoek van het pensioenfonds goed te keuren. De AFM beoordeelt het communicatieplan en neemt dit mee in het</w:t>
      </w:r>
      <w:r>
        <w:rPr>
          <w:rFonts w:ascii="Verdana" w:hAnsi="Verdana"/>
          <w:color w:val="000000" w:themeColor="text1"/>
          <w:sz w:val="18"/>
          <w:szCs w:val="18"/>
        </w:rPr>
        <w:t xml:space="preserve"> lopende</w:t>
      </w:r>
      <w:r w:rsidRPr="00F86127">
        <w:rPr>
          <w:rFonts w:ascii="Verdana" w:hAnsi="Verdana"/>
          <w:color w:val="000000" w:themeColor="text1"/>
          <w:sz w:val="18"/>
          <w:szCs w:val="18"/>
        </w:rPr>
        <w:t xml:space="preserve"> toezicht. DNB beoordeelt het invaarverzoek en kan besluiten wel of niet een verbod tot waardeoverdracht op te leggen</w:t>
      </w:r>
      <w:r>
        <w:rPr>
          <w:rFonts w:ascii="Verdana" w:hAnsi="Verdana"/>
          <w:color w:val="000000" w:themeColor="text1"/>
          <w:sz w:val="18"/>
          <w:szCs w:val="18"/>
        </w:rPr>
        <w:t>. Dit is</w:t>
      </w:r>
      <w:r w:rsidRPr="00F86127">
        <w:rPr>
          <w:rFonts w:ascii="Verdana" w:hAnsi="Verdana"/>
          <w:color w:val="000000" w:themeColor="text1"/>
          <w:sz w:val="18"/>
          <w:szCs w:val="18"/>
        </w:rPr>
        <w:t xml:space="preserve"> een verklaring van geen bezwaar (geen verbod) op het </w:t>
      </w:r>
      <w:r w:rsidRPr="00F86127">
        <w:rPr>
          <w:rFonts w:ascii="Verdana" w:hAnsi="Verdana"/>
          <w:color w:val="000000" w:themeColor="text1"/>
          <w:sz w:val="18"/>
          <w:szCs w:val="18"/>
        </w:rPr>
        <w:lastRenderedPageBreak/>
        <w:t>invaarverzoek.</w:t>
      </w:r>
      <w:r w:rsidRPr="00F86127">
        <w:rPr>
          <w:rStyle w:val="Voetnootmarkering"/>
          <w:rFonts w:ascii="Verdana" w:hAnsi="Verdana"/>
          <w:color w:val="000000" w:themeColor="text1"/>
          <w:sz w:val="18"/>
          <w:szCs w:val="18"/>
        </w:rPr>
        <w:footnoteReference w:id="3"/>
      </w:r>
      <w:r w:rsidRPr="00F86127">
        <w:rPr>
          <w:rFonts w:ascii="Verdana" w:hAnsi="Verdana"/>
          <w:color w:val="000000" w:themeColor="text1"/>
          <w:sz w:val="18"/>
          <w:szCs w:val="18"/>
        </w:rPr>
        <w:t xml:space="preserve"> De individuele communicatie aan de deelnemer is geen onderdeel van het toezicht van DNB en vormt daarmee ook geen grond voor DNB om een verbod tot invaren op te leggen. </w:t>
      </w:r>
    </w:p>
    <w:p w:rsidR="001304B7" w:rsidP="001304B7" w:rsidRDefault="001304B7" w14:paraId="3D965AFB" w14:textId="77777777">
      <w:pPr>
        <w:spacing w:after="0" w:line="240" w:lineRule="auto"/>
        <w:rPr>
          <w:rFonts w:ascii="Verdana" w:hAnsi="Verdana"/>
          <w:color w:val="000000" w:themeColor="text1"/>
          <w:sz w:val="18"/>
          <w:szCs w:val="18"/>
        </w:rPr>
      </w:pPr>
    </w:p>
    <w:p w:rsidR="001304B7" w:rsidP="001304B7" w:rsidRDefault="001304B7" w14:paraId="4C2D2B1F" w14:textId="77777777">
      <w:pPr>
        <w:spacing w:after="0" w:line="240" w:lineRule="auto"/>
        <w:rPr>
          <w:rFonts w:ascii="Verdana" w:hAnsi="Verdana"/>
          <w:color w:val="000000" w:themeColor="text1"/>
          <w:sz w:val="18"/>
          <w:szCs w:val="18"/>
        </w:rPr>
      </w:pPr>
    </w:p>
    <w:p w:rsidR="001304B7" w:rsidP="001304B7" w:rsidRDefault="001304B7" w14:paraId="7BDC193A" w14:textId="77777777">
      <w:pPr>
        <w:spacing w:after="0" w:line="240" w:lineRule="auto"/>
        <w:rPr>
          <w:rFonts w:ascii="Verdana" w:hAnsi="Verdana"/>
          <w:color w:val="000000" w:themeColor="text1"/>
          <w:sz w:val="18"/>
          <w:szCs w:val="18"/>
        </w:rPr>
      </w:pPr>
    </w:p>
    <w:p w:rsidRPr="00F86127" w:rsidR="001304B7" w:rsidP="001304B7" w:rsidRDefault="001304B7" w14:paraId="45C0C586" w14:textId="77777777">
      <w:pPr>
        <w:spacing w:after="0" w:line="240" w:lineRule="auto"/>
        <w:rPr>
          <w:rFonts w:ascii="Verdana" w:hAnsi="Verdana"/>
          <w:color w:val="000000" w:themeColor="text1"/>
          <w:sz w:val="18"/>
          <w:szCs w:val="18"/>
        </w:rPr>
      </w:pPr>
      <w:r w:rsidRPr="00F86127">
        <w:rPr>
          <w:rFonts w:ascii="Verdana" w:hAnsi="Verdana"/>
          <w:color w:val="000000" w:themeColor="text1"/>
          <w:sz w:val="18"/>
          <w:szCs w:val="18"/>
        </w:rPr>
        <w:t>Op grond van artikel 46b lid 1 Besluit uitvoering Pensioenwet en Wet verplichte beroepspensioenregeling beoordeelt DNB het voornemen tot invaren op vijf aspecten:</w:t>
      </w:r>
    </w:p>
    <w:p w:rsidRPr="00F86127" w:rsidR="001304B7" w:rsidP="001304B7" w:rsidRDefault="001304B7" w14:paraId="0F667E79" w14:textId="77777777">
      <w:pPr>
        <w:pStyle w:val="Lijstalinea"/>
        <w:numPr>
          <w:ilvl w:val="0"/>
          <w:numId w:val="1"/>
        </w:numPr>
        <w:spacing w:after="0" w:line="240" w:lineRule="auto"/>
        <w:rPr>
          <w:color w:val="000000" w:themeColor="text1"/>
        </w:rPr>
      </w:pPr>
      <w:r w:rsidRPr="00F86127">
        <w:rPr>
          <w:rFonts w:ascii="Verdana" w:hAnsi="Verdana"/>
          <w:color w:val="000000" w:themeColor="text1"/>
          <w:sz w:val="18"/>
          <w:szCs w:val="18"/>
        </w:rPr>
        <w:t>het besluitvormingsproces</w:t>
      </w:r>
    </w:p>
    <w:p w:rsidRPr="00F86127" w:rsidR="001304B7" w:rsidP="001304B7" w:rsidRDefault="001304B7" w14:paraId="6A0EA4CC" w14:textId="77777777">
      <w:pPr>
        <w:pStyle w:val="Lijstalinea"/>
        <w:numPr>
          <w:ilvl w:val="0"/>
          <w:numId w:val="1"/>
        </w:numPr>
        <w:spacing w:after="0" w:line="240" w:lineRule="auto"/>
        <w:rPr>
          <w:color w:val="000000" w:themeColor="text1"/>
        </w:rPr>
      </w:pPr>
      <w:r w:rsidRPr="00F86127">
        <w:rPr>
          <w:rFonts w:ascii="Verdana" w:hAnsi="Verdana"/>
          <w:color w:val="000000" w:themeColor="text1"/>
          <w:sz w:val="18"/>
          <w:szCs w:val="18"/>
        </w:rPr>
        <w:t>financiële en andere risico’s</w:t>
      </w:r>
    </w:p>
    <w:p w:rsidRPr="00F86127" w:rsidR="001304B7" w:rsidP="001304B7" w:rsidRDefault="001304B7" w14:paraId="4ED512D4" w14:textId="77777777">
      <w:pPr>
        <w:pStyle w:val="Lijstalinea"/>
        <w:numPr>
          <w:ilvl w:val="0"/>
          <w:numId w:val="1"/>
        </w:numPr>
        <w:spacing w:after="0" w:line="240" w:lineRule="auto"/>
        <w:rPr>
          <w:color w:val="000000" w:themeColor="text1"/>
        </w:rPr>
      </w:pPr>
      <w:r w:rsidRPr="00F86127">
        <w:rPr>
          <w:rFonts w:ascii="Verdana" w:hAnsi="Verdana"/>
          <w:color w:val="000000" w:themeColor="text1"/>
          <w:sz w:val="18"/>
          <w:szCs w:val="18"/>
        </w:rPr>
        <w:t>de financiële effecten</w:t>
      </w:r>
    </w:p>
    <w:p w:rsidRPr="00F86127" w:rsidR="001304B7" w:rsidP="001304B7" w:rsidRDefault="001304B7" w14:paraId="5F403E5C" w14:textId="77777777">
      <w:pPr>
        <w:pStyle w:val="Lijstalinea"/>
        <w:numPr>
          <w:ilvl w:val="0"/>
          <w:numId w:val="1"/>
        </w:numPr>
        <w:spacing w:after="0" w:line="240" w:lineRule="auto"/>
        <w:rPr>
          <w:color w:val="000000" w:themeColor="text1"/>
        </w:rPr>
      </w:pPr>
      <w:r w:rsidRPr="00F86127">
        <w:rPr>
          <w:rFonts w:ascii="Verdana" w:hAnsi="Verdana"/>
          <w:color w:val="000000" w:themeColor="text1"/>
          <w:sz w:val="18"/>
          <w:szCs w:val="18"/>
        </w:rPr>
        <w:t>de collectieve actuariële gelijkwaardigheid</w:t>
      </w:r>
    </w:p>
    <w:p w:rsidRPr="00F86127" w:rsidR="001304B7" w:rsidP="001304B7" w:rsidRDefault="001304B7" w14:paraId="3EA5261D" w14:textId="77777777">
      <w:pPr>
        <w:pStyle w:val="Lijstalinea"/>
        <w:numPr>
          <w:ilvl w:val="0"/>
          <w:numId w:val="1"/>
        </w:numPr>
        <w:spacing w:after="0" w:line="240" w:lineRule="auto"/>
        <w:rPr>
          <w:color w:val="000000" w:themeColor="text1"/>
        </w:rPr>
      </w:pPr>
      <w:r w:rsidRPr="00F86127">
        <w:rPr>
          <w:rFonts w:ascii="Verdana" w:hAnsi="Verdana"/>
          <w:color w:val="000000" w:themeColor="text1"/>
          <w:sz w:val="18"/>
          <w:szCs w:val="18"/>
        </w:rPr>
        <w:t>de evenwichtige belangenafweging door het fonds</w:t>
      </w:r>
    </w:p>
    <w:p w:rsidRPr="00F86127" w:rsidR="001304B7" w:rsidP="001304B7" w:rsidRDefault="001304B7" w14:paraId="60B40671" w14:textId="77777777">
      <w:pPr>
        <w:autoSpaceDE w:val="0"/>
        <w:autoSpaceDN w:val="0"/>
        <w:adjustRightInd w:val="0"/>
        <w:spacing w:after="0" w:line="240" w:lineRule="auto"/>
        <w:rPr>
          <w:rFonts w:ascii="Verdana" w:hAnsi="Verdana"/>
          <w:i/>
          <w:iCs/>
          <w:color w:val="000000" w:themeColor="text1"/>
          <w:sz w:val="18"/>
          <w:szCs w:val="18"/>
        </w:rPr>
      </w:pPr>
    </w:p>
    <w:p w:rsidRPr="00042886" w:rsidR="001304B7" w:rsidP="001304B7" w:rsidRDefault="001304B7" w14:paraId="75680A12" w14:textId="77777777">
      <w:pPr>
        <w:autoSpaceDE w:val="0"/>
        <w:autoSpaceDN w:val="0"/>
        <w:adjustRightInd w:val="0"/>
        <w:spacing w:after="0" w:line="240" w:lineRule="auto"/>
        <w:rPr>
          <w:rFonts w:ascii="Verdana" w:hAnsi="Verdana" w:eastAsia="DejaVuSerifCondensed" w:cs="DejaVuSerifCondensed"/>
          <w:kern w:val="0"/>
          <w:sz w:val="18"/>
          <w:szCs w:val="18"/>
        </w:rPr>
      </w:pPr>
      <w:r w:rsidRPr="00F86127">
        <w:rPr>
          <w:rFonts w:ascii="Verdana" w:hAnsi="Verdana" w:eastAsia="DejaVuSerifCondensed" w:cs="DejaVuSerifCondensed"/>
          <w:color w:val="000000" w:themeColor="text1"/>
          <w:kern w:val="0"/>
          <w:sz w:val="18"/>
          <w:szCs w:val="18"/>
        </w:rPr>
        <w:t xml:space="preserve">5. Bent u het ermee eens dat in dit geval </w:t>
      </w:r>
      <w:r w:rsidRPr="00042886">
        <w:rPr>
          <w:rFonts w:ascii="Verdana" w:hAnsi="Verdana" w:eastAsia="DejaVuSerifCondensed" w:cs="DejaVuSerifCondensed"/>
          <w:kern w:val="0"/>
          <w:sz w:val="18"/>
          <w:szCs w:val="18"/>
        </w:rPr>
        <w:t>er zeker naar verwachting geen sprake is van begrijpelijke informatie bij invaren, hetgeen de AFM nu juist als een van de belangrijkste eisen stelt?</w:t>
      </w:r>
    </w:p>
    <w:p w:rsidRPr="00042886" w:rsidR="001304B7" w:rsidP="001304B7" w:rsidRDefault="001304B7" w14:paraId="33573965" w14:textId="77777777">
      <w:pPr>
        <w:autoSpaceDE w:val="0"/>
        <w:autoSpaceDN w:val="0"/>
        <w:adjustRightInd w:val="0"/>
        <w:spacing w:after="0" w:line="240" w:lineRule="auto"/>
        <w:rPr>
          <w:rFonts w:ascii="Verdana" w:hAnsi="Verdana" w:eastAsia="DejaVuSerifCondensed" w:cs="DejaVuSerifCondensed"/>
          <w:color w:val="0070C0"/>
          <w:kern w:val="0"/>
          <w:sz w:val="18"/>
          <w:szCs w:val="18"/>
        </w:rPr>
      </w:pPr>
    </w:p>
    <w:p w:rsidRPr="00F86127" w:rsidR="001304B7" w:rsidP="001304B7" w:rsidRDefault="001304B7" w14:paraId="34419E0D"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 xml:space="preserve">Het pensioenfonds dient deelnemers op een begrijpelijke manier te informeren waarbij </w:t>
      </w:r>
      <w:r>
        <w:rPr>
          <w:rFonts w:ascii="Verdana" w:hAnsi="Verdana" w:eastAsia="DejaVuSerifCondensed" w:cs="DejaVuSerifCondensed"/>
          <w:color w:val="000000" w:themeColor="text1"/>
          <w:kern w:val="0"/>
          <w:sz w:val="18"/>
          <w:szCs w:val="18"/>
        </w:rPr>
        <w:t>het fonds</w:t>
      </w:r>
      <w:r w:rsidRPr="00F86127">
        <w:rPr>
          <w:rFonts w:ascii="Verdana" w:hAnsi="Verdana" w:eastAsia="DejaVuSerifCondensed" w:cs="DejaVuSerifCondensed"/>
          <w:color w:val="000000" w:themeColor="text1"/>
          <w:kern w:val="0"/>
          <w:sz w:val="18"/>
          <w:szCs w:val="18"/>
        </w:rPr>
        <w:t xml:space="preserve"> in kan zetten op gelaagdheid. Tevens moet het fonds invulling geven aan de wettelijke verplichtingen rond informatieverstrekking. De transitie is voor deelnemers impactvol en zij hebben het recht geïnformeerd te worden over wat dit voor hen betekent.</w:t>
      </w:r>
    </w:p>
    <w:p w:rsidRPr="00042886" w:rsidR="001304B7" w:rsidP="001304B7" w:rsidRDefault="001304B7" w14:paraId="545921B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86127" w:rsidR="001304B7" w:rsidP="001304B7" w:rsidRDefault="001304B7" w14:paraId="7A6ECD14"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042886">
        <w:rPr>
          <w:rFonts w:ascii="Verdana" w:hAnsi="Verdana" w:eastAsia="DejaVuSerifCondensed" w:cs="DejaVuSerifCondensed"/>
          <w:kern w:val="0"/>
          <w:sz w:val="18"/>
          <w:szCs w:val="18"/>
        </w:rPr>
        <w:t xml:space="preserve">6. Bent u het ermee eens dat er pas sprake kan zijn van goedkeuring van het communicatieplan </w:t>
      </w:r>
      <w:r w:rsidRPr="00F86127">
        <w:rPr>
          <w:rFonts w:ascii="Verdana" w:hAnsi="Verdana" w:eastAsia="DejaVuSerifCondensed" w:cs="DejaVuSerifCondensed"/>
          <w:color w:val="000000" w:themeColor="text1"/>
          <w:kern w:val="0"/>
          <w:sz w:val="18"/>
          <w:szCs w:val="18"/>
        </w:rPr>
        <w:t>als onderdeel van het implementatieplan nadat door toezichthouder AFM is vastgesteld dat de</w:t>
      </w:r>
    </w:p>
    <w:p w:rsidRPr="00F86127" w:rsidR="001304B7" w:rsidP="001304B7" w:rsidRDefault="001304B7" w14:paraId="07BE7E8A"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voorgestelde communicatie ook afdoende, representatief en met goed resultaat vooraf getoetst is bij deelnemers?</w:t>
      </w:r>
    </w:p>
    <w:p w:rsidRPr="00F86127" w:rsidR="001304B7" w:rsidP="001304B7" w:rsidRDefault="001304B7" w14:paraId="32093ACB"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27213C3D" w14:textId="77777777">
      <w:pPr>
        <w:autoSpaceDE w:val="0"/>
        <w:autoSpaceDN w:val="0"/>
        <w:adjustRightInd w:val="0"/>
        <w:spacing w:after="0" w:line="240" w:lineRule="auto"/>
        <w:rPr>
          <w:rFonts w:ascii="Verdana" w:hAnsi="Verdana" w:cs="Arial"/>
          <w:color w:val="000000" w:themeColor="text1"/>
          <w:sz w:val="18"/>
          <w:szCs w:val="18"/>
          <w:shd w:val="clear" w:color="auto" w:fill="FFFFFF"/>
        </w:rPr>
      </w:pPr>
      <w:r w:rsidRPr="00F86127">
        <w:rPr>
          <w:rFonts w:ascii="Verdana" w:hAnsi="Verdana"/>
          <w:color w:val="000000" w:themeColor="text1"/>
          <w:sz w:val="18"/>
          <w:szCs w:val="18"/>
        </w:rPr>
        <w:t xml:space="preserve">Net als de vragensteller vind ik dat goede pensioencommunicatie belangrijk is voor deelnemers. Daarom zijn in de Pensioenwet communicatievoorschriften opgenomen. Onderdeel daarvan is dat de pensioenuitvoerder een communicatieplan opstelt ten behoeve van de transitie naar een nieuwe pensioenovereenkomst. In dit plan wordt vastgelegd op welke wijze de informatieverstrekking aan deelnemers wordt ingevuld. Onderdeel daarvan is ten minste de voor deelnemers relevante gevolgen van de wijziging. Zonder in dit antwoord volledig te zijn, moeten deelnemers verder geïnformeerd worden over de hoogte van het reglementair te bereiken pensioen, </w:t>
      </w:r>
      <w:r w:rsidRPr="00F86127">
        <w:rPr>
          <w:rFonts w:ascii="Verdana" w:hAnsi="Verdana" w:cs="Arial"/>
          <w:color w:val="000000" w:themeColor="text1"/>
          <w:sz w:val="18"/>
          <w:szCs w:val="18"/>
          <w:shd w:val="clear" w:color="auto" w:fill="FFFFFF"/>
        </w:rPr>
        <w:t>de opgebouwde pensioenaanspraken of het pensioenrecht met en zonder wijziging van de pensioenovereenkomst, waarbij bij de informatie over de hoogte met wijziging van de pensioenovereenkomst rekening is gehouden met de effecten van de wijze waarop wordt omgegaan met opgebouwde pensioenaanspraken en pensioenrechten (het invaren).</w:t>
      </w:r>
      <w:r w:rsidRPr="00F86127">
        <w:rPr>
          <w:rFonts w:ascii="Verdana" w:hAnsi="Verdana"/>
          <w:color w:val="000000" w:themeColor="text1"/>
          <w:sz w:val="18"/>
          <w:szCs w:val="18"/>
        </w:rPr>
        <w:t xml:space="preserve"> De AFM houdt toezicht op de uitvoering van de wettelijke vereisten die gelden voor pensioenuitvoerders, maar keurt (vooraf) geen communicatieplan goed. De AFM beoordeelt het communicatieplan wel en weegt de invulling hiervan mee in haar toezicht op de daadwerkelijk verstrekte informatie aan deelnemers. Dit betekent ook dat de AFM kijkt of de pensioenuitvoerder de informatie bij haar deelnemers heeft getoetst.</w:t>
      </w:r>
    </w:p>
    <w:p w:rsidRPr="00042886" w:rsidR="001304B7" w:rsidP="001304B7" w:rsidRDefault="001304B7" w14:paraId="4110B65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42886" w:rsidR="001304B7" w:rsidP="001304B7" w:rsidRDefault="001304B7" w14:paraId="3931158E"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7. Bent u het ermee eens dat als er geen sprake is van toetsing van de communicatie, het fonds</w:t>
      </w:r>
    </w:p>
    <w:p w:rsidRPr="00042886" w:rsidR="001304B7" w:rsidP="001304B7" w:rsidRDefault="001304B7" w14:paraId="2B14C786"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onverantwoorde risico’s neemt die kunnen leiden tot een regen aan klachten, mogelijk claims en/of aansprakelijkheidsstellingen?</w:t>
      </w:r>
    </w:p>
    <w:p w:rsidRPr="00042886" w:rsidR="001304B7" w:rsidP="001304B7" w:rsidRDefault="001304B7" w14:paraId="57371879" w14:textId="77777777">
      <w:pPr>
        <w:autoSpaceDE w:val="0"/>
        <w:autoSpaceDN w:val="0"/>
        <w:adjustRightInd w:val="0"/>
        <w:spacing w:after="0" w:line="240" w:lineRule="auto"/>
        <w:rPr>
          <w:rFonts w:ascii="Verdana" w:hAnsi="Verdana" w:eastAsia="DejaVuSerifCondensed" w:cs="DejaVuSerifCondensed"/>
          <w:color w:val="0070C0"/>
          <w:kern w:val="0"/>
          <w:sz w:val="18"/>
          <w:szCs w:val="18"/>
        </w:rPr>
      </w:pPr>
    </w:p>
    <w:p w:rsidRPr="00F86127" w:rsidR="001304B7" w:rsidP="001304B7" w:rsidRDefault="001304B7" w14:paraId="77B2CE0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bookmarkStart w:name="_Hlk184661667" w:id="0"/>
      <w:r w:rsidRPr="00F86127">
        <w:rPr>
          <w:rFonts w:ascii="Verdana" w:hAnsi="Verdana" w:eastAsia="DejaVuSerifCondensed" w:cs="DejaVuSerifCondensed"/>
          <w:color w:val="000000" w:themeColor="text1"/>
          <w:kern w:val="0"/>
          <w:sz w:val="18"/>
          <w:szCs w:val="18"/>
        </w:rPr>
        <w:t xml:space="preserve">Informatie moet aansluiten bij de doelgroep, en om die reden verwacht de toezichthouder dat informatie voor het wordt verstuurd wordt getoetst bij deelnemers. De AFM verwacht hierbij dat deze toets serieus wordt uitgevoerd en niet wordt gevraagd of deelnemers deze informatie wel willen ontvangen, maar juist of deelnemers de inhoud van de informatie begrijpen. </w:t>
      </w:r>
      <w:bookmarkEnd w:id="0"/>
      <w:r w:rsidRPr="00F86127">
        <w:rPr>
          <w:rFonts w:ascii="Verdana" w:hAnsi="Verdana" w:eastAsia="DejaVuSerifCondensed" w:cs="DejaVuSerifCondensed"/>
          <w:color w:val="000000" w:themeColor="text1"/>
          <w:kern w:val="0"/>
          <w:sz w:val="18"/>
          <w:szCs w:val="18"/>
        </w:rPr>
        <w:t>In de praktijk toetsen pensioenfondsen bijvoorbeeld op meerdere momenten hun communicatie bij verschillende doelgroepen. Ook doen zij hiertoe aanvullend onderzoek. Dit gebeurt veelal vanuit het eigen communicatiebeleid, wat rekening houdt met de wettelijk normen rondom pensioencommunicatie zoals artikel 48 Pensioenwet. Het fonds is er te allen tijde bij gebaat om de communicatie goed af te stemmen op de verschillende doelgroepen. Dat afstemmen ziet dan toe op zowel de inhoud van de communicatie als de wijze en de momenten van de communicatie.</w:t>
      </w:r>
    </w:p>
    <w:p w:rsidRPr="00042886" w:rsidR="001304B7" w:rsidP="001304B7" w:rsidRDefault="001304B7" w14:paraId="21967D8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42886" w:rsidR="001304B7" w:rsidP="001304B7" w:rsidRDefault="001304B7" w14:paraId="255A19C8"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lastRenderedPageBreak/>
        <w:t>8. In dit artikel wordt gesteld dat de goedkeuring verleend is, maar dat de IT-systemen nog niet gereed zijn waaronder de benodigde koppelingen om bijvoorbeeld uniforme pensioenoverzichten (</w:t>
      </w:r>
      <w:proofErr w:type="spellStart"/>
      <w:r w:rsidRPr="00042886">
        <w:rPr>
          <w:rFonts w:ascii="Verdana" w:hAnsi="Verdana" w:eastAsia="DejaVuSerifCondensed" w:cs="DejaVuSerifCondensed"/>
          <w:kern w:val="0"/>
          <w:sz w:val="18"/>
          <w:szCs w:val="18"/>
        </w:rPr>
        <w:t>UPO’s</w:t>
      </w:r>
      <w:proofErr w:type="spellEnd"/>
      <w:r w:rsidRPr="00042886">
        <w:rPr>
          <w:rFonts w:ascii="Verdana" w:hAnsi="Verdana" w:eastAsia="DejaVuSerifCondensed" w:cs="DejaVuSerifCondensed"/>
          <w:kern w:val="0"/>
          <w:sz w:val="18"/>
          <w:szCs w:val="18"/>
        </w:rPr>
        <w:t>) uit te draaien, waarom is er goedkeuring verleend als het systeem nog niet gereed is, terwijl dezelfde UPO overzichten voor en na transitie met de deelnemers moeten worden gedeeld in de transitie</w:t>
      </w:r>
      <w:r>
        <w:rPr>
          <w:rFonts w:ascii="Verdana" w:hAnsi="Verdana" w:eastAsia="DejaVuSerifCondensed" w:cs="DejaVuSerifCondensed"/>
          <w:kern w:val="0"/>
          <w:sz w:val="18"/>
          <w:szCs w:val="18"/>
        </w:rPr>
        <w:t>-</w:t>
      </w:r>
      <w:r w:rsidRPr="00042886">
        <w:rPr>
          <w:rFonts w:ascii="Verdana" w:hAnsi="Verdana" w:eastAsia="DejaVuSerifCondensed" w:cs="DejaVuSerifCondensed"/>
          <w:kern w:val="0"/>
          <w:sz w:val="18"/>
          <w:szCs w:val="18"/>
        </w:rPr>
        <w:t>informatie?</w:t>
      </w:r>
    </w:p>
    <w:p w:rsidR="001304B7" w:rsidP="001304B7" w:rsidRDefault="001304B7" w14:paraId="0C9BC58E"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001304B7" w:rsidP="001304B7" w:rsidRDefault="001304B7" w14:paraId="4EF69F6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F86127" w:rsidR="001304B7" w:rsidP="001304B7" w:rsidRDefault="001304B7" w14:paraId="664DB21E"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eastAsia="DejaVuSerifCondensed" w:cs="DejaVuSerifCondensed"/>
          <w:color w:val="000000" w:themeColor="text1"/>
          <w:kern w:val="0"/>
          <w:sz w:val="18"/>
          <w:szCs w:val="18"/>
        </w:rPr>
        <w:t xml:space="preserve">Ik kan niet ingaan op toezichtvertrouwelijke vragen over specifieke instellingen die onder toezicht staan bij toezichthouders AFM en DNB. De beoordeling van het invaarverzoek is aan DNB. De vijf aspecten waar DNB het voornemen tot invaren aan toetst en op basis daarvan tot zijn besluit komt, heb ik eerder genoemd in het antwoord op vraag vier. </w:t>
      </w:r>
    </w:p>
    <w:p w:rsidRPr="00042886" w:rsidR="001304B7" w:rsidP="001304B7" w:rsidRDefault="001304B7" w14:paraId="4DB70D3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42886" w:rsidR="001304B7" w:rsidP="001304B7" w:rsidRDefault="001304B7" w14:paraId="02834C3B"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9. Deelt u de mening dat hier sprake lijkt te zijn van een overhaaste en ook onvoldoende</w:t>
      </w:r>
    </w:p>
    <w:p w:rsidRPr="00042886" w:rsidR="001304B7" w:rsidP="001304B7" w:rsidRDefault="001304B7" w14:paraId="021024F7"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vertrouwenwekkende en onderbouwde beslissing van de toezichthouder om in te stemmen met de</w:t>
      </w:r>
    </w:p>
    <w:p w:rsidRPr="00042886" w:rsidR="001304B7" w:rsidP="001304B7" w:rsidRDefault="001304B7" w14:paraId="4066CDAE"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overgang per 1 januari?</w:t>
      </w:r>
    </w:p>
    <w:p w:rsidRPr="00F86127" w:rsidR="001304B7" w:rsidP="001304B7" w:rsidRDefault="001304B7" w14:paraId="42ED74A8" w14:textId="77777777">
      <w:pPr>
        <w:autoSpaceDE w:val="0"/>
        <w:autoSpaceDN w:val="0"/>
        <w:adjustRightInd w:val="0"/>
        <w:spacing w:after="0" w:line="240" w:lineRule="auto"/>
        <w:rPr>
          <w:rFonts w:ascii="Verdana" w:hAnsi="Verdana"/>
          <w:color w:val="000000" w:themeColor="text1"/>
          <w:sz w:val="18"/>
          <w:szCs w:val="18"/>
        </w:rPr>
      </w:pPr>
    </w:p>
    <w:p w:rsidRPr="00F86127" w:rsidR="001304B7" w:rsidP="001304B7" w:rsidRDefault="001304B7" w14:paraId="2AA12B2C" w14:textId="77777777">
      <w:pPr>
        <w:autoSpaceDE w:val="0"/>
        <w:autoSpaceDN w:val="0"/>
        <w:adjustRightInd w:val="0"/>
        <w:spacing w:after="0" w:line="240" w:lineRule="auto"/>
        <w:rPr>
          <w:rFonts w:ascii="Verdana" w:hAnsi="Verdana"/>
          <w:color w:val="000000" w:themeColor="text1"/>
          <w:sz w:val="18"/>
          <w:szCs w:val="18"/>
        </w:rPr>
      </w:pPr>
      <w:r w:rsidRPr="00F86127">
        <w:rPr>
          <w:rFonts w:ascii="Verdana" w:hAnsi="Verdana"/>
          <w:color w:val="000000" w:themeColor="text1"/>
          <w:sz w:val="18"/>
          <w:szCs w:val="18"/>
        </w:rPr>
        <w:t xml:space="preserve">Uitgangspunt van de Wet toekomst pensioenen is dat pensioenregelingen naar een van de nieuwe pensioenregelingen worden omgezet en dat zowel bestaande als toekomstige opbouw van pensioen wordt overgezet (invaren), tenzij dit onevenredig nadelige gevolgen heeft voor bepaalde deelnemers. Als ze gaan overstappen zijn sociale partners wettelijk verplicht hierover arbeidsvoorwaardelijke afspraken te maken en vast te leggen in het transitieplan. Verder zijn er wettelijke waarborgen die erop toezien dat de transitie evenwichtig wordt ingericht </w:t>
      </w:r>
      <w:r w:rsidRPr="00F86127">
        <w:rPr>
          <w:rStyle w:val="cf01"/>
          <w:rFonts w:ascii="Verdana" w:hAnsi="Verdana"/>
          <w:color w:val="000000" w:themeColor="text1"/>
        </w:rPr>
        <w:t xml:space="preserve">en dat pensioenuitvoerders deze transitie ook op operationele beheerste wijze kunnen uitvoeren en dat </w:t>
      </w:r>
      <w:r w:rsidRPr="00F86127">
        <w:rPr>
          <w:rFonts w:ascii="Verdana" w:hAnsi="Verdana"/>
          <w:color w:val="000000" w:themeColor="text1"/>
          <w:sz w:val="18"/>
          <w:szCs w:val="18"/>
        </w:rPr>
        <w:t>p</w:t>
      </w:r>
      <w:r w:rsidRPr="00F86127">
        <w:rPr>
          <w:rFonts w:ascii="Verdana" w:hAnsi="Verdana" w:cs="Arial"/>
          <w:color w:val="000000" w:themeColor="text1"/>
          <w:sz w:val="18"/>
          <w:szCs w:val="18"/>
          <w:shd w:val="clear" w:color="auto" w:fill="FAFAFC"/>
        </w:rPr>
        <w:t>ensioenfondsen hun organisatie zó inrichten dat een beheerste bedrijfsvoering gewaarborgd is. Dat betekent dat het pensioenfonds risico’s die bestaan bij de uitvoering van pensioenregelingen in kaart brengt en beleid formuleert om deze risico’s</w:t>
      </w:r>
      <w:r>
        <w:rPr>
          <w:rFonts w:ascii="Verdana" w:hAnsi="Verdana" w:cs="Arial"/>
          <w:color w:val="000000" w:themeColor="text1"/>
          <w:sz w:val="18"/>
          <w:szCs w:val="18"/>
          <w:shd w:val="clear" w:color="auto" w:fill="FAFAFC"/>
        </w:rPr>
        <w:t xml:space="preserve"> adequaat</w:t>
      </w:r>
      <w:r w:rsidRPr="00F86127">
        <w:rPr>
          <w:rFonts w:ascii="Verdana" w:hAnsi="Verdana" w:cs="Arial"/>
          <w:color w:val="000000" w:themeColor="text1"/>
          <w:sz w:val="18"/>
          <w:szCs w:val="18"/>
          <w:shd w:val="clear" w:color="auto" w:fill="FAFAFC"/>
        </w:rPr>
        <w:t xml:space="preserve"> te beheersen</w:t>
      </w:r>
      <w:r w:rsidRPr="00F86127">
        <w:rPr>
          <w:rFonts w:ascii="Verdana" w:hAnsi="Verdana"/>
          <w:color w:val="000000" w:themeColor="text1"/>
          <w:sz w:val="18"/>
          <w:szCs w:val="18"/>
        </w:rPr>
        <w:t>.</w:t>
      </w:r>
      <w:r w:rsidRPr="00F86127">
        <w:rPr>
          <w:rStyle w:val="Voetnootmarkering"/>
          <w:rFonts w:ascii="Verdana" w:hAnsi="Verdana"/>
          <w:color w:val="000000" w:themeColor="text1"/>
          <w:sz w:val="18"/>
          <w:szCs w:val="18"/>
        </w:rPr>
        <w:footnoteReference w:id="4"/>
      </w:r>
      <w:r w:rsidRPr="00F86127">
        <w:rPr>
          <w:rFonts w:ascii="Verdana" w:hAnsi="Verdana"/>
          <w:color w:val="000000" w:themeColor="text1"/>
          <w:sz w:val="18"/>
          <w:szCs w:val="18"/>
        </w:rPr>
        <w:t xml:space="preserve"> </w:t>
      </w:r>
    </w:p>
    <w:p w:rsidRPr="00F86127" w:rsidR="001304B7" w:rsidP="001304B7" w:rsidRDefault="001304B7" w14:paraId="0401FE2C"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F86127">
        <w:rPr>
          <w:rFonts w:ascii="Verdana" w:hAnsi="Verdana"/>
          <w:color w:val="000000" w:themeColor="text1"/>
          <w:sz w:val="18"/>
          <w:szCs w:val="18"/>
        </w:rPr>
        <w:t xml:space="preserve">DNB toetst het invaarbesluit aan de eerder genoemde wettelijke criteria. </w:t>
      </w:r>
      <w:r>
        <w:rPr>
          <w:rFonts w:ascii="Verdana" w:hAnsi="Verdana"/>
          <w:color w:val="000000" w:themeColor="text1"/>
          <w:sz w:val="18"/>
          <w:szCs w:val="18"/>
        </w:rPr>
        <w:t xml:space="preserve">DNB heeft een verklaring van geen bezwaar afgegeven. </w:t>
      </w:r>
      <w:r w:rsidRPr="00F86127">
        <w:rPr>
          <w:rFonts w:ascii="Verdana" w:hAnsi="Verdana"/>
          <w:color w:val="000000" w:themeColor="text1"/>
          <w:sz w:val="18"/>
          <w:szCs w:val="18"/>
        </w:rPr>
        <w:t xml:space="preserve">Daarmee ontstaat voor het bestuur van het pensioenfonds de mogelijkheid te besluiten tot invaren over te gaan. </w:t>
      </w:r>
    </w:p>
    <w:p w:rsidRPr="00042886" w:rsidR="001304B7" w:rsidP="001304B7" w:rsidRDefault="001304B7" w14:paraId="5B80808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42886" w:rsidR="001304B7" w:rsidP="001304B7" w:rsidRDefault="001304B7" w14:paraId="6BCF8AC4"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10. Ook staat vermeld dat de deelnemersgegevens nog niet zijn ingeladen en dat gevolg is dat</w:t>
      </w:r>
    </w:p>
    <w:p w:rsidRPr="00042886" w:rsidR="001304B7" w:rsidP="001304B7" w:rsidRDefault="001304B7" w14:paraId="140B653C"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deelnemers die per 1 januari overgaan pas in het tweede kwartaal van 2025 een overzicht met</w:t>
      </w:r>
    </w:p>
    <w:p w:rsidRPr="00042886" w:rsidR="001304B7" w:rsidP="001304B7" w:rsidRDefault="001304B7" w14:paraId="14377528"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definitieve bedragen krijgen waaruit blijkt hoe deze overgang voor hun heeft uitgewerkt, deelt u de mening dat dit niet acceptabel is?</w:t>
      </w:r>
    </w:p>
    <w:p w:rsidRPr="00F86127" w:rsidR="001304B7" w:rsidP="001304B7" w:rsidRDefault="001304B7" w14:paraId="2E964883"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0F5263" w:rsidR="001304B7" w:rsidP="001304B7" w:rsidRDefault="001304B7" w14:paraId="5668A048" w14:textId="77777777">
      <w:pPr>
        <w:autoSpaceDE w:val="0"/>
        <w:autoSpaceDN w:val="0"/>
        <w:adjustRightInd w:val="0"/>
        <w:spacing w:after="0" w:line="240" w:lineRule="auto"/>
        <w:rPr>
          <w:rFonts w:ascii="Verdana" w:hAnsi="Verdana"/>
          <w:color w:val="000000" w:themeColor="text1"/>
          <w:sz w:val="18"/>
          <w:szCs w:val="18"/>
        </w:rPr>
      </w:pPr>
      <w:r w:rsidRPr="00F86127">
        <w:rPr>
          <w:rFonts w:ascii="Verdana" w:hAnsi="Verdana"/>
          <w:color w:val="000000" w:themeColor="text1"/>
          <w:sz w:val="18"/>
          <w:szCs w:val="18"/>
        </w:rPr>
        <w:t xml:space="preserve">Voorgeschreven is dat deelnemers na de transitiedatum hun transitie-informatie ontvangen, zoals die definitief is vastgesteld. De wetgever heeft bepaald daar de termijn ‘tijdig’ aan te verbinden. Dat biedt de pensioenuitvoerder ruimte om de definitieve transitie-informatie vast te stellen en daarbij de juiste afwegingen te maken zodat die informatie zowel tijdig als correct is. </w:t>
      </w:r>
    </w:p>
    <w:p w:rsidR="001304B7" w:rsidP="001304B7" w:rsidRDefault="001304B7" w14:paraId="06D9CA1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7B218E" w:rsidR="001304B7" w:rsidP="001304B7" w:rsidRDefault="001304B7" w14:paraId="6C29B4D5"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 xml:space="preserve">11. </w:t>
      </w:r>
      <w:r w:rsidRPr="007B218E">
        <w:rPr>
          <w:rFonts w:ascii="Verdana" w:hAnsi="Verdana" w:eastAsia="DejaVuSerifCondensed" w:cs="DejaVuSerifCondensed"/>
          <w:kern w:val="0"/>
          <w:sz w:val="18"/>
          <w:szCs w:val="18"/>
        </w:rPr>
        <w:t>Beseft u dat als er deelnemersgegevens niet ingeladen zijn in het eerste half jaar dit tot gevolg kan hebben dat deelnemers ook bij tussentijds overlijden of echtscheiding geen informatie kunnen krijgen over de hoogte van hun aanspraak?</w:t>
      </w:r>
    </w:p>
    <w:p w:rsidRPr="007B218E" w:rsidR="001304B7" w:rsidP="001304B7" w:rsidRDefault="001304B7" w14:paraId="170B343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7B218E" w:rsidR="001304B7" w:rsidP="001304B7" w:rsidRDefault="001304B7" w14:paraId="23DFA828"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7B218E">
        <w:rPr>
          <w:rFonts w:ascii="Verdana" w:hAnsi="Verdana" w:eastAsia="DejaVuSerifCondensed" w:cs="DejaVuSerifCondensed"/>
          <w:color w:val="000000" w:themeColor="text1"/>
          <w:kern w:val="0"/>
          <w:sz w:val="18"/>
          <w:szCs w:val="18"/>
        </w:rPr>
        <w:t xml:space="preserve">Uitvoerders kunnen de pensioengevolgen tonen van veranderingen van persoonlijke omstandigheden, ook als de pensioenregeling wijzigt. Er is geen aanleiding die erop wijst dat uitvoerders tijdens de transitie zouden afwijken van de uitvoeringspraktijk zoals die al jaren verloopt en de informatievoorschriften die daarvoor gelden. </w:t>
      </w:r>
    </w:p>
    <w:p w:rsidRPr="00042886" w:rsidR="001304B7" w:rsidP="001304B7" w:rsidRDefault="001304B7" w14:paraId="5642CF8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42886" w:rsidR="001304B7" w:rsidP="001304B7" w:rsidRDefault="001304B7" w14:paraId="5C1FAB48"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12. Deelt u dan ook de mening dat de instemming met invaren alleen kan worden verleend als alle</w:t>
      </w:r>
    </w:p>
    <w:p w:rsidRPr="00B66533" w:rsidR="001304B7" w:rsidP="001304B7" w:rsidRDefault="001304B7" w14:paraId="45FAC910"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B66533">
        <w:rPr>
          <w:rFonts w:ascii="Verdana" w:hAnsi="Verdana" w:eastAsia="DejaVuSerifCondensed" w:cs="DejaVuSerifCondensed"/>
          <w:color w:val="000000" w:themeColor="text1"/>
          <w:kern w:val="0"/>
          <w:sz w:val="18"/>
          <w:szCs w:val="18"/>
        </w:rPr>
        <w:t>processen volledig in plaats zijn?</w:t>
      </w:r>
    </w:p>
    <w:p w:rsidRPr="005F14B7" w:rsidR="001304B7" w:rsidP="001304B7" w:rsidRDefault="001304B7" w14:paraId="410057D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001304B7" w:rsidP="001304B7" w:rsidRDefault="001304B7" w14:paraId="45366B3B" w14:textId="77777777">
      <w:pPr>
        <w:autoSpaceDE w:val="0"/>
        <w:autoSpaceDN w:val="0"/>
        <w:rPr>
          <w:rFonts w:ascii="Verdana" w:hAnsi="Verdana"/>
          <w:color w:val="000000" w:themeColor="text1"/>
          <w:sz w:val="18"/>
          <w:szCs w:val="18"/>
        </w:rPr>
      </w:pPr>
      <w:r w:rsidRPr="005F14B7">
        <w:rPr>
          <w:rFonts w:ascii="Verdana" w:hAnsi="Verdana"/>
          <w:color w:val="000000" w:themeColor="text1"/>
          <w:sz w:val="18"/>
          <w:szCs w:val="18"/>
        </w:rPr>
        <w:t>De wet schrijft voor op welke wijze besluitvorming rond invaren dient plaats te vinden. Sociale</w:t>
      </w:r>
      <w:r w:rsidRPr="00B66533">
        <w:rPr>
          <w:rFonts w:ascii="Verdana" w:hAnsi="Verdana"/>
          <w:color w:val="000000" w:themeColor="text1"/>
          <w:sz w:val="18"/>
          <w:szCs w:val="18"/>
        </w:rPr>
        <w:t xml:space="preserve"> partners bepalen in de arbeidsvoorwaardelijke fase of zij het pensioenfonds willen verzoeken om in te varen. Bij de opdrachtaanvaarding besluit een pensioenfonds of het hiermee akkoord is, of niet. Na dit proces gaat het pensioenfonds aan de slag met het maken van haar implementatie- en communicatieplan. Deze plannen moeten aan de toezichthouders worden toegestuurd. In het implementatieplan wordt door het pensioenfonds ingegaan op onder andere risicoanalyses en beheersingsmaatregelen, de beschikbaarheid en kwaliteit van data, het transitie-</w:t>
      </w:r>
      <w:proofErr w:type="spellStart"/>
      <w:r w:rsidRPr="00B66533">
        <w:rPr>
          <w:rFonts w:ascii="Verdana" w:hAnsi="Verdana"/>
          <w:color w:val="000000" w:themeColor="text1"/>
          <w:sz w:val="18"/>
          <w:szCs w:val="18"/>
        </w:rPr>
        <w:t>ftk</w:t>
      </w:r>
      <w:proofErr w:type="spellEnd"/>
      <w:r w:rsidRPr="00B66533">
        <w:rPr>
          <w:rFonts w:ascii="Verdana" w:hAnsi="Verdana"/>
          <w:color w:val="000000" w:themeColor="text1"/>
          <w:sz w:val="18"/>
          <w:szCs w:val="18"/>
        </w:rPr>
        <w:t xml:space="preserve"> en overbruggingsplan. </w:t>
      </w:r>
    </w:p>
    <w:p w:rsidR="001304B7" w:rsidP="001304B7" w:rsidRDefault="001304B7" w14:paraId="53BCA301" w14:textId="77777777">
      <w:pPr>
        <w:autoSpaceDE w:val="0"/>
        <w:autoSpaceDN w:val="0"/>
        <w:rPr>
          <w:rFonts w:ascii="Verdana" w:hAnsi="Verdana"/>
          <w:color w:val="000000" w:themeColor="text1"/>
          <w:sz w:val="18"/>
          <w:szCs w:val="18"/>
        </w:rPr>
      </w:pPr>
      <w:r w:rsidRPr="00B66533">
        <w:rPr>
          <w:rFonts w:ascii="Verdana" w:hAnsi="Verdana"/>
          <w:color w:val="000000" w:themeColor="text1"/>
          <w:sz w:val="18"/>
          <w:szCs w:val="18"/>
        </w:rPr>
        <w:lastRenderedPageBreak/>
        <w:t xml:space="preserve">Naast het implementatieplan dient het pensioenfonds indien het wenst in te varen een invaarmelding te doen bij de toezichthouder DNB. DNB toetst het verzoek tot invaren aan de wettelijke criteria neergelegd in artikel 46b Besluit uitvoering </w:t>
      </w:r>
      <w:proofErr w:type="spellStart"/>
      <w:r w:rsidRPr="00B66533">
        <w:rPr>
          <w:rFonts w:ascii="Verdana" w:hAnsi="Verdana"/>
          <w:color w:val="000000" w:themeColor="text1"/>
          <w:sz w:val="18"/>
          <w:szCs w:val="18"/>
        </w:rPr>
        <w:t>Pw</w:t>
      </w:r>
      <w:proofErr w:type="spellEnd"/>
      <w:r w:rsidRPr="00B66533">
        <w:rPr>
          <w:rFonts w:ascii="Verdana" w:hAnsi="Verdana"/>
          <w:color w:val="000000" w:themeColor="text1"/>
          <w:sz w:val="18"/>
          <w:szCs w:val="18"/>
        </w:rPr>
        <w:t xml:space="preserve"> en </w:t>
      </w:r>
      <w:proofErr w:type="spellStart"/>
      <w:r w:rsidRPr="00B66533">
        <w:rPr>
          <w:rFonts w:ascii="Verdana" w:hAnsi="Verdana"/>
          <w:color w:val="000000" w:themeColor="text1"/>
          <w:sz w:val="18"/>
          <w:szCs w:val="18"/>
        </w:rPr>
        <w:t>Wvb</w:t>
      </w:r>
      <w:proofErr w:type="spellEnd"/>
      <w:r w:rsidRPr="00B66533">
        <w:rPr>
          <w:rFonts w:ascii="Verdana" w:hAnsi="Verdana"/>
          <w:color w:val="000000" w:themeColor="text1"/>
          <w:sz w:val="18"/>
          <w:szCs w:val="18"/>
        </w:rPr>
        <w:t xml:space="preserve">. </w:t>
      </w:r>
    </w:p>
    <w:p w:rsidRPr="00B66533" w:rsidR="001304B7" w:rsidP="001304B7" w:rsidRDefault="001304B7" w14:paraId="06C63EC6" w14:textId="77777777">
      <w:pPr>
        <w:autoSpaceDE w:val="0"/>
        <w:autoSpaceDN w:val="0"/>
        <w:rPr>
          <w:rFonts w:ascii="Verdana" w:hAnsi="Verdana"/>
          <w:color w:val="000000" w:themeColor="text1"/>
          <w:sz w:val="18"/>
          <w:szCs w:val="18"/>
        </w:rPr>
      </w:pPr>
    </w:p>
    <w:p w:rsidRPr="00B66533" w:rsidR="001304B7" w:rsidP="001304B7" w:rsidRDefault="001304B7" w14:paraId="7E62EA7F"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B66533">
        <w:rPr>
          <w:rFonts w:ascii="Verdana" w:hAnsi="Verdana" w:eastAsia="DejaVuSerifCondensed" w:cs="DejaVuSerifCondensed"/>
          <w:color w:val="000000" w:themeColor="text1"/>
          <w:kern w:val="0"/>
          <w:sz w:val="18"/>
          <w:szCs w:val="18"/>
        </w:rPr>
        <w:t>13. Bent u bekend met het artikel 'Inhoud pensioenpot straks zichtbaar, de rekensom niet' uit het AD van 22 november 2024? 2)</w:t>
      </w:r>
    </w:p>
    <w:p w:rsidRPr="00B66533" w:rsidR="001304B7" w:rsidP="001304B7" w:rsidRDefault="001304B7" w14:paraId="33CB0FA9"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B66533" w:rsidR="001304B7" w:rsidP="001304B7" w:rsidRDefault="001304B7" w14:paraId="10249440"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B66533">
        <w:rPr>
          <w:rFonts w:ascii="Verdana" w:hAnsi="Verdana" w:eastAsia="DejaVuSerifCondensed" w:cs="DejaVuSerifCondensed"/>
          <w:color w:val="000000" w:themeColor="text1"/>
          <w:kern w:val="0"/>
          <w:sz w:val="18"/>
          <w:szCs w:val="18"/>
        </w:rPr>
        <w:t>Ja, daar ben ik mee bekend.</w:t>
      </w:r>
    </w:p>
    <w:p w:rsidRPr="00B66533" w:rsidR="001304B7" w:rsidP="001304B7" w:rsidRDefault="001304B7" w14:paraId="66580429"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B66533" w:rsidR="001304B7" w:rsidP="001304B7" w:rsidRDefault="001304B7" w14:paraId="59A4797A"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B66533">
        <w:rPr>
          <w:rFonts w:ascii="Verdana" w:hAnsi="Verdana" w:eastAsia="DejaVuSerifCondensed" w:cs="DejaVuSerifCondensed"/>
          <w:color w:val="000000" w:themeColor="text1"/>
          <w:kern w:val="0"/>
          <w:sz w:val="18"/>
          <w:szCs w:val="18"/>
        </w:rPr>
        <w:t>14. Kunt u bevestigen dat hierin staat dat het voor een deelnemer niet te controleren is hoe de</w:t>
      </w:r>
    </w:p>
    <w:p w:rsidRPr="002D7339" w:rsidR="001304B7" w:rsidP="001304B7" w:rsidRDefault="001304B7" w14:paraId="15D51C5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B66533">
        <w:rPr>
          <w:rFonts w:ascii="Verdana" w:hAnsi="Verdana" w:eastAsia="DejaVuSerifCondensed" w:cs="DejaVuSerifCondensed"/>
          <w:color w:val="000000" w:themeColor="text1"/>
          <w:kern w:val="0"/>
          <w:sz w:val="18"/>
          <w:szCs w:val="18"/>
        </w:rPr>
        <w:t xml:space="preserve">persoonlijke pensioenpot is berekend, waarbij </w:t>
      </w:r>
      <w:r w:rsidRPr="00042886">
        <w:rPr>
          <w:rFonts w:ascii="Verdana" w:hAnsi="Verdana" w:eastAsia="DejaVuSerifCondensed" w:cs="DejaVuSerifCondensed"/>
          <w:kern w:val="0"/>
          <w:sz w:val="18"/>
          <w:szCs w:val="18"/>
        </w:rPr>
        <w:t xml:space="preserve">de voorzitter van pensioenfonds PWRI aangeeft: “We hebben gekeken of de methodiek die achter de berekening zit valide is. Je kunt dit persoonlijk niet narekenen.” en verderop ook stelt “Wij denken dat de foutmarge heel erg laag is. Maar nee, je </w:t>
      </w:r>
      <w:r w:rsidRPr="002D7339">
        <w:rPr>
          <w:rFonts w:ascii="Verdana" w:hAnsi="Verdana" w:eastAsia="DejaVuSerifCondensed" w:cs="DejaVuSerifCondensed"/>
          <w:color w:val="000000" w:themeColor="text1"/>
          <w:kern w:val="0"/>
          <w:sz w:val="18"/>
          <w:szCs w:val="18"/>
        </w:rPr>
        <w:t>kunt het inderdaad niet zelf controleren.”?</w:t>
      </w:r>
    </w:p>
    <w:p w:rsidRPr="002D7339" w:rsidR="001304B7" w:rsidP="001304B7" w:rsidRDefault="001304B7" w14:paraId="2BACA8A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2D7339" w:rsidR="001304B7" w:rsidP="001304B7" w:rsidRDefault="001304B7" w14:paraId="19CE8B86" w14:textId="77777777">
      <w:pPr>
        <w:autoSpaceDE w:val="0"/>
        <w:autoSpaceDN w:val="0"/>
        <w:adjustRightInd w:val="0"/>
        <w:spacing w:after="0" w:line="240" w:lineRule="auto"/>
        <w:rPr>
          <w:rFonts w:ascii="Verdana" w:hAnsi="Verdana"/>
          <w:color w:val="000000" w:themeColor="text1"/>
          <w:sz w:val="18"/>
          <w:szCs w:val="18"/>
          <w:lang w:eastAsia="ja-JP"/>
        </w:rPr>
      </w:pPr>
      <w:r w:rsidRPr="002D7339">
        <w:rPr>
          <w:rFonts w:ascii="Verdana" w:hAnsi="Verdana"/>
          <w:color w:val="000000" w:themeColor="text1"/>
          <w:sz w:val="18"/>
          <w:szCs w:val="18"/>
        </w:rPr>
        <w:t>Het krantenartikel geeft aan dat</w:t>
      </w:r>
      <w:r>
        <w:rPr>
          <w:rFonts w:ascii="Verdana" w:hAnsi="Verdana"/>
          <w:color w:val="000000" w:themeColor="text1"/>
          <w:sz w:val="18"/>
          <w:szCs w:val="18"/>
        </w:rPr>
        <w:t xml:space="preserve"> de</w:t>
      </w:r>
      <w:r w:rsidRPr="002D7339">
        <w:rPr>
          <w:rFonts w:ascii="Verdana" w:hAnsi="Verdana"/>
          <w:color w:val="000000" w:themeColor="text1"/>
          <w:sz w:val="18"/>
          <w:szCs w:val="18"/>
        </w:rPr>
        <w:t xml:space="preserve"> </w:t>
      </w:r>
      <w:r w:rsidRPr="002D7339">
        <w:rPr>
          <w:rFonts w:ascii="Verdana" w:hAnsi="Verdana"/>
          <w:color w:val="000000" w:themeColor="text1"/>
          <w:sz w:val="18"/>
          <w:szCs w:val="18"/>
          <w:lang w:eastAsia="ja-JP"/>
        </w:rPr>
        <w:t>voorzitter van pensioenfonds PWRI dit gezegd heeft: ‘We hebben gekeken of de methodiek die achter de berekening zit valide is. Je kunt dit persoonlijk niet narekenen. Dat hebben we ook nooit beloofd’. Verder staat in het krantenartikel dat ze dit gezegd heeft: ‘Wij denken dat de foutmarge heel erg laag is. Maar nee, je kunt het inderdaad niet zelf controleren. Maar dat kan in het huidige stelsel ook niet. Daarin verandert er dus niets’.</w:t>
      </w:r>
    </w:p>
    <w:p w:rsidRPr="002D7339" w:rsidR="001304B7" w:rsidP="001304B7" w:rsidRDefault="001304B7" w14:paraId="23CB5565" w14:textId="77777777">
      <w:pPr>
        <w:autoSpaceDE w:val="0"/>
        <w:autoSpaceDN w:val="0"/>
        <w:adjustRightInd w:val="0"/>
        <w:spacing w:after="0" w:line="240" w:lineRule="auto"/>
        <w:rPr>
          <w:rFonts w:ascii="Verdana" w:hAnsi="Verdana"/>
          <w:color w:val="000000" w:themeColor="text1"/>
          <w:sz w:val="18"/>
          <w:szCs w:val="18"/>
          <w:lang w:eastAsia="ja-JP"/>
        </w:rPr>
      </w:pPr>
    </w:p>
    <w:p w:rsidRPr="002D7339" w:rsidR="001304B7" w:rsidP="001304B7" w:rsidRDefault="001304B7" w14:paraId="4A97C2A1" w14:textId="77777777">
      <w:pPr>
        <w:autoSpaceDE w:val="0"/>
        <w:autoSpaceDN w:val="0"/>
        <w:adjustRightInd w:val="0"/>
        <w:spacing w:after="0" w:line="240" w:lineRule="auto"/>
        <w:rPr>
          <w:rFonts w:ascii="Verdana" w:hAnsi="Verdana"/>
          <w:color w:val="000000" w:themeColor="text1"/>
          <w:sz w:val="18"/>
          <w:szCs w:val="18"/>
          <w:lang w:eastAsia="ja-JP"/>
        </w:rPr>
      </w:pPr>
      <w:r w:rsidRPr="002D7339">
        <w:rPr>
          <w:rFonts w:ascii="Verdana" w:hAnsi="Verdana"/>
          <w:color w:val="000000" w:themeColor="text1"/>
          <w:sz w:val="18"/>
          <w:szCs w:val="18"/>
          <w:lang w:eastAsia="ja-JP"/>
        </w:rPr>
        <w:t>Aanvullend op bovenstaande is het relevant om aan te geven dat:</w:t>
      </w:r>
    </w:p>
    <w:p w:rsidR="001304B7" w:rsidP="001304B7" w:rsidRDefault="001304B7" w14:paraId="3B128A82" w14:textId="77777777">
      <w:pPr>
        <w:pStyle w:val="pf0"/>
        <w:spacing w:before="0" w:beforeAutospacing="0" w:after="0" w:afterAutospacing="0"/>
        <w:rPr>
          <w:rStyle w:val="cf01"/>
          <w:rFonts w:ascii="Verdana" w:hAnsi="Verdana"/>
          <w:color w:val="000000" w:themeColor="text1"/>
        </w:rPr>
      </w:pPr>
    </w:p>
    <w:p w:rsidR="001304B7" w:rsidP="001304B7" w:rsidRDefault="001304B7" w14:paraId="515865E8" w14:textId="77777777">
      <w:pPr>
        <w:pStyle w:val="pf0"/>
        <w:numPr>
          <w:ilvl w:val="0"/>
          <w:numId w:val="2"/>
        </w:numPr>
        <w:spacing w:before="0" w:beforeAutospacing="0" w:after="0" w:afterAutospacing="0"/>
        <w:rPr>
          <w:rFonts w:ascii="Verdana" w:hAnsi="Verdana" w:cs="Arial"/>
          <w:color w:val="000000" w:themeColor="text1"/>
          <w:sz w:val="20"/>
          <w:szCs w:val="20"/>
        </w:rPr>
      </w:pPr>
      <w:r w:rsidRPr="002D7339">
        <w:rPr>
          <w:rStyle w:val="cf01"/>
          <w:rFonts w:ascii="Verdana" w:hAnsi="Verdana"/>
          <w:color w:val="000000" w:themeColor="text1"/>
        </w:rPr>
        <w:t>wettelijk eisen gesteld worden aan de vermogenstoedeling bij het invaren van bestaande pensioenaanspraken en -rechten;</w:t>
      </w:r>
    </w:p>
    <w:p w:rsidR="001304B7" w:rsidP="001304B7" w:rsidRDefault="001304B7" w14:paraId="474A5677" w14:textId="77777777">
      <w:pPr>
        <w:pStyle w:val="pf0"/>
        <w:numPr>
          <w:ilvl w:val="0"/>
          <w:numId w:val="2"/>
        </w:numPr>
        <w:spacing w:before="0" w:beforeAutospacing="0" w:after="0" w:afterAutospacing="0"/>
        <w:rPr>
          <w:rFonts w:ascii="Verdana" w:hAnsi="Verdana" w:cs="Arial"/>
          <w:color w:val="000000" w:themeColor="text1"/>
          <w:sz w:val="20"/>
          <w:szCs w:val="20"/>
        </w:rPr>
      </w:pPr>
      <w:r w:rsidRPr="002A00FB">
        <w:rPr>
          <w:rStyle w:val="cf01"/>
          <w:rFonts w:ascii="Verdana" w:hAnsi="Verdana"/>
          <w:color w:val="000000" w:themeColor="text1"/>
        </w:rPr>
        <w:t>wettelijke eisen gesteld worden aan de manier waarop berekeningen tot stand komen die hierbij gebruikt worden;</w:t>
      </w:r>
    </w:p>
    <w:p w:rsidR="001304B7" w:rsidP="001304B7" w:rsidRDefault="001304B7" w14:paraId="09E3DD43" w14:textId="77777777">
      <w:pPr>
        <w:pStyle w:val="pf0"/>
        <w:numPr>
          <w:ilvl w:val="0"/>
          <w:numId w:val="2"/>
        </w:numPr>
        <w:spacing w:before="0" w:beforeAutospacing="0" w:after="0" w:afterAutospacing="0"/>
        <w:rPr>
          <w:rFonts w:ascii="Verdana" w:hAnsi="Verdana" w:cs="Arial"/>
          <w:color w:val="000000" w:themeColor="text1"/>
          <w:sz w:val="20"/>
          <w:szCs w:val="20"/>
        </w:rPr>
      </w:pPr>
      <w:r w:rsidRPr="002A00FB">
        <w:rPr>
          <w:rStyle w:val="cf01"/>
          <w:rFonts w:ascii="Verdana" w:hAnsi="Verdana"/>
          <w:color w:val="000000" w:themeColor="text1"/>
        </w:rPr>
        <w:t>wettelijke eisen gesteld worden aan datakwaliteit van gegevens die gebruikt worden;</w:t>
      </w:r>
    </w:p>
    <w:p w:rsidR="001304B7" w:rsidP="001304B7" w:rsidRDefault="001304B7" w14:paraId="05AC1881" w14:textId="77777777">
      <w:pPr>
        <w:pStyle w:val="pf0"/>
        <w:numPr>
          <w:ilvl w:val="0"/>
          <w:numId w:val="2"/>
        </w:numPr>
        <w:spacing w:before="0" w:beforeAutospacing="0" w:after="0" w:afterAutospacing="0"/>
        <w:rPr>
          <w:rStyle w:val="cf01"/>
          <w:rFonts w:ascii="Verdana" w:hAnsi="Verdana" w:cs="Arial"/>
          <w:color w:val="000000" w:themeColor="text1"/>
          <w:sz w:val="20"/>
          <w:szCs w:val="20"/>
        </w:rPr>
      </w:pPr>
      <w:r w:rsidRPr="002A00FB">
        <w:rPr>
          <w:rStyle w:val="cf01"/>
          <w:rFonts w:ascii="Verdana" w:hAnsi="Verdana"/>
          <w:color w:val="000000" w:themeColor="text1"/>
        </w:rPr>
        <w:t>Pensioenuitvoerders dienen plausibiliteitscontrole</w:t>
      </w:r>
      <w:r>
        <w:rPr>
          <w:rStyle w:val="cf01"/>
          <w:rFonts w:ascii="Verdana" w:hAnsi="Verdana"/>
          <w:color w:val="000000" w:themeColor="text1"/>
        </w:rPr>
        <w:t>s</w:t>
      </w:r>
      <w:r w:rsidRPr="002A00FB">
        <w:rPr>
          <w:rStyle w:val="cf01"/>
          <w:rFonts w:ascii="Verdana" w:hAnsi="Verdana"/>
          <w:color w:val="000000" w:themeColor="text1"/>
        </w:rPr>
        <w:t xml:space="preserve"> uit te voeren op de rekenmodellen en daarbij moeten zij de sleutelfunctiehouders actuarieel en risicobeheer betrekken. De modellen voor kwantitatieve analyse dienen gevalideerd te worden. DNB heeft hier </w:t>
      </w:r>
      <w:proofErr w:type="spellStart"/>
      <w:r w:rsidRPr="002A00FB">
        <w:rPr>
          <w:rStyle w:val="cf01"/>
          <w:rFonts w:ascii="Verdana" w:hAnsi="Verdana"/>
          <w:color w:val="000000" w:themeColor="text1"/>
        </w:rPr>
        <w:t>good</w:t>
      </w:r>
      <w:proofErr w:type="spellEnd"/>
      <w:r w:rsidRPr="002A00FB">
        <w:rPr>
          <w:rStyle w:val="cf01"/>
          <w:rFonts w:ascii="Verdana" w:hAnsi="Verdana"/>
          <w:color w:val="000000" w:themeColor="text1"/>
        </w:rPr>
        <w:t xml:space="preserve"> </w:t>
      </w:r>
      <w:proofErr w:type="spellStart"/>
      <w:r w:rsidRPr="002A00FB">
        <w:rPr>
          <w:rStyle w:val="cf01"/>
          <w:rFonts w:ascii="Verdana" w:hAnsi="Verdana"/>
          <w:color w:val="000000" w:themeColor="text1"/>
        </w:rPr>
        <w:t>practices</w:t>
      </w:r>
      <w:proofErr w:type="spellEnd"/>
      <w:r w:rsidRPr="002A00FB">
        <w:rPr>
          <w:rStyle w:val="cf01"/>
          <w:rFonts w:ascii="Verdana" w:hAnsi="Verdana"/>
          <w:color w:val="000000" w:themeColor="text1"/>
        </w:rPr>
        <w:t xml:space="preserve"> voor opgesteld.</w:t>
      </w:r>
      <w:r w:rsidRPr="002D7339">
        <w:rPr>
          <w:rStyle w:val="Voetnootmarkering"/>
          <w:rFonts w:ascii="Verdana" w:hAnsi="Verdana" w:cs="Segoe UI" w:eastAsiaTheme="majorEastAsia"/>
          <w:color w:val="000000" w:themeColor="text1"/>
          <w:sz w:val="18"/>
          <w:szCs w:val="18"/>
        </w:rPr>
        <w:footnoteReference w:id="5"/>
      </w:r>
    </w:p>
    <w:p w:rsidRPr="002A00FB" w:rsidR="001304B7" w:rsidP="001304B7" w:rsidRDefault="001304B7" w14:paraId="3634B314" w14:textId="77777777">
      <w:pPr>
        <w:pStyle w:val="pf0"/>
        <w:numPr>
          <w:ilvl w:val="0"/>
          <w:numId w:val="2"/>
        </w:numPr>
        <w:spacing w:before="0" w:beforeAutospacing="0" w:after="0" w:afterAutospacing="0"/>
        <w:rPr>
          <w:rFonts w:ascii="Verdana" w:hAnsi="Verdana" w:cs="Arial"/>
          <w:color w:val="000000" w:themeColor="text1"/>
          <w:sz w:val="20"/>
          <w:szCs w:val="20"/>
        </w:rPr>
      </w:pPr>
      <w:r>
        <w:rPr>
          <w:rStyle w:val="cf01"/>
          <w:rFonts w:ascii="Verdana" w:hAnsi="Verdana"/>
          <w:color w:val="000000" w:themeColor="text1"/>
        </w:rPr>
        <w:t>D</w:t>
      </w:r>
      <w:r w:rsidRPr="002A00FB">
        <w:rPr>
          <w:rStyle w:val="cf01"/>
          <w:rFonts w:ascii="Verdana" w:hAnsi="Verdana"/>
          <w:color w:val="000000" w:themeColor="text1"/>
        </w:rPr>
        <w:t xml:space="preserve">eelnemers kunnen altijd inzage in de individuele berekeningen </w:t>
      </w:r>
      <w:r>
        <w:rPr>
          <w:rStyle w:val="cf01"/>
          <w:rFonts w:ascii="Verdana" w:hAnsi="Verdana"/>
          <w:color w:val="000000" w:themeColor="text1"/>
        </w:rPr>
        <w:t>vragen</w:t>
      </w:r>
      <w:r w:rsidRPr="002A00FB">
        <w:rPr>
          <w:rStyle w:val="cf01"/>
          <w:rFonts w:ascii="Verdana" w:hAnsi="Verdana"/>
          <w:color w:val="000000" w:themeColor="text1"/>
        </w:rPr>
        <w:t xml:space="preserve"> bij de pensioenuitvoerder, en navragen hoe deze tot stand is gekomen.</w:t>
      </w:r>
    </w:p>
    <w:p w:rsidRPr="00042886" w:rsidR="001304B7" w:rsidP="001304B7" w:rsidRDefault="001304B7" w14:paraId="1EC6D22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42886" w:rsidR="001304B7" w:rsidP="001304B7" w:rsidRDefault="001304B7" w14:paraId="4C799589" w14:textId="77777777">
      <w:pPr>
        <w:autoSpaceDE w:val="0"/>
        <w:autoSpaceDN w:val="0"/>
        <w:adjustRightInd w:val="0"/>
        <w:spacing w:after="0" w:line="240" w:lineRule="auto"/>
        <w:rPr>
          <w:rFonts w:ascii="Verdana" w:hAnsi="Verdana" w:eastAsia="DejaVuSerifCondensed" w:cs="DejaVuSerifCondensed"/>
          <w:kern w:val="0"/>
          <w:sz w:val="18"/>
          <w:szCs w:val="18"/>
        </w:rPr>
      </w:pPr>
      <w:r w:rsidRPr="00042886">
        <w:rPr>
          <w:rFonts w:ascii="Verdana" w:hAnsi="Verdana" w:eastAsia="DejaVuSerifCondensed" w:cs="DejaVuSerifCondensed"/>
          <w:kern w:val="0"/>
          <w:sz w:val="18"/>
          <w:szCs w:val="18"/>
        </w:rPr>
        <w:t>15. In hoeverre acht u, mede gegeven de tekst uit dit artikel, dat de wettelijke bepalingen die het invaren reguleren in voldoende mate toegankelijk zijn alsmede in voldoende mate precies en voorzienbaar zijn in hun toepassing, zo moeten de gevolgen van het invaren voorzienbaar zijn? Is een individu voldoende in staat om de gevolgen van het invaren goed in te kunnen schatten en kunt u dit nader toelichten?</w:t>
      </w:r>
    </w:p>
    <w:p w:rsidRPr="00042886" w:rsidR="001304B7" w:rsidP="001304B7" w:rsidRDefault="001304B7" w14:paraId="6F6A8168" w14:textId="77777777">
      <w:pPr>
        <w:autoSpaceDE w:val="0"/>
        <w:autoSpaceDN w:val="0"/>
        <w:adjustRightInd w:val="0"/>
        <w:spacing w:after="0" w:line="240" w:lineRule="auto"/>
        <w:rPr>
          <w:rFonts w:ascii="Verdana" w:hAnsi="Verdana" w:eastAsia="DejaVuSerifCondensed" w:cs="DejaVuSerifCondensed"/>
          <w:color w:val="0070C0"/>
          <w:kern w:val="0"/>
          <w:sz w:val="18"/>
          <w:szCs w:val="18"/>
        </w:rPr>
      </w:pPr>
    </w:p>
    <w:p w:rsidR="001304B7" w:rsidP="001304B7" w:rsidRDefault="001304B7" w14:paraId="63F36E69"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2237E">
        <w:rPr>
          <w:rFonts w:ascii="Verdana" w:hAnsi="Verdana" w:eastAsia="DejaVuSerifCondensed" w:cs="DejaVuSerifCondensed"/>
          <w:color w:val="000000" w:themeColor="text1"/>
          <w:kern w:val="0"/>
          <w:sz w:val="18"/>
          <w:szCs w:val="18"/>
        </w:rPr>
        <w:t xml:space="preserve">De wettelijke bepalingen over informatieverstrekking veranderen niet ingrijpend door de Wet toekomst pensioenen. Doel en strekking daarvan blijven hetzelfde: pensioencommunicatie moet bewerkstelligen dat de deelnemer weet waar </w:t>
      </w:r>
      <w:r>
        <w:rPr>
          <w:rFonts w:ascii="Verdana" w:hAnsi="Verdana" w:eastAsia="DejaVuSerifCondensed" w:cs="DejaVuSerifCondensed"/>
          <w:color w:val="000000" w:themeColor="text1"/>
          <w:kern w:val="0"/>
          <w:sz w:val="18"/>
          <w:szCs w:val="18"/>
        </w:rPr>
        <w:t>deze</w:t>
      </w:r>
      <w:r w:rsidRPr="0092237E">
        <w:rPr>
          <w:rFonts w:ascii="Verdana" w:hAnsi="Verdana" w:eastAsia="DejaVuSerifCondensed" w:cs="DejaVuSerifCondensed"/>
          <w:color w:val="000000" w:themeColor="text1"/>
          <w:kern w:val="0"/>
          <w:sz w:val="18"/>
          <w:szCs w:val="18"/>
        </w:rPr>
        <w:t xml:space="preserve"> aan toe is, welke keuzemogelijkheden er zijn, welke gevolgen bepaalde gebeurtenissen en keuzes voor het pensioen hebben. Daarnaast heeft informatie ook een verantwoordings- en transparantiefunctie. Dat wordt niet anders in het nieuwe stelsel. De vorm en wijze van de informatieverstrekking is aan </w:t>
      </w:r>
      <w:r>
        <w:rPr>
          <w:rFonts w:ascii="Verdana" w:hAnsi="Verdana" w:eastAsia="DejaVuSerifCondensed" w:cs="DejaVuSerifCondensed"/>
          <w:color w:val="000000" w:themeColor="text1"/>
          <w:kern w:val="0"/>
          <w:sz w:val="18"/>
          <w:szCs w:val="18"/>
        </w:rPr>
        <w:t>het</w:t>
      </w:r>
      <w:r w:rsidRPr="0092237E">
        <w:rPr>
          <w:rFonts w:ascii="Verdana" w:hAnsi="Verdana" w:eastAsia="DejaVuSerifCondensed" w:cs="DejaVuSerifCondensed"/>
          <w:color w:val="000000" w:themeColor="text1"/>
          <w:kern w:val="0"/>
          <w:sz w:val="18"/>
          <w:szCs w:val="18"/>
        </w:rPr>
        <w:t xml:space="preserve"> fonds</w:t>
      </w:r>
      <w:r>
        <w:rPr>
          <w:rFonts w:ascii="Verdana" w:hAnsi="Verdana" w:eastAsia="DejaVuSerifCondensed" w:cs="DejaVuSerifCondensed"/>
          <w:color w:val="000000" w:themeColor="text1"/>
          <w:kern w:val="0"/>
          <w:sz w:val="18"/>
          <w:szCs w:val="18"/>
        </w:rPr>
        <w:t>.</w:t>
      </w:r>
      <w:r w:rsidRPr="0092237E">
        <w:rPr>
          <w:rFonts w:ascii="Verdana" w:hAnsi="Verdana" w:eastAsia="DejaVuSerifCondensed" w:cs="DejaVuSerifCondensed"/>
          <w:color w:val="000000" w:themeColor="text1"/>
          <w:kern w:val="0"/>
          <w:sz w:val="18"/>
          <w:szCs w:val="18"/>
        </w:rPr>
        <w:t xml:space="preserve"> </w:t>
      </w:r>
      <w:r>
        <w:rPr>
          <w:rFonts w:ascii="Verdana" w:hAnsi="Verdana" w:eastAsia="DejaVuSerifCondensed" w:cs="DejaVuSerifCondensed"/>
          <w:color w:val="000000" w:themeColor="text1"/>
          <w:kern w:val="0"/>
          <w:sz w:val="18"/>
          <w:szCs w:val="18"/>
        </w:rPr>
        <w:t>E</w:t>
      </w:r>
      <w:r w:rsidRPr="0092237E">
        <w:rPr>
          <w:rFonts w:ascii="Verdana" w:hAnsi="Verdana" w:eastAsia="DejaVuSerifCondensed" w:cs="DejaVuSerifCondensed"/>
          <w:color w:val="000000" w:themeColor="text1"/>
          <w:kern w:val="0"/>
          <w:sz w:val="18"/>
          <w:szCs w:val="18"/>
        </w:rPr>
        <w:t xml:space="preserve">en fonds heeft immers het beste inzicht in </w:t>
      </w:r>
      <w:r>
        <w:rPr>
          <w:rFonts w:ascii="Verdana" w:hAnsi="Verdana" w:eastAsia="DejaVuSerifCondensed" w:cs="DejaVuSerifCondensed"/>
          <w:color w:val="000000" w:themeColor="text1"/>
          <w:kern w:val="0"/>
          <w:sz w:val="18"/>
          <w:szCs w:val="18"/>
        </w:rPr>
        <w:t>de</w:t>
      </w:r>
      <w:r w:rsidRPr="0092237E">
        <w:rPr>
          <w:rFonts w:ascii="Verdana" w:hAnsi="Verdana" w:eastAsia="DejaVuSerifCondensed" w:cs="DejaVuSerifCondensed"/>
          <w:color w:val="000000" w:themeColor="text1"/>
          <w:kern w:val="0"/>
          <w:sz w:val="18"/>
          <w:szCs w:val="18"/>
        </w:rPr>
        <w:t xml:space="preserve"> groepen deelnemers, gewezen deelnemers en gepensioneerden, leeftijdsopbouw daarbinnen en de eigen pensioenregeling. Een belangrijk onderdeel van het communicatiebeleid van een fonds is ook het ver</w:t>
      </w:r>
      <w:r>
        <w:rPr>
          <w:rFonts w:ascii="Verdana" w:hAnsi="Verdana" w:eastAsia="DejaVuSerifCondensed" w:cs="DejaVuSerifCondensed"/>
          <w:color w:val="000000" w:themeColor="text1"/>
          <w:kern w:val="0"/>
          <w:sz w:val="18"/>
          <w:szCs w:val="18"/>
        </w:rPr>
        <w:t>krijgen</w:t>
      </w:r>
      <w:r w:rsidRPr="0092237E">
        <w:rPr>
          <w:rFonts w:ascii="Verdana" w:hAnsi="Verdana" w:eastAsia="DejaVuSerifCondensed" w:cs="DejaVuSerifCondensed"/>
          <w:color w:val="000000" w:themeColor="text1"/>
          <w:kern w:val="0"/>
          <w:sz w:val="18"/>
          <w:szCs w:val="18"/>
        </w:rPr>
        <w:t xml:space="preserve"> van inzicht in die (informatie)behoefte van </w:t>
      </w:r>
      <w:r>
        <w:rPr>
          <w:rFonts w:ascii="Verdana" w:hAnsi="Verdana" w:eastAsia="DejaVuSerifCondensed" w:cs="DejaVuSerifCondensed"/>
          <w:color w:val="000000" w:themeColor="text1"/>
          <w:kern w:val="0"/>
          <w:sz w:val="18"/>
          <w:szCs w:val="18"/>
        </w:rPr>
        <w:t>de</w:t>
      </w:r>
      <w:r w:rsidRPr="0092237E">
        <w:rPr>
          <w:rFonts w:ascii="Verdana" w:hAnsi="Verdana" w:eastAsia="DejaVuSerifCondensed" w:cs="DejaVuSerifCondensed"/>
          <w:color w:val="000000" w:themeColor="text1"/>
          <w:kern w:val="0"/>
          <w:sz w:val="18"/>
          <w:szCs w:val="18"/>
        </w:rPr>
        <w:t xml:space="preserve"> diverse doelgroepen. Hiermee past het fonds de communicatie zoveel mogelijk aan op de naar voren gekomen behoefte. Op grond van de wet moet alle informatie aan deelnemers correct, tijdig, evenwichtig en duidelijk zijn. De AFM geeft hierbij </w:t>
      </w:r>
      <w:proofErr w:type="spellStart"/>
      <w:r w:rsidRPr="0092237E">
        <w:rPr>
          <w:rFonts w:ascii="Verdana" w:hAnsi="Verdana" w:eastAsia="DejaVuSerifCondensed" w:cs="DejaVuSerifCondensed"/>
          <w:color w:val="000000" w:themeColor="text1"/>
          <w:kern w:val="0"/>
          <w:sz w:val="18"/>
          <w:szCs w:val="18"/>
        </w:rPr>
        <w:t>guidance</w:t>
      </w:r>
      <w:proofErr w:type="spellEnd"/>
      <w:r w:rsidRPr="0092237E">
        <w:rPr>
          <w:rFonts w:ascii="Verdana" w:hAnsi="Verdana" w:eastAsia="DejaVuSerifCondensed" w:cs="DejaVuSerifCondensed"/>
          <w:color w:val="000000" w:themeColor="text1"/>
          <w:kern w:val="0"/>
          <w:sz w:val="18"/>
          <w:szCs w:val="18"/>
        </w:rPr>
        <w:t xml:space="preserve"> en houdt toezicht op correcte naleving. Het nieuwe pensioenstelsel dat met de Wet toekomst pensioenen is ingevoerd zet de relatie tussen pensioenfonds en (gewezen) deelnemers en gepensioneerden op informatiegebied in een ander licht. De behoefte aan informatie zal toenemen. Hierop dienen pensioenfondsen vanuit hun zorgplicht in te spelen. </w:t>
      </w:r>
    </w:p>
    <w:p w:rsidR="001304B7" w:rsidP="001304B7" w:rsidRDefault="001304B7" w14:paraId="0CDFA743"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2237E">
        <w:rPr>
          <w:rFonts w:ascii="Verdana" w:hAnsi="Verdana" w:eastAsia="DejaVuSerifCondensed" w:cs="DejaVuSerifCondensed"/>
          <w:color w:val="000000" w:themeColor="text1"/>
          <w:kern w:val="0"/>
          <w:sz w:val="18"/>
          <w:szCs w:val="18"/>
        </w:rPr>
        <w:t xml:space="preserve">Fondsen zullen waarschijnlijk niet alleen meer onderzoek verrichten onder de diverse specifieke groepen van hun populatie naar hun informatiebehoefte. Ook zullen zij gelet op de </w:t>
      </w:r>
      <w:proofErr w:type="spellStart"/>
      <w:r w:rsidRPr="0092237E">
        <w:rPr>
          <w:rFonts w:ascii="Verdana" w:hAnsi="Verdana" w:eastAsia="DejaVuSerifCondensed" w:cs="DejaVuSerifCondensed"/>
          <w:color w:val="000000" w:themeColor="text1"/>
          <w:kern w:val="0"/>
          <w:sz w:val="18"/>
          <w:szCs w:val="18"/>
        </w:rPr>
        <w:t>fondsspecifieke</w:t>
      </w:r>
      <w:proofErr w:type="spellEnd"/>
      <w:r w:rsidRPr="0092237E">
        <w:rPr>
          <w:rFonts w:ascii="Verdana" w:hAnsi="Verdana" w:eastAsia="DejaVuSerifCondensed" w:cs="DejaVuSerifCondensed"/>
          <w:color w:val="000000" w:themeColor="text1"/>
          <w:kern w:val="0"/>
          <w:sz w:val="18"/>
          <w:szCs w:val="18"/>
        </w:rPr>
        <w:t xml:space="preserve"> </w:t>
      </w:r>
      <w:r w:rsidRPr="0092237E">
        <w:rPr>
          <w:rFonts w:ascii="Verdana" w:hAnsi="Verdana" w:eastAsia="DejaVuSerifCondensed" w:cs="DejaVuSerifCondensed"/>
          <w:color w:val="000000" w:themeColor="text1"/>
          <w:kern w:val="0"/>
          <w:sz w:val="18"/>
          <w:szCs w:val="18"/>
        </w:rPr>
        <w:lastRenderedPageBreak/>
        <w:t>kenmerken zoals grootte en financiële positie, weloverwogen keuzes maken in de wijze waarop en de momenten wanneer zij besluiten te communiceren. Uiteraard moet dit plaatsvinden binnen de kaders van wet- en regelgeving</w:t>
      </w:r>
      <w:r>
        <w:rPr>
          <w:rFonts w:ascii="Verdana" w:hAnsi="Verdana" w:eastAsia="DejaVuSerifCondensed" w:cs="DejaVuSerifCondensed"/>
          <w:color w:val="000000" w:themeColor="text1"/>
          <w:kern w:val="0"/>
          <w:sz w:val="18"/>
          <w:szCs w:val="18"/>
        </w:rPr>
        <w:t xml:space="preserve"> en </w:t>
      </w:r>
      <w:proofErr w:type="spellStart"/>
      <w:r>
        <w:rPr>
          <w:rFonts w:ascii="Verdana" w:hAnsi="Verdana" w:eastAsia="DejaVuSerifCondensed" w:cs="DejaVuSerifCondensed"/>
          <w:color w:val="000000" w:themeColor="text1"/>
          <w:kern w:val="0"/>
          <w:sz w:val="18"/>
          <w:szCs w:val="18"/>
        </w:rPr>
        <w:t>toezichtsbepalingen</w:t>
      </w:r>
      <w:proofErr w:type="spellEnd"/>
      <w:r w:rsidRPr="0092237E">
        <w:rPr>
          <w:rFonts w:ascii="Verdana" w:hAnsi="Verdana" w:eastAsia="DejaVuSerifCondensed" w:cs="DejaVuSerifCondensed"/>
          <w:color w:val="000000" w:themeColor="text1"/>
          <w:kern w:val="0"/>
          <w:sz w:val="18"/>
          <w:szCs w:val="18"/>
        </w:rPr>
        <w:t xml:space="preserve">. Die communicatie kan per fonds verschillen. </w:t>
      </w:r>
    </w:p>
    <w:p w:rsidRPr="0092237E" w:rsidR="001304B7" w:rsidP="001304B7" w:rsidRDefault="001304B7" w14:paraId="7B206524"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92237E" w:rsidR="001304B7" w:rsidP="001304B7" w:rsidRDefault="001304B7" w14:paraId="24D511F0"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2237E">
        <w:rPr>
          <w:rFonts w:ascii="Verdana" w:hAnsi="Verdana" w:eastAsia="DejaVuSerifCondensed" w:cs="DejaVuSerifCondensed"/>
          <w:color w:val="000000" w:themeColor="text1"/>
          <w:kern w:val="0"/>
          <w:sz w:val="18"/>
          <w:szCs w:val="18"/>
        </w:rPr>
        <w:t xml:space="preserve">Voor de communicatie bij het invaren zelf is in artikel 150j Pensioenwet in aanvullende regels voorzien, die in het communicatieplan worden opgenomen. De AFM ziet op de communicatieplannen toe. In de communicatieplannen werken pensioenuitvoerders uit hoe ze aan de wettelijke vereisten rondom transitiecommunicatie vorm gaan geven. Overigens kunnen fondsen waar zij dat nodig achten ook daarbuiten hun fondspopulatie of een relevant specifiek deel daarvan informeren. Daarnaast dienen fondsen die willen invaren te zorgen voor een goede borging van datakwaliteit, wat mede van belang is voor de communicatie. Ik acht op basis van het voorstaande en de overige wettelijke bepalingen die het invaren reguleren dat de informatieverstrekking op voldoende toegankelijke wijze door de fondsen </w:t>
      </w:r>
      <w:r>
        <w:rPr>
          <w:rFonts w:ascii="Verdana" w:hAnsi="Verdana" w:eastAsia="DejaVuSerifCondensed" w:cs="DejaVuSerifCondensed"/>
          <w:color w:val="000000" w:themeColor="text1"/>
          <w:kern w:val="0"/>
          <w:sz w:val="18"/>
          <w:szCs w:val="18"/>
        </w:rPr>
        <w:t>kan</w:t>
      </w:r>
      <w:r w:rsidRPr="0092237E">
        <w:rPr>
          <w:rFonts w:ascii="Verdana" w:hAnsi="Verdana" w:eastAsia="DejaVuSerifCondensed" w:cs="DejaVuSerifCondensed"/>
          <w:color w:val="000000" w:themeColor="text1"/>
          <w:kern w:val="0"/>
          <w:sz w:val="18"/>
          <w:szCs w:val="18"/>
        </w:rPr>
        <w:t xml:space="preserve"> worden ingericht.  Ten slotte merk ik op dat het een betrokkene vrij staat om zelf contact op te nemen met het (eigen) pensioenfonds, indien er vragen blijven over de gevolgen van het invaren. Dat kan in algemene zin of over de eigen persoonlijke situatie.</w:t>
      </w:r>
    </w:p>
    <w:p w:rsidRPr="0092237E" w:rsidR="001304B7" w:rsidP="001304B7" w:rsidRDefault="001304B7" w14:paraId="1D1DE168"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92237E" w:rsidR="001304B7" w:rsidP="001304B7" w:rsidRDefault="001304B7" w14:paraId="1E5D159F"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2237E">
        <w:rPr>
          <w:rFonts w:ascii="Verdana" w:hAnsi="Verdana" w:eastAsia="DejaVuSerifCondensed" w:cs="DejaVuSerifCondensed"/>
          <w:color w:val="000000" w:themeColor="text1"/>
          <w:kern w:val="0"/>
          <w:sz w:val="18"/>
          <w:szCs w:val="18"/>
        </w:rPr>
        <w:t>16. De informatievoorziening met betrekking tot de gevolgen van het invaren moet realistisch zijn, zo moeten de gevolgen reëel en juist worden berekend en inzichtelijk worden gemaakt, anders weet men immers niet waar men aan toe is, in hoeverre acht u een individu in staat om te controleren of de berekening voor hem/haar reële en juist is berekend en inzichtelijk is gemaakt en kunt u dit nader toelichten?</w:t>
      </w:r>
    </w:p>
    <w:p w:rsidRPr="0092237E" w:rsidR="001304B7" w:rsidP="001304B7" w:rsidRDefault="001304B7" w14:paraId="74132922"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92237E" w:rsidR="001304B7" w:rsidP="001304B7" w:rsidRDefault="001304B7" w14:paraId="1E1DFC48"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2237E">
        <w:rPr>
          <w:rFonts w:ascii="Verdana" w:hAnsi="Verdana"/>
          <w:color w:val="000000" w:themeColor="text1"/>
          <w:sz w:val="18"/>
          <w:szCs w:val="18"/>
        </w:rPr>
        <w:t>De gevolgen voor deelnemers van het invaren van de bestaande pensioenaanspraken naar een nieuwe pensioenregeling komen er op neer dat de aanspraken van de oude pensioenregeling vervallen en tegelijk aanspraken in de nieuwe regeling ontstaan. De voorschriften voor pensioenuitvoerders om die aanspraken voor het verwacht pensioen te berekenen, zijn wettelijk vastgelegd en veranderen niet. Deelnemers kunnen in beide gevallen die berekening niet maken, maar bijvoorbeeld wel bespreken met een financieel adviseur. Daar is financieel technische en actuariële kennis voor nodig die deelnemers niet (bijna nooit) hebben.</w:t>
      </w:r>
      <w:r w:rsidRPr="0092237E">
        <w:rPr>
          <w:rFonts w:ascii="Verdana" w:hAnsi="Verdana" w:eastAsia="DejaVuSerifCondensed" w:cs="DejaVuSerifCondensed"/>
          <w:color w:val="000000" w:themeColor="text1"/>
          <w:kern w:val="0"/>
          <w:sz w:val="18"/>
          <w:szCs w:val="18"/>
        </w:rPr>
        <w:t xml:space="preserve"> </w:t>
      </w:r>
      <w:r w:rsidRPr="0092237E">
        <w:rPr>
          <w:rStyle w:val="cf01"/>
          <w:rFonts w:ascii="Verdana" w:hAnsi="Verdana"/>
          <w:color w:val="000000" w:themeColor="text1"/>
        </w:rPr>
        <w:t>Deelnemers kunnen altijd inzage in de individuele berekeningen vragen bij de pensioenuitvoerder, en navragen hoe deze tot stand is gekomen. Bij klachten hierover is een interne klachtenprocedure beschikbaar of kan een externe geschillenprocedure gevolgd worden.</w:t>
      </w:r>
    </w:p>
    <w:p w:rsidRPr="0092237E" w:rsidR="001304B7" w:rsidP="001304B7" w:rsidRDefault="001304B7" w14:paraId="7F64249A"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92237E" w:rsidR="001304B7" w:rsidP="001304B7" w:rsidRDefault="001304B7" w14:paraId="3FDD2EF7"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2237E">
        <w:rPr>
          <w:rFonts w:ascii="Verdana" w:hAnsi="Verdana" w:eastAsia="DejaVuSerifCondensed" w:cs="DejaVuSerifCondensed"/>
          <w:color w:val="000000" w:themeColor="text1"/>
          <w:kern w:val="0"/>
          <w:sz w:val="18"/>
          <w:szCs w:val="18"/>
        </w:rPr>
        <w:t>17. Kunt u deze vragen één voor één binnen drie weken beantwoorden?</w:t>
      </w:r>
    </w:p>
    <w:p w:rsidRPr="0092237E" w:rsidR="001304B7" w:rsidP="001304B7" w:rsidRDefault="001304B7" w14:paraId="235F9FDC"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p>
    <w:p w:rsidRPr="0092237E" w:rsidR="001304B7" w:rsidP="001304B7" w:rsidRDefault="001304B7" w14:paraId="26848481"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2237E">
        <w:rPr>
          <w:rFonts w:ascii="Verdana" w:hAnsi="Verdana" w:eastAsia="DejaVuSerifCondensed" w:cs="DejaVuSerifCondensed"/>
          <w:color w:val="000000" w:themeColor="text1"/>
          <w:kern w:val="0"/>
          <w:sz w:val="18"/>
          <w:szCs w:val="18"/>
        </w:rPr>
        <w:t xml:space="preserve">Ik </w:t>
      </w:r>
      <w:r>
        <w:rPr>
          <w:rFonts w:ascii="Verdana" w:hAnsi="Verdana" w:eastAsia="DejaVuSerifCondensed" w:cs="DejaVuSerifCondensed"/>
          <w:color w:val="000000" w:themeColor="text1"/>
          <w:kern w:val="0"/>
          <w:sz w:val="18"/>
          <w:szCs w:val="18"/>
        </w:rPr>
        <w:t>heb</w:t>
      </w:r>
      <w:r w:rsidRPr="0092237E">
        <w:rPr>
          <w:rFonts w:ascii="Verdana" w:hAnsi="Verdana" w:eastAsia="DejaVuSerifCondensed" w:cs="DejaVuSerifCondensed"/>
          <w:color w:val="000000" w:themeColor="text1"/>
          <w:kern w:val="0"/>
          <w:sz w:val="18"/>
          <w:szCs w:val="18"/>
        </w:rPr>
        <w:t xml:space="preserve"> de vragen één voor één </w:t>
      </w:r>
      <w:r>
        <w:rPr>
          <w:rFonts w:ascii="Verdana" w:hAnsi="Verdana" w:eastAsia="DejaVuSerifCondensed" w:cs="DejaVuSerifCondensed"/>
          <w:color w:val="000000" w:themeColor="text1"/>
          <w:kern w:val="0"/>
          <w:sz w:val="18"/>
          <w:szCs w:val="18"/>
        </w:rPr>
        <w:t xml:space="preserve">beantwoord en heb er naar gestreefd dit </w:t>
      </w:r>
      <w:r w:rsidRPr="0092237E">
        <w:rPr>
          <w:rFonts w:ascii="Verdana" w:hAnsi="Verdana" w:eastAsia="DejaVuSerifCondensed" w:cs="DejaVuSerifCondensed"/>
          <w:color w:val="000000" w:themeColor="text1"/>
          <w:kern w:val="0"/>
          <w:sz w:val="18"/>
          <w:szCs w:val="18"/>
        </w:rPr>
        <w:t xml:space="preserve">binnen drie weken te </w:t>
      </w:r>
      <w:r>
        <w:rPr>
          <w:rFonts w:ascii="Verdana" w:hAnsi="Verdana" w:eastAsia="DejaVuSerifCondensed" w:cs="DejaVuSerifCondensed"/>
          <w:color w:val="000000" w:themeColor="text1"/>
          <w:kern w:val="0"/>
          <w:sz w:val="18"/>
          <w:szCs w:val="18"/>
        </w:rPr>
        <w:t>doen</w:t>
      </w:r>
      <w:r w:rsidRPr="0092237E">
        <w:rPr>
          <w:rFonts w:ascii="Verdana" w:hAnsi="Verdana" w:eastAsia="DejaVuSerifCondensed" w:cs="DejaVuSerifCondensed"/>
          <w:color w:val="000000" w:themeColor="text1"/>
          <w:kern w:val="0"/>
          <w:sz w:val="18"/>
          <w:szCs w:val="18"/>
        </w:rPr>
        <w:t xml:space="preserve">. </w:t>
      </w:r>
    </w:p>
    <w:p w:rsidRPr="00042886" w:rsidR="001304B7" w:rsidP="001304B7" w:rsidRDefault="001304B7" w14:paraId="44DC0A9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9944C0" w:rsidR="001304B7" w:rsidP="001304B7" w:rsidRDefault="001304B7" w14:paraId="488E8EB5"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944C0">
        <w:rPr>
          <w:rFonts w:ascii="Verdana" w:hAnsi="Verdana" w:eastAsia="DejaVuSerifCondensed" w:cs="DejaVuSerifCondensed"/>
          <w:color w:val="000000" w:themeColor="text1"/>
          <w:kern w:val="0"/>
          <w:sz w:val="18"/>
          <w:szCs w:val="18"/>
        </w:rPr>
        <w:t xml:space="preserve">1) </w:t>
      </w:r>
      <w:proofErr w:type="spellStart"/>
      <w:r w:rsidRPr="009944C0">
        <w:rPr>
          <w:rFonts w:ascii="Verdana" w:hAnsi="Verdana" w:eastAsia="DejaVuSerifCondensed" w:cs="DejaVuSerifCondensed"/>
          <w:color w:val="000000" w:themeColor="text1"/>
          <w:kern w:val="0"/>
          <w:sz w:val="18"/>
          <w:szCs w:val="18"/>
        </w:rPr>
        <w:t>PensioenPro</w:t>
      </w:r>
      <w:proofErr w:type="spellEnd"/>
      <w:r w:rsidRPr="009944C0">
        <w:rPr>
          <w:rFonts w:ascii="Verdana" w:hAnsi="Verdana" w:eastAsia="DejaVuSerifCondensed" w:cs="DejaVuSerifCondensed"/>
          <w:color w:val="000000" w:themeColor="text1"/>
          <w:kern w:val="0"/>
          <w:sz w:val="18"/>
          <w:szCs w:val="18"/>
        </w:rPr>
        <w:t>, 21 november 2024, 'Koploper PWRI krijgt van DNB duidelijkheid en haalt 1 januari',</w:t>
      </w:r>
    </w:p>
    <w:p w:rsidRPr="009944C0" w:rsidR="001304B7" w:rsidP="001304B7" w:rsidRDefault="001304B7" w14:paraId="20057F69"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944C0">
        <w:rPr>
          <w:rFonts w:ascii="Verdana" w:hAnsi="Verdana" w:eastAsia="DejaVuSerifCondensed" w:cs="DejaVuSerifCondensed"/>
          <w:color w:val="000000" w:themeColor="text1"/>
          <w:kern w:val="0"/>
          <w:sz w:val="18"/>
          <w:szCs w:val="18"/>
        </w:rPr>
        <w:t>(Koploper PWRI krijgt van DNB duidelijkheid en haalt 1 januari | Pensioen Pro).</w:t>
      </w:r>
    </w:p>
    <w:p w:rsidRPr="009944C0" w:rsidR="001304B7" w:rsidP="001304B7" w:rsidRDefault="001304B7" w14:paraId="0DF5A7D4" w14:textId="77777777">
      <w:pPr>
        <w:autoSpaceDE w:val="0"/>
        <w:autoSpaceDN w:val="0"/>
        <w:adjustRightInd w:val="0"/>
        <w:spacing w:after="0" w:line="240" w:lineRule="auto"/>
        <w:rPr>
          <w:rFonts w:ascii="Verdana" w:hAnsi="Verdana" w:eastAsia="DejaVuSerifCondensed" w:cs="DejaVuSerifCondensed"/>
          <w:color w:val="000000" w:themeColor="text1"/>
          <w:kern w:val="0"/>
          <w:sz w:val="18"/>
          <w:szCs w:val="18"/>
        </w:rPr>
      </w:pPr>
      <w:r w:rsidRPr="009944C0">
        <w:rPr>
          <w:rFonts w:ascii="Verdana" w:hAnsi="Verdana" w:eastAsia="DejaVuSerifCondensed" w:cs="DejaVuSerifCondensed"/>
          <w:color w:val="000000" w:themeColor="text1"/>
          <w:kern w:val="0"/>
          <w:sz w:val="18"/>
          <w:szCs w:val="18"/>
        </w:rPr>
        <w:t>2) AD, 22 november 2024, 'Inhoud pensioenpot straks zichtbaar, de rekensom niet'.</w:t>
      </w:r>
    </w:p>
    <w:p w:rsidRPr="00932F63" w:rsidR="001304B7" w:rsidP="001304B7" w:rsidRDefault="001304B7" w14:paraId="24342AD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0071DE" w:rsidRDefault="000071DE" w14:paraId="005C1DC7" w14:textId="77777777"/>
    <w:sectPr w:rsidR="000071DE" w:rsidSect="001304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500B" w14:textId="77777777" w:rsidR="001304B7" w:rsidRDefault="001304B7" w:rsidP="001304B7">
      <w:pPr>
        <w:spacing w:after="0" w:line="240" w:lineRule="auto"/>
      </w:pPr>
      <w:r>
        <w:separator/>
      </w:r>
    </w:p>
  </w:endnote>
  <w:endnote w:type="continuationSeparator" w:id="0">
    <w:p w14:paraId="08F98781" w14:textId="77777777" w:rsidR="001304B7" w:rsidRDefault="001304B7" w:rsidP="0013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C015" w14:textId="77777777" w:rsidR="001304B7" w:rsidRPr="001304B7" w:rsidRDefault="001304B7" w:rsidP="001304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7F02" w14:textId="77777777" w:rsidR="001304B7" w:rsidRPr="001304B7" w:rsidRDefault="001304B7" w:rsidP="001304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8BC3" w14:textId="77777777" w:rsidR="001304B7" w:rsidRPr="001304B7" w:rsidRDefault="001304B7" w:rsidP="001304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3CC1" w14:textId="77777777" w:rsidR="001304B7" w:rsidRDefault="001304B7" w:rsidP="001304B7">
      <w:pPr>
        <w:spacing w:after="0" w:line="240" w:lineRule="auto"/>
      </w:pPr>
      <w:r>
        <w:separator/>
      </w:r>
    </w:p>
  </w:footnote>
  <w:footnote w:type="continuationSeparator" w:id="0">
    <w:p w14:paraId="5AB61153" w14:textId="77777777" w:rsidR="001304B7" w:rsidRDefault="001304B7" w:rsidP="001304B7">
      <w:pPr>
        <w:spacing w:after="0" w:line="240" w:lineRule="auto"/>
      </w:pPr>
      <w:r>
        <w:continuationSeparator/>
      </w:r>
    </w:p>
  </w:footnote>
  <w:footnote w:id="1">
    <w:p w14:paraId="2FFC19F1" w14:textId="77777777" w:rsidR="001304B7" w:rsidRPr="0050246E" w:rsidRDefault="001304B7" w:rsidP="001304B7">
      <w:pPr>
        <w:pStyle w:val="Voetnoottekst"/>
      </w:pPr>
      <w:r>
        <w:rPr>
          <w:rStyle w:val="Voetnootmarkering"/>
        </w:rPr>
        <w:footnoteRef/>
      </w:r>
      <w:r w:rsidRPr="0050246E">
        <w:t xml:space="preserve"> </w:t>
      </w:r>
      <w:r w:rsidRPr="0050246E">
        <w:rPr>
          <w:rFonts w:ascii="Verdana" w:hAnsi="Verdana"/>
          <w:sz w:val="16"/>
          <w:szCs w:val="16"/>
        </w:rPr>
        <w:t>Aanhangsel Handelingen II 2024/25, nr. 268.</w:t>
      </w:r>
    </w:p>
  </w:footnote>
  <w:footnote w:id="2">
    <w:p w14:paraId="757C0412" w14:textId="77777777" w:rsidR="001304B7" w:rsidRPr="0050246E" w:rsidRDefault="001304B7" w:rsidP="001304B7">
      <w:pPr>
        <w:pStyle w:val="Voetnoottekst"/>
      </w:pPr>
      <w:r>
        <w:rPr>
          <w:rStyle w:val="Voetnootmarkering"/>
        </w:rPr>
        <w:footnoteRef/>
      </w:r>
      <w:r w:rsidRPr="0050246E">
        <w:t xml:space="preserve"> </w:t>
      </w:r>
      <w:r w:rsidRPr="0050246E">
        <w:rPr>
          <w:rFonts w:ascii="Verdana" w:hAnsi="Verdana"/>
          <w:sz w:val="16"/>
          <w:szCs w:val="16"/>
        </w:rPr>
        <w:t>Servicedocument Transitiecommunicatie (pensioenfederatie.nl).</w:t>
      </w:r>
    </w:p>
  </w:footnote>
  <w:footnote w:id="3">
    <w:p w14:paraId="31B5185B" w14:textId="77777777" w:rsidR="001304B7" w:rsidRDefault="001304B7" w:rsidP="001304B7">
      <w:pPr>
        <w:pStyle w:val="Voetnoottekst"/>
      </w:pPr>
      <w:r>
        <w:rPr>
          <w:rStyle w:val="Voetnootmarkering"/>
        </w:rPr>
        <w:footnoteRef/>
      </w:r>
      <w:r>
        <w:t xml:space="preserve"> </w:t>
      </w:r>
      <w:r w:rsidRPr="00A27466">
        <w:rPr>
          <w:rFonts w:ascii="Verdana" w:hAnsi="Verdana"/>
          <w:sz w:val="16"/>
          <w:szCs w:val="16"/>
        </w:rPr>
        <w:t>Artikel 150m lid 2 Pensioenwet.</w:t>
      </w:r>
    </w:p>
  </w:footnote>
  <w:footnote w:id="4">
    <w:p w14:paraId="0B74319B" w14:textId="77777777" w:rsidR="001304B7" w:rsidRPr="00B66533" w:rsidRDefault="001304B7" w:rsidP="001304B7">
      <w:pPr>
        <w:pStyle w:val="Voetnoottekst"/>
        <w:rPr>
          <w:rFonts w:ascii="Verdana" w:hAnsi="Verdana"/>
          <w:sz w:val="16"/>
          <w:szCs w:val="16"/>
        </w:rPr>
      </w:pPr>
      <w:r w:rsidRPr="00EF67E3">
        <w:rPr>
          <w:rStyle w:val="Voetnootmarkering"/>
          <w:rFonts w:ascii="Verdana" w:hAnsi="Verdana"/>
          <w:sz w:val="14"/>
          <w:szCs w:val="14"/>
        </w:rPr>
        <w:footnoteRef/>
      </w:r>
      <w:r w:rsidRPr="00EF67E3">
        <w:rPr>
          <w:rFonts w:ascii="Verdana" w:hAnsi="Verdana"/>
          <w:sz w:val="14"/>
          <w:szCs w:val="14"/>
        </w:rPr>
        <w:t xml:space="preserve"> </w:t>
      </w:r>
      <w:r w:rsidRPr="00B66533">
        <w:rPr>
          <w:rFonts w:ascii="Verdana" w:hAnsi="Verdana"/>
          <w:sz w:val="16"/>
          <w:szCs w:val="16"/>
        </w:rPr>
        <w:t>Beheerste bedrijfsvoering en integriteit – Pensioenfondsen | De Nederlandsche Bank</w:t>
      </w:r>
      <w:r>
        <w:rPr>
          <w:rFonts w:ascii="Verdana" w:hAnsi="Verdana"/>
          <w:sz w:val="16"/>
          <w:szCs w:val="16"/>
        </w:rPr>
        <w:t>.</w:t>
      </w:r>
    </w:p>
  </w:footnote>
  <w:footnote w:id="5">
    <w:p w14:paraId="039FB2EC" w14:textId="77777777" w:rsidR="001304B7" w:rsidRDefault="001304B7" w:rsidP="001304B7">
      <w:pPr>
        <w:pStyle w:val="Voetnoottekst"/>
      </w:pPr>
      <w:r>
        <w:rPr>
          <w:rStyle w:val="Voetnootmarkering"/>
        </w:rPr>
        <w:footnoteRef/>
      </w:r>
      <w:r>
        <w:t xml:space="preserve"> </w:t>
      </w:r>
      <w:proofErr w:type="spellStart"/>
      <w:r w:rsidRPr="00B66533">
        <w:rPr>
          <w:rFonts w:ascii="Verdana" w:hAnsi="Verdana"/>
          <w:sz w:val="16"/>
          <w:szCs w:val="16"/>
        </w:rPr>
        <w:t>Good</w:t>
      </w:r>
      <w:proofErr w:type="spellEnd"/>
      <w:r w:rsidRPr="00B66533">
        <w:rPr>
          <w:rFonts w:ascii="Verdana" w:hAnsi="Verdana"/>
          <w:sz w:val="16"/>
          <w:szCs w:val="16"/>
        </w:rPr>
        <w:t xml:space="preserve"> </w:t>
      </w:r>
      <w:proofErr w:type="spellStart"/>
      <w:r w:rsidRPr="00B66533">
        <w:rPr>
          <w:rFonts w:ascii="Verdana" w:hAnsi="Verdana"/>
          <w:sz w:val="16"/>
          <w:szCs w:val="16"/>
        </w:rPr>
        <w:t>practice</w:t>
      </w:r>
      <w:proofErr w:type="spellEnd"/>
      <w:r w:rsidRPr="00B66533">
        <w:rPr>
          <w:rFonts w:ascii="Verdana" w:hAnsi="Verdana"/>
          <w:sz w:val="16"/>
          <w:szCs w:val="16"/>
        </w:rPr>
        <w:t xml:space="preserve"> plausibiliteitscontrole modellen en berekeningen WTP-transitie | De Nederlandsche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AB84" w14:textId="77777777" w:rsidR="001304B7" w:rsidRPr="001304B7" w:rsidRDefault="001304B7" w:rsidP="001304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5B7FD" w14:textId="77777777" w:rsidR="001304B7" w:rsidRPr="001304B7" w:rsidRDefault="001304B7" w:rsidP="001304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01D4" w14:textId="77777777" w:rsidR="001304B7" w:rsidRPr="001304B7" w:rsidRDefault="001304B7" w:rsidP="001304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4B43"/>
    <w:multiLevelType w:val="hybridMultilevel"/>
    <w:tmpl w:val="814E100E"/>
    <w:lvl w:ilvl="0" w:tplc="3D2AD892">
      <w:start w:val="1"/>
      <w:numFmt w:val="lowerLetter"/>
      <w:lvlText w:val="%1."/>
      <w:lvlJc w:val="left"/>
      <w:pPr>
        <w:ind w:left="720" w:hanging="360"/>
      </w:pPr>
    </w:lvl>
    <w:lvl w:ilvl="1" w:tplc="E0026B7C">
      <w:start w:val="1"/>
      <w:numFmt w:val="lowerLetter"/>
      <w:lvlText w:val="%2."/>
      <w:lvlJc w:val="left"/>
      <w:pPr>
        <w:ind w:left="1440" w:hanging="360"/>
      </w:pPr>
    </w:lvl>
    <w:lvl w:ilvl="2" w:tplc="DAF217D4">
      <w:start w:val="1"/>
      <w:numFmt w:val="lowerRoman"/>
      <w:lvlText w:val="%3."/>
      <w:lvlJc w:val="right"/>
      <w:pPr>
        <w:ind w:left="2160" w:hanging="180"/>
      </w:pPr>
    </w:lvl>
    <w:lvl w:ilvl="3" w:tplc="5F62A5A8">
      <w:start w:val="1"/>
      <w:numFmt w:val="decimal"/>
      <w:lvlText w:val="%4."/>
      <w:lvlJc w:val="left"/>
      <w:pPr>
        <w:ind w:left="2880" w:hanging="360"/>
      </w:pPr>
    </w:lvl>
    <w:lvl w:ilvl="4" w:tplc="B10C96F8">
      <w:start w:val="1"/>
      <w:numFmt w:val="lowerLetter"/>
      <w:lvlText w:val="%5."/>
      <w:lvlJc w:val="left"/>
      <w:pPr>
        <w:ind w:left="3600" w:hanging="360"/>
      </w:pPr>
    </w:lvl>
    <w:lvl w:ilvl="5" w:tplc="50A64368">
      <w:start w:val="1"/>
      <w:numFmt w:val="lowerRoman"/>
      <w:lvlText w:val="%6."/>
      <w:lvlJc w:val="right"/>
      <w:pPr>
        <w:ind w:left="4320" w:hanging="180"/>
      </w:pPr>
    </w:lvl>
    <w:lvl w:ilvl="6" w:tplc="5324FC4C">
      <w:start w:val="1"/>
      <w:numFmt w:val="decimal"/>
      <w:lvlText w:val="%7."/>
      <w:lvlJc w:val="left"/>
      <w:pPr>
        <w:ind w:left="5040" w:hanging="360"/>
      </w:pPr>
    </w:lvl>
    <w:lvl w:ilvl="7" w:tplc="78BE8F4C">
      <w:start w:val="1"/>
      <w:numFmt w:val="lowerLetter"/>
      <w:lvlText w:val="%8."/>
      <w:lvlJc w:val="left"/>
      <w:pPr>
        <w:ind w:left="5760" w:hanging="360"/>
      </w:pPr>
    </w:lvl>
    <w:lvl w:ilvl="8" w:tplc="E1F63FBA">
      <w:start w:val="1"/>
      <w:numFmt w:val="lowerRoman"/>
      <w:lvlText w:val="%9."/>
      <w:lvlJc w:val="right"/>
      <w:pPr>
        <w:ind w:left="6480" w:hanging="180"/>
      </w:pPr>
    </w:lvl>
  </w:abstractNum>
  <w:abstractNum w:abstractNumId="1" w15:restartNumberingAfterBreak="0">
    <w:nsid w:val="77344915"/>
    <w:multiLevelType w:val="hybridMultilevel"/>
    <w:tmpl w:val="CE8E9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6760763">
    <w:abstractNumId w:val="0"/>
  </w:num>
  <w:num w:numId="2" w16cid:durableId="192001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B7"/>
    <w:rsid w:val="000071DE"/>
    <w:rsid w:val="001304B7"/>
    <w:rsid w:val="007D145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8232"/>
  <w15:chartTrackingRefBased/>
  <w15:docId w15:val="{1347442E-1E38-4D9F-BFA9-8E141C2B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0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0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04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04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04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04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04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04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04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4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04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04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04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04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04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04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04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04B7"/>
    <w:rPr>
      <w:rFonts w:eastAsiaTheme="majorEastAsia" w:cstheme="majorBidi"/>
      <w:color w:val="272727" w:themeColor="text1" w:themeTint="D8"/>
    </w:rPr>
  </w:style>
  <w:style w:type="paragraph" w:styleId="Titel">
    <w:name w:val="Title"/>
    <w:basedOn w:val="Standaard"/>
    <w:next w:val="Standaard"/>
    <w:link w:val="TitelChar"/>
    <w:uiPriority w:val="10"/>
    <w:qFormat/>
    <w:rsid w:val="00130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4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04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04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04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04B7"/>
    <w:rPr>
      <w:i/>
      <w:iCs/>
      <w:color w:val="404040" w:themeColor="text1" w:themeTint="BF"/>
    </w:rPr>
  </w:style>
  <w:style w:type="paragraph" w:styleId="Lijstalinea">
    <w:name w:val="List Paragraph"/>
    <w:basedOn w:val="Standaard"/>
    <w:uiPriority w:val="34"/>
    <w:qFormat/>
    <w:rsid w:val="001304B7"/>
    <w:pPr>
      <w:ind w:left="720"/>
      <w:contextualSpacing/>
    </w:pPr>
  </w:style>
  <w:style w:type="character" w:styleId="Intensievebenadrukking">
    <w:name w:val="Intense Emphasis"/>
    <w:basedOn w:val="Standaardalinea-lettertype"/>
    <w:uiPriority w:val="21"/>
    <w:qFormat/>
    <w:rsid w:val="001304B7"/>
    <w:rPr>
      <w:i/>
      <w:iCs/>
      <w:color w:val="0F4761" w:themeColor="accent1" w:themeShade="BF"/>
    </w:rPr>
  </w:style>
  <w:style w:type="paragraph" w:styleId="Duidelijkcitaat">
    <w:name w:val="Intense Quote"/>
    <w:basedOn w:val="Standaard"/>
    <w:next w:val="Standaard"/>
    <w:link w:val="DuidelijkcitaatChar"/>
    <w:uiPriority w:val="30"/>
    <w:qFormat/>
    <w:rsid w:val="00130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04B7"/>
    <w:rPr>
      <w:i/>
      <w:iCs/>
      <w:color w:val="0F4761" w:themeColor="accent1" w:themeShade="BF"/>
    </w:rPr>
  </w:style>
  <w:style w:type="character" w:styleId="Intensieveverwijzing">
    <w:name w:val="Intense Reference"/>
    <w:basedOn w:val="Standaardalinea-lettertype"/>
    <w:uiPriority w:val="32"/>
    <w:qFormat/>
    <w:rsid w:val="001304B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304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04B7"/>
    <w:rPr>
      <w:sz w:val="20"/>
      <w:szCs w:val="20"/>
    </w:rPr>
  </w:style>
  <w:style w:type="character" w:styleId="Voetnootmarkering">
    <w:name w:val="footnote reference"/>
    <w:basedOn w:val="Standaardalinea-lettertype"/>
    <w:uiPriority w:val="99"/>
    <w:semiHidden/>
    <w:unhideWhenUsed/>
    <w:rsid w:val="001304B7"/>
    <w:rPr>
      <w:vertAlign w:val="superscript"/>
    </w:rPr>
  </w:style>
  <w:style w:type="character" w:customStyle="1" w:styleId="cf01">
    <w:name w:val="cf01"/>
    <w:basedOn w:val="Standaardalinea-lettertype"/>
    <w:rsid w:val="001304B7"/>
    <w:rPr>
      <w:rFonts w:ascii="Segoe UI" w:hAnsi="Segoe UI" w:cs="Segoe UI" w:hint="default"/>
      <w:sz w:val="18"/>
      <w:szCs w:val="18"/>
    </w:rPr>
  </w:style>
  <w:style w:type="paragraph" w:customStyle="1" w:styleId="pf0">
    <w:name w:val="pf0"/>
    <w:basedOn w:val="Standaard"/>
    <w:rsid w:val="001304B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1304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4B7"/>
  </w:style>
  <w:style w:type="paragraph" w:styleId="Voettekst">
    <w:name w:val="footer"/>
    <w:basedOn w:val="Standaard"/>
    <w:link w:val="VoettekstChar"/>
    <w:uiPriority w:val="99"/>
    <w:unhideWhenUsed/>
    <w:rsid w:val="001304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2924</ap:Words>
  <ap:Characters>16085</ap:Characters>
  <ap:DocSecurity>0</ap:DocSecurity>
  <ap:Lines>134</ap:Lines>
  <ap:Paragraphs>37</ap:Paragraphs>
  <ap:ScaleCrop>false</ap:ScaleCrop>
  <ap:LinksUpToDate>false</ap:LinksUpToDate>
  <ap:CharactersWithSpaces>18972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2024-12-19T11:58:00.0000000Z</dcterms:created>
  <dcterms:modified xsi:type="dcterms:W3CDTF">2024-12-19T11:58:00.0000000Z</dcterms:modified>
  <version/>
  <category/>
</coreProperties>
</file>