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74B4" w:rsidP="000074B4" w:rsidRDefault="000074B4" w14:paraId="548C1EDF" w14:textId="42125276">
      <w:pPr>
        <w:spacing w:line="276" w:lineRule="auto"/>
        <w:rPr>
          <w:b/>
          <w:bCs/>
        </w:rPr>
      </w:pPr>
      <w:r>
        <w:rPr>
          <w:b/>
          <w:bCs/>
        </w:rPr>
        <w:t>AH 890</w:t>
      </w:r>
    </w:p>
    <w:p w:rsidR="000074B4" w:rsidP="000074B4" w:rsidRDefault="000074B4" w14:paraId="0F78FCAA" w14:textId="5F9BD042">
      <w:pPr>
        <w:spacing w:line="276" w:lineRule="auto"/>
        <w:rPr>
          <w:b/>
          <w:bCs/>
        </w:rPr>
      </w:pPr>
      <w:r>
        <w:rPr>
          <w:b/>
          <w:bCs/>
        </w:rPr>
        <w:t>2024Z17410</w:t>
      </w:r>
    </w:p>
    <w:p w:rsidRPr="000074B4" w:rsidR="000074B4" w:rsidP="000074B4" w:rsidRDefault="000074B4" w14:paraId="4EADA570" w14:textId="169327A6">
      <w:pPr>
        <w:rPr>
          <w:rFonts w:ascii="Times New Roman" w:hAnsi="Times New Roman"/>
          <w:sz w:val="24"/>
          <w:szCs w:val="24"/>
        </w:rPr>
      </w:pPr>
      <w:r w:rsidRPr="00A71055">
        <w:rPr>
          <w:rFonts w:ascii="Times New Roman" w:hAnsi="Times New Roman"/>
          <w:bCs/>
          <w:sz w:val="24"/>
          <w:szCs w:val="24"/>
        </w:rPr>
        <w:t>Antwoord van staatssecretaris Coenradie (Justitie en Veiligheid)</w:t>
      </w:r>
      <w:r>
        <w:rPr>
          <w:rFonts w:ascii="Times New Roman" w:hAnsi="Times New Roman"/>
          <w:bCs/>
          <w:sz w:val="24"/>
          <w:szCs w:val="24"/>
        </w:rPr>
        <w:t xml:space="preserve">, mede namens de </w:t>
      </w:r>
      <w:r w:rsidRPr="00D31852">
        <w:rPr>
          <w:rFonts w:ascii="Times New Roman" w:hAnsi="Times New Roman"/>
          <w:sz w:val="24"/>
          <w:szCs w:val="24"/>
        </w:rPr>
        <w:t>staatssecretaris van Volksgezondheid, Welzijn en Sport</w:t>
      </w:r>
      <w:r>
        <w:rPr>
          <w:rFonts w:ascii="Times New Roman" w:hAnsi="Times New Roman"/>
          <w:sz w:val="24"/>
          <w:szCs w:val="24"/>
        </w:rPr>
        <w:t xml:space="preserve"> e</w:t>
      </w:r>
      <w:r>
        <w:rPr>
          <w:rFonts w:ascii="Times New Roman" w:hAnsi="Times New Roman"/>
          <w:bCs/>
          <w:sz w:val="24"/>
          <w:szCs w:val="24"/>
        </w:rPr>
        <w:t xml:space="preserve">n de </w:t>
      </w:r>
      <w:r w:rsidRPr="000074B4">
        <w:rPr>
          <w:rFonts w:ascii="Times New Roman" w:hAnsi="Times New Roman"/>
          <w:bCs/>
          <w:sz w:val="24"/>
          <w:szCs w:val="24"/>
        </w:rPr>
        <w:t>staatssecretaris van Sociale Zaken en Werkgelegenheid</w:t>
      </w:r>
      <w:r w:rsidRPr="00A71055">
        <w:rPr>
          <w:rFonts w:ascii="Times New Roman" w:hAnsi="Times New Roman"/>
          <w:bCs/>
          <w:sz w:val="24"/>
          <w:szCs w:val="24"/>
        </w:rPr>
        <w:t xml:space="preserve"> (ontvangen</w:t>
      </w:r>
      <w:r>
        <w:rPr>
          <w:rFonts w:ascii="Times New Roman" w:hAnsi="Times New Roman"/>
          <w:bCs/>
          <w:sz w:val="24"/>
          <w:szCs w:val="24"/>
        </w:rPr>
        <w:t xml:space="preserve"> 19 december 2024)</w:t>
      </w:r>
    </w:p>
    <w:p w:rsidRPr="000074B4" w:rsidR="000074B4" w:rsidP="000074B4" w:rsidRDefault="000074B4" w14:paraId="689CECDF" w14:textId="5247305C">
      <w:pPr>
        <w:rPr>
          <w:rFonts w:ascii="Times New Roman" w:hAnsi="Times New Roman"/>
          <w:bCs/>
          <w:sz w:val="24"/>
          <w:szCs w:val="24"/>
        </w:rPr>
      </w:pPr>
      <w:r w:rsidRPr="000074B4">
        <w:rPr>
          <w:rFonts w:ascii="Times New Roman" w:hAnsi="Times New Roman"/>
          <w:bCs/>
          <w:sz w:val="24"/>
          <w:szCs w:val="24"/>
        </w:rPr>
        <w:t>Zie ook Aanhangsel Handelingen, vergaderjaar 2024-2025, nr.</w:t>
      </w:r>
      <w:r>
        <w:rPr>
          <w:rFonts w:ascii="Times New Roman" w:hAnsi="Times New Roman"/>
          <w:bCs/>
          <w:sz w:val="24"/>
          <w:szCs w:val="24"/>
        </w:rPr>
        <w:t xml:space="preserve"> 662</w:t>
      </w:r>
    </w:p>
    <w:p w:rsidRPr="00E714E0" w:rsidR="000074B4" w:rsidP="000074B4" w:rsidRDefault="000074B4" w14:paraId="1E893BA3" w14:textId="77777777">
      <w:pPr>
        <w:spacing w:line="276" w:lineRule="auto"/>
      </w:pPr>
      <w:r w:rsidRPr="00E714E0">
        <w:rPr>
          <w:b/>
          <w:bCs/>
        </w:rPr>
        <w:t>Vraag 1</w:t>
      </w:r>
      <w:r w:rsidRPr="00E714E0">
        <w:rPr>
          <w:b/>
          <w:bCs/>
        </w:rPr>
        <w:br/>
        <w:t>Is er bekend of het Openbaar Ministerie (OM) in cassatie is gegaan of zal gaan bij de Hoge Raad in deze zaak? Zo ja, kunt u een stand van zaken over de zaak geven?</w:t>
      </w:r>
      <w:r w:rsidRPr="00E714E0">
        <w:rPr>
          <w:rStyle w:val="Voetnootmarkering"/>
          <w:b/>
          <w:bCs/>
        </w:rPr>
        <w:footnoteReference w:id="1"/>
      </w:r>
      <w:r w:rsidRPr="00E714E0">
        <w:br/>
      </w:r>
      <w:r w:rsidRPr="00E714E0">
        <w:br/>
      </w:r>
      <w:r w:rsidRPr="00E714E0">
        <w:rPr>
          <w:b/>
          <w:bCs/>
        </w:rPr>
        <w:t xml:space="preserve">Antwoord </w:t>
      </w:r>
      <w:r>
        <w:rPr>
          <w:b/>
          <w:bCs/>
        </w:rPr>
        <w:t xml:space="preserve">op vraag </w:t>
      </w:r>
      <w:r w:rsidRPr="00E714E0">
        <w:rPr>
          <w:b/>
          <w:bCs/>
        </w:rPr>
        <w:t>1</w:t>
      </w:r>
      <w:r w:rsidRPr="00E714E0">
        <w:br/>
        <w:t>Het Openbaar Ministerie (OM) is niet in cassatie gegaan.</w:t>
      </w:r>
    </w:p>
    <w:p w:rsidRPr="00E714E0" w:rsidR="000074B4" w:rsidP="000074B4" w:rsidRDefault="000074B4" w14:paraId="11C1A1E7" w14:textId="77777777">
      <w:pPr>
        <w:spacing w:line="276" w:lineRule="auto"/>
        <w:rPr>
          <w:b/>
          <w:bCs/>
        </w:rPr>
      </w:pPr>
      <w:r w:rsidRPr="00E714E0">
        <w:rPr>
          <w:b/>
          <w:bCs/>
        </w:rPr>
        <w:t>Vraag 2</w:t>
      </w:r>
      <w:r w:rsidRPr="00E714E0">
        <w:rPr>
          <w:b/>
          <w:bCs/>
        </w:rPr>
        <w:br/>
        <w:t>Is het OM sinds mijn Kamervragen op 20 april 2023 vaker tot vervolging overgegaan in zaken waar sprake is van oproeping tot vrouwelijke genitale verminking? Zo ja, is er door rechters overgegaan tot veroordeling?</w:t>
      </w:r>
    </w:p>
    <w:p w:rsidRPr="00E714E0" w:rsidR="000074B4" w:rsidP="000074B4" w:rsidRDefault="000074B4" w14:paraId="4C6CCB8C" w14:textId="77777777">
      <w:pPr>
        <w:spacing w:line="276" w:lineRule="auto"/>
      </w:pPr>
      <w:r w:rsidRPr="00E714E0">
        <w:rPr>
          <w:b/>
          <w:bCs/>
        </w:rPr>
        <w:t>Antwoord</w:t>
      </w:r>
      <w:r>
        <w:rPr>
          <w:b/>
          <w:bCs/>
        </w:rPr>
        <w:t xml:space="preserve"> op vraag</w:t>
      </w:r>
      <w:r w:rsidRPr="00E714E0">
        <w:rPr>
          <w:b/>
          <w:bCs/>
        </w:rPr>
        <w:t xml:space="preserve"> 2</w:t>
      </w:r>
      <w:r w:rsidRPr="00E714E0">
        <w:br/>
        <w:t xml:space="preserve">Het OM is sinds 20 april 2023 niet vaker tot vervolging gegaan in zaken waarin vermoedens bestonden van oproeping tot vrouwelijke genitale verminking. </w:t>
      </w:r>
      <w:r w:rsidRPr="00E714E0">
        <w:br/>
      </w:r>
    </w:p>
    <w:p w:rsidRPr="00E714E0" w:rsidR="000074B4" w:rsidP="000074B4" w:rsidRDefault="000074B4" w14:paraId="04C98F48" w14:textId="77777777">
      <w:pPr>
        <w:spacing w:line="276" w:lineRule="auto"/>
      </w:pPr>
      <w:r w:rsidRPr="00E714E0">
        <w:rPr>
          <w:b/>
          <w:bCs/>
        </w:rPr>
        <w:t>Vraag 3</w:t>
      </w:r>
      <w:r w:rsidRPr="00E714E0">
        <w:rPr>
          <w:b/>
          <w:bCs/>
        </w:rPr>
        <w:br/>
        <w:t>Acht u het kansrijk om, bij het uitwerken van een juridisch houdbare definitie van problematisch gedrag, ook het oproepen of aanzetten tot ernstige aantastingen van zelfbeschikking (zoals vrouwelijke genitale verminking) te definiëren als een overtreding waar bestuursrechtelijk tegen opgetreden kan worden?</w:t>
      </w:r>
      <w:r w:rsidRPr="00E714E0">
        <w:br/>
      </w:r>
      <w:r w:rsidRPr="00E714E0">
        <w:br/>
      </w:r>
      <w:r w:rsidRPr="00E714E0">
        <w:rPr>
          <w:b/>
          <w:bCs/>
        </w:rPr>
        <w:t>Antwoord</w:t>
      </w:r>
      <w:r>
        <w:rPr>
          <w:b/>
          <w:bCs/>
        </w:rPr>
        <w:t xml:space="preserve"> op vraag</w:t>
      </w:r>
      <w:r w:rsidRPr="00E714E0">
        <w:rPr>
          <w:b/>
          <w:bCs/>
        </w:rPr>
        <w:t xml:space="preserve"> 3</w:t>
      </w:r>
      <w:r w:rsidRPr="00E714E0">
        <w:br/>
      </w:r>
      <w:r w:rsidRPr="00AC4C06">
        <w:t xml:space="preserve">Het kabinet heeft in het regeerprogramma aangekondigd werk te maken van een verkenning naar mogelijkheden om tegenwicht te bieden aan de ondermijnende invloeden van een kleine groep die zich niet houdt aan de regels van de democratische rechtsstaat met intolerante of onverdraagzame gedragingen of </w:t>
      </w:r>
      <w:r w:rsidRPr="00AC4C06">
        <w:lastRenderedPageBreak/>
        <w:t>anderen daartoe aanzet. De staatssecretaris Participatie en Integratie heeft tijdens het Wetgevingsoverleg Integratie en Maatschappelijke Samenhang op 25 november jl. toegezegd met de Kamer op zoek te gaan naar mogelijkheden om voor specifieke gedragingen te komen tot specifieke juridische definities. Dit punt kan daarin meelopen.</w:t>
      </w:r>
    </w:p>
    <w:p w:rsidR="000074B4" w:rsidP="000074B4" w:rsidRDefault="000074B4" w14:paraId="438A7354" w14:textId="77777777">
      <w:pPr>
        <w:spacing w:line="276" w:lineRule="auto"/>
        <w:rPr>
          <w:b/>
          <w:bCs/>
        </w:rPr>
      </w:pPr>
    </w:p>
    <w:p w:rsidR="000074B4" w:rsidP="000074B4" w:rsidRDefault="000074B4" w14:paraId="317743DE" w14:textId="77777777">
      <w:pPr>
        <w:spacing w:line="276" w:lineRule="auto"/>
        <w:rPr>
          <w:b/>
          <w:bCs/>
        </w:rPr>
      </w:pPr>
    </w:p>
    <w:p w:rsidRPr="00E714E0" w:rsidR="000074B4" w:rsidP="000074B4" w:rsidRDefault="000074B4" w14:paraId="47737A22" w14:textId="77777777">
      <w:pPr>
        <w:spacing w:line="276" w:lineRule="auto"/>
      </w:pPr>
      <w:r w:rsidRPr="00E714E0">
        <w:rPr>
          <w:b/>
          <w:bCs/>
        </w:rPr>
        <w:t>Vraag 4</w:t>
      </w:r>
      <w:r w:rsidRPr="00E714E0">
        <w:rPr>
          <w:b/>
          <w:bCs/>
        </w:rPr>
        <w:br/>
        <w:t>Zijn de indicatoren die worden genoemd in antwoord op vraag 12 vorig jaar gedeeld met de Koninklijke Marechaussee (KMAR)? Zo ja, heeft dit geleid tot meer aanhoudingen op Schiphol? Zijn deze indicatoren al geëvalueerd? Zo niet, waarom zijn deze niet gedeeld met de KMAR? Worden deze indicatoren ook dit jaar weer gebruikt?</w:t>
      </w:r>
      <w:r w:rsidRPr="00E714E0">
        <w:rPr>
          <w:b/>
          <w:bCs/>
        </w:rPr>
        <w:br/>
      </w:r>
      <w:r w:rsidRPr="00E714E0">
        <w:br/>
      </w:r>
      <w:r w:rsidRPr="00E714E0">
        <w:rPr>
          <w:b/>
          <w:bCs/>
        </w:rPr>
        <w:t xml:space="preserve">Antwoord </w:t>
      </w:r>
      <w:r>
        <w:rPr>
          <w:b/>
          <w:bCs/>
        </w:rPr>
        <w:t xml:space="preserve">op vraag </w:t>
      </w:r>
      <w:r w:rsidRPr="00E714E0">
        <w:rPr>
          <w:b/>
          <w:bCs/>
        </w:rPr>
        <w:t>4</w:t>
      </w:r>
      <w:r w:rsidRPr="00E714E0">
        <w:br/>
        <w:t>Ja, deze signalen zijn in de zomer van 2023 gedeeld met de Koninklijke Marechaussee (KMAR). Het onderkennen van signalen van vrouwelijke genitale verminking wordt middels een e-learning meegenomen in de basisopleiding van de grenswachters. In de uitvoeringspraktijk is een handelingskader vrouwelijke genitale verminking beschikbaar die de grenswachters van de KMAR kunnen gebruiken indien zij hierop stuiten. Tot op heden zijn er nog geen incidenten geregistreerd die terug zijn te leiden naar het voorkomen van vrouwelijke genitale verminking. Bij incidenten die zijn gerelateerd aan vrouwelijke genitale verminking wordt contact gelegd met Veilig Thuis. Mogelijk dat zij wel benaderd zijn voor advies, maar dit is niet af te leiden uit registraties in de operationele systemen van de KMAR. Tot op heden heeft er nog geen evaluatie plaatsgevonden.</w:t>
      </w:r>
    </w:p>
    <w:p w:rsidRPr="00E714E0" w:rsidR="000074B4" w:rsidP="000074B4" w:rsidRDefault="000074B4" w14:paraId="34214611" w14:textId="77777777">
      <w:pPr>
        <w:spacing w:line="276" w:lineRule="auto"/>
      </w:pPr>
      <w:bookmarkStart w:name="_Hlk183608747" w:id="1"/>
      <w:r w:rsidRPr="00E714E0">
        <w:rPr>
          <w:b/>
          <w:bCs/>
        </w:rPr>
        <w:t>Vraag 5</w:t>
      </w:r>
      <w:r w:rsidRPr="00E714E0">
        <w:rPr>
          <w:b/>
          <w:bCs/>
        </w:rPr>
        <w:br/>
        <w:t>Monitort uw ministerie online activiteiten rondom vrouwelijke genitale verminking? Denk aan</w:t>
      </w:r>
      <w:r w:rsidRPr="00E714E0">
        <w:t xml:space="preserve"> </w:t>
      </w:r>
      <w:r w:rsidRPr="00E714E0">
        <w:rPr>
          <w:b/>
          <w:bCs/>
        </w:rPr>
        <w:t>het oproepen tot, of het faciliteren van verminking? Zo ja, kunt u iets delen over de aard en omvang van deze activiteiten? Zo nee, bent u bereid dit te gaan monitoren en hier op te handhaven indien u oproepen tot verminking constateert?</w:t>
      </w:r>
    </w:p>
    <w:p w:rsidRPr="00E714E0" w:rsidR="000074B4" w:rsidP="000074B4" w:rsidRDefault="000074B4" w14:paraId="7B89BA3C" w14:textId="77777777">
      <w:pPr>
        <w:spacing w:line="276" w:lineRule="auto"/>
      </w:pPr>
      <w:r w:rsidRPr="00E714E0">
        <w:rPr>
          <w:b/>
          <w:bCs/>
        </w:rPr>
        <w:t xml:space="preserve">Antwoord </w:t>
      </w:r>
      <w:r>
        <w:rPr>
          <w:b/>
          <w:bCs/>
        </w:rPr>
        <w:t xml:space="preserve">op vraag </w:t>
      </w:r>
      <w:r w:rsidRPr="00E714E0">
        <w:rPr>
          <w:b/>
          <w:bCs/>
        </w:rPr>
        <w:t>5</w:t>
      </w:r>
      <w:r w:rsidRPr="00E714E0">
        <w:br/>
        <w:t xml:space="preserve">Het aanzetten tot of het faciliteren van vrouwelijke genitale verminking, zowel online als offline, is strafbaar. Bij vermoedens hiervan kan aangifte worden gedaan bij de politie. Het Ministerie van Justitie en Veiligheid monitort online activiteiten met betrekking tot genitale verminking echter niet actief. De </w:t>
      </w:r>
      <w:r w:rsidRPr="00E714E0">
        <w:lastRenderedPageBreak/>
        <w:t>verantwoordelijkheden voor het monitoren en handhaven liggen respectievelijk bij de hosting servicediensten (zoals facebook en google) en de politie. Personen die dergelijke activiteiten online tegenkomen, kunnen dit melden bij de hosting servicediensten. Op basis van artikel 16 van de Digital Services Act (DSA) zijn aanbieders van hostingdiensten verplicht mechanismen in te richten waarmee personen en entiteiten melding kunnen maken van inhoud die zij als illegaal beschouwen. De politie neemt uiteraard actie wanneer zij meldingen of signalen ontvangt over oproepen tot vrouwelijke genitale verminking.</w:t>
      </w:r>
    </w:p>
    <w:p w:rsidRPr="00E714E0" w:rsidR="000074B4" w:rsidP="000074B4" w:rsidRDefault="000074B4" w14:paraId="6DBA9B9C" w14:textId="77777777">
      <w:pPr>
        <w:spacing w:line="276" w:lineRule="auto"/>
        <w:rPr>
          <w:b/>
          <w:bCs/>
        </w:rPr>
      </w:pPr>
      <w:r w:rsidRPr="00E714E0">
        <w:rPr>
          <w:b/>
          <w:bCs/>
        </w:rPr>
        <w:t>Vraag 6</w:t>
      </w:r>
      <w:r w:rsidRPr="00E714E0">
        <w:rPr>
          <w:b/>
          <w:bCs/>
        </w:rPr>
        <w:br/>
        <w:t>Bestaan er toegankelijke en veilige meldpunten waar mensen die oproepen tot vrouwelijke genitale verminking constateren deze kunnen melden?</w:t>
      </w:r>
    </w:p>
    <w:p w:rsidRPr="00E714E0" w:rsidR="000074B4" w:rsidP="000074B4" w:rsidRDefault="000074B4" w14:paraId="2AF0ADC7" w14:textId="77777777">
      <w:pPr>
        <w:spacing w:line="276" w:lineRule="auto"/>
      </w:pPr>
      <w:r w:rsidRPr="00E714E0">
        <w:rPr>
          <w:b/>
          <w:bCs/>
        </w:rPr>
        <w:t xml:space="preserve">Antwoord </w:t>
      </w:r>
      <w:r>
        <w:rPr>
          <w:b/>
          <w:bCs/>
        </w:rPr>
        <w:t xml:space="preserve">op vraag </w:t>
      </w:r>
      <w:r w:rsidRPr="00E714E0">
        <w:rPr>
          <w:b/>
          <w:bCs/>
        </w:rPr>
        <w:t>6</w:t>
      </w:r>
      <w:r w:rsidRPr="00E714E0">
        <w:br/>
        <w:t>Wij adviseren oproepen tot strafbare feiten, waaronder vrouwelijke genitale verminking, te melden bij de politie. Dit stelt de politie in staat om onderzoek te doen en zo nodig in te grijpen. Wanneer dergelijke oproepen online op een platform verschijnen, kan de melding ook direct bij het betreffende platform worden gedaan.</w:t>
      </w:r>
      <w:r w:rsidRPr="00E714E0">
        <w:br/>
      </w:r>
      <w:r w:rsidRPr="00E714E0">
        <w:br/>
        <w:t xml:space="preserve">Tevens kan er bij vermoedens van een (potentieel) slachtoffer van genitale verminking advies worden gevraagd of melding worden gedaan bij Veilig Thuis. Veilig Thuis is het Advies en Meldpunt Huiselijk Geweld en kindermishandeling.  Zij geven advies en ondersteuning of doen onderzoek bij meldingen van (vermoedens van) huiselijk geweld en kindermishandeling, waaronder genitale verminking. </w:t>
      </w:r>
    </w:p>
    <w:p w:rsidRPr="00E714E0" w:rsidR="000074B4" w:rsidP="000074B4" w:rsidRDefault="000074B4" w14:paraId="6E4779BE" w14:textId="77777777">
      <w:pPr>
        <w:spacing w:line="276" w:lineRule="auto"/>
      </w:pPr>
      <w:r w:rsidRPr="00E714E0">
        <w:br/>
        <w:t xml:space="preserve">Veilig Thuis is 24/7 telefonisch bereikbaar via een gratis nummer (0800-2000) en is via de website tussen 9 en 17 ook bereikbaar via de chat. Advies vragen kan anoniem, Veilig Thuis denkt dan mee wat er mogelijk aan de hand is en wat nodige vervolgstappen zijn. </w:t>
      </w:r>
      <w:r w:rsidRPr="00E714E0">
        <w:br/>
      </w:r>
    </w:p>
    <w:p w:rsidRPr="00E714E0" w:rsidR="000074B4" w:rsidP="000074B4" w:rsidRDefault="000074B4" w14:paraId="47164EAE" w14:textId="77777777">
      <w:pPr>
        <w:spacing w:line="276" w:lineRule="auto"/>
      </w:pPr>
      <w:r w:rsidRPr="00E714E0">
        <w:t>Momenteel werken we samen met de gemeenten en Veilig Thuis aan het vergroten van de laagdrempeligheid en toegankelijkheid van Veilig Thuis</w:t>
      </w:r>
      <w:r w:rsidRPr="00E714E0">
        <w:rPr>
          <w:rStyle w:val="Voetnootmarkering"/>
        </w:rPr>
        <w:footnoteReference w:id="2"/>
      </w:r>
      <w:r w:rsidRPr="00E714E0">
        <w:t>. Hierover wordt uw Kamer in februari 2025 en in de voortgangsrapportage van het plan van aanpak ‘Stop Femicide’ voor de zomer van 2025 geïnformeerd.</w:t>
      </w:r>
    </w:p>
    <w:bookmarkEnd w:id="1"/>
    <w:p w:rsidRPr="00E714E0" w:rsidR="000074B4" w:rsidP="000074B4" w:rsidRDefault="000074B4" w14:paraId="3DD54F57" w14:textId="77777777">
      <w:pPr>
        <w:spacing w:line="276" w:lineRule="auto"/>
      </w:pPr>
      <w:r w:rsidRPr="00E714E0">
        <w:rPr>
          <w:b/>
          <w:bCs/>
        </w:rPr>
        <w:br/>
        <w:t>Vraag 7</w:t>
      </w:r>
      <w:r w:rsidRPr="00E714E0">
        <w:rPr>
          <w:b/>
          <w:bCs/>
        </w:rPr>
        <w:br/>
      </w:r>
      <w:r w:rsidRPr="00E714E0">
        <w:rPr>
          <w:b/>
          <w:bCs/>
        </w:rPr>
        <w:lastRenderedPageBreak/>
        <w:t>In 2021 en 2022 hebben er gerichte communicatie-acties plaatsgevonden via onder andere posters op Schiphol, klopt het dat in 2023 en 2024 deze posters niet meer op Schiphol hingen. Zo ja, waarom niet meer? Hangen de posters op dit moment op Schiphol? Is de effectiviteit van de posters geëvalueerd?</w:t>
      </w:r>
      <w:r w:rsidRPr="00E714E0">
        <w:br/>
      </w:r>
      <w:r w:rsidRPr="00E714E0">
        <w:br/>
      </w:r>
      <w:r w:rsidRPr="00E714E0">
        <w:rPr>
          <w:b/>
          <w:bCs/>
        </w:rPr>
        <w:t xml:space="preserve">Antwoord </w:t>
      </w:r>
      <w:r>
        <w:rPr>
          <w:b/>
          <w:bCs/>
        </w:rPr>
        <w:t xml:space="preserve">op vraag </w:t>
      </w:r>
      <w:r w:rsidRPr="00E714E0">
        <w:rPr>
          <w:b/>
          <w:bCs/>
        </w:rPr>
        <w:t>7</w:t>
      </w:r>
      <w:r w:rsidRPr="00E714E0">
        <w:br/>
        <w:t xml:space="preserve">In 2021 zijn in opdracht van het ministerie van Volksgezondheid, Welzijn en (VWS) gedurende een maand posters op Schiphol geplaatst ter voorkoming van vrouwelijke genitale verminking. Het effect van deze campagne is niet geëvalueerd. Vanuit het ministerie is ook opdracht gegeven aan Pharos om een campagne te ontwikkelen op social media over vrouwelijke genitale verminking, eergerelateerd geweld, huwelijksdwang en achterlating. Deze campagne, #rechtopnee, is gericht op jongeren van 15 tot 25 jaar en de professionals die met hen werken. De campagne is in januari 2023 gelanceerd. Deze campagne is wel geëvalueerd en bleek zeer succesvol. Over een periode van ongeveer 6 maanden zijn meer dan 3.2 miljoen mensen bereikt. Ruim 16.000 jongeren hebben doorgeklikt naar de website. Dit is exclusief organische bezoekers (bezoekers via onbetaalde zoekresultaten) aan de website (rechtopnee.nl). Gezien het succes van de campagne is vanuit VWS ingezet op verlenging van deze campagne. De campagne is verder uitgebreid en de boodschap die erachter schuil gaat is verstevigd en verdiept. Ook is er een 5e thema aan toegevoegd, namelijk huwelijkse gevangenschap. </w:t>
      </w:r>
      <w:r w:rsidRPr="00E714E0">
        <w:tab/>
      </w:r>
    </w:p>
    <w:p w:rsidRPr="00E714E0" w:rsidR="000074B4" w:rsidP="000074B4" w:rsidRDefault="000074B4" w14:paraId="3B518630" w14:textId="77777777">
      <w:pPr>
        <w:spacing w:line="276" w:lineRule="auto"/>
      </w:pPr>
      <w:r w:rsidRPr="00E714E0">
        <w:rPr>
          <w:b/>
          <w:bCs/>
        </w:rPr>
        <w:t>Vraag 8</w:t>
      </w:r>
      <w:r w:rsidRPr="00E714E0">
        <w:rPr>
          <w:b/>
          <w:bCs/>
        </w:rPr>
        <w:br/>
        <w:t>De verklaring tegen meisjesbesnijdenis zou, volgens de antwoorden op vraag 13, worden voorzien van een update in 2023. Is dit gebeurd? Zo ja, kan de nieuwe versie met de Kamer worden gedeeld? Zo niet, waarom niet?</w:t>
      </w:r>
      <w:r w:rsidRPr="00E714E0">
        <w:br/>
      </w:r>
      <w:r w:rsidRPr="00E714E0">
        <w:br/>
      </w:r>
      <w:r w:rsidRPr="00E714E0">
        <w:rPr>
          <w:b/>
          <w:bCs/>
        </w:rPr>
        <w:t xml:space="preserve">Antwoord </w:t>
      </w:r>
      <w:r>
        <w:rPr>
          <w:b/>
          <w:bCs/>
        </w:rPr>
        <w:t xml:space="preserve">op vraag </w:t>
      </w:r>
      <w:r w:rsidRPr="00E714E0">
        <w:rPr>
          <w:b/>
          <w:bCs/>
        </w:rPr>
        <w:t>8</w:t>
      </w:r>
      <w:r w:rsidRPr="00E714E0">
        <w:br/>
        <w:t>De verklaring tegen meisjesbesnijdenis is inderdaad voorzien van een update. Voor de nieuwe versie is zowel de vormgeving als de teksten aangepast zodat de boodschap van de verklaring beter overkomt. De verklaring is beschikbaar in acht talen. De verklaringen zijn te downloaden via meerdere websites, waaronder de website van Pharos.</w:t>
      </w:r>
      <w:r w:rsidRPr="00E714E0">
        <w:rPr>
          <w:rStyle w:val="Voetnootmarkering"/>
        </w:rPr>
        <w:footnoteReference w:id="3"/>
      </w:r>
      <w:r w:rsidRPr="00E714E0">
        <w:br/>
      </w:r>
    </w:p>
    <w:p w:rsidRPr="00E714E0" w:rsidR="000074B4" w:rsidP="000074B4" w:rsidRDefault="000074B4" w14:paraId="4195A126" w14:textId="77777777">
      <w:pPr>
        <w:spacing w:line="276" w:lineRule="auto"/>
      </w:pPr>
      <w:r w:rsidRPr="00E714E0">
        <w:rPr>
          <w:b/>
          <w:bCs/>
        </w:rPr>
        <w:t>Vraag 9</w:t>
      </w:r>
      <w:r w:rsidRPr="00E714E0">
        <w:rPr>
          <w:b/>
          <w:bCs/>
        </w:rPr>
        <w:br/>
        <w:t xml:space="preserve">Zijn er cijfers bekend hoeveel gemeenten het gratis materiaal, waarin ook informatie over vrouwelijke genitale verminking is opgenomen, hebben </w:t>
      </w:r>
      <w:r w:rsidRPr="00E714E0">
        <w:rPr>
          <w:b/>
          <w:bCs/>
        </w:rPr>
        <w:lastRenderedPageBreak/>
        <w:t>opgevraagd? Zo ja, om hoeveel gemeenten gaat het? Zo niet, waarom wordt dit niet bijgehouden?</w:t>
      </w:r>
      <w:r w:rsidRPr="00E714E0">
        <w:rPr>
          <w:b/>
          <w:bCs/>
        </w:rPr>
        <w:br/>
      </w:r>
      <w:r w:rsidRPr="00E714E0">
        <w:br/>
      </w:r>
      <w:r w:rsidRPr="00E714E0">
        <w:rPr>
          <w:b/>
          <w:bCs/>
        </w:rPr>
        <w:t xml:space="preserve">Antwoord </w:t>
      </w:r>
      <w:r>
        <w:rPr>
          <w:b/>
          <w:bCs/>
        </w:rPr>
        <w:t xml:space="preserve">op vraag </w:t>
      </w:r>
      <w:r w:rsidRPr="00E714E0">
        <w:rPr>
          <w:b/>
          <w:bCs/>
        </w:rPr>
        <w:t>9</w:t>
      </w:r>
      <w:r w:rsidRPr="00E714E0">
        <w:br/>
        <w:t xml:space="preserve">Nee, die cijfers zijn niet bekend. De verklaringen zijn door iedereen digitaal te downloaden en door organisaties in gedrukte vorm te bestellen bij het ministerie van Volksgezondheid, Welzijn en Sport (VWS). Vanuit het ministerie van VWS zijn de gedrukte versies met name verspreid onder uitvoeringsorganisaties binnen de Jeugdgezondheidszorg (JGZ). Recent zijn ruim 32.000 exemplaren verspreid. Het is niet mogelijk om het aantal exemplaren bij te houden dat via downloads wordt verspreid. </w:t>
      </w:r>
    </w:p>
    <w:p w:rsidRPr="00E714E0" w:rsidR="000074B4" w:rsidP="000074B4" w:rsidRDefault="000074B4" w14:paraId="2454141C" w14:textId="77777777">
      <w:pPr>
        <w:spacing w:line="276" w:lineRule="auto"/>
      </w:pPr>
      <w:r w:rsidRPr="00E714E0">
        <w:t xml:space="preserve">De verklaring tegen meisjesbesnijdenis is bestemd voor ouders afkomstig uit risicolanden die van plan zijn om op vakantie te gaan naar hun land van herkomst. Jeugdgezondheidszorg professionals kunnen de verklaring meegeven aan deze ouders, zodat zij hun familieleden kunnen informeren over de consequenties en strafbaarheid van meisjesbesnijdenis. </w:t>
      </w:r>
    </w:p>
    <w:p w:rsidRPr="00E714E0" w:rsidR="000074B4" w:rsidP="000074B4" w:rsidRDefault="000074B4" w14:paraId="48943FD4" w14:textId="77777777">
      <w:pPr>
        <w:spacing w:line="276" w:lineRule="auto"/>
      </w:pPr>
      <w:r w:rsidRPr="00E714E0">
        <w:br/>
        <w:t>Het is belangrijk dat familieleden in het land van herkomst goed geïnformeerd zijn over de consequenties van een besnijdenis van het meisje en ook over de strafbaarheid daarvan. In gesprekken tussen professionals en ouders uit risicolanden over vrouwelijke genitale verminking, komt regelmatig de sterke invloed van de familie aan de orde. Ouders geven aan hun dochters niet te willen laten besnijden, maar de familie in het land van herkomst kan daar anders over denken. Op het moment dat een meisje, bijvoorbeeld in de zomervakantie, de familie daar bezoekt, ontstaat er een risico.</w:t>
      </w:r>
    </w:p>
    <w:p w:rsidRPr="00E714E0" w:rsidR="000074B4" w:rsidP="000074B4" w:rsidRDefault="000074B4" w14:paraId="7A6170B1" w14:textId="77777777">
      <w:pPr>
        <w:spacing w:line="276" w:lineRule="auto"/>
      </w:pPr>
    </w:p>
    <w:p w:rsidRPr="00E714E0" w:rsidR="000074B4" w:rsidP="000074B4" w:rsidRDefault="000074B4" w14:paraId="072D3DDA" w14:textId="77777777">
      <w:pPr>
        <w:spacing w:line="276" w:lineRule="auto"/>
      </w:pPr>
      <w:r w:rsidRPr="00E714E0">
        <w:rPr>
          <w:b/>
          <w:bCs/>
        </w:rPr>
        <w:t>Vraag 10</w:t>
      </w:r>
      <w:r w:rsidRPr="00E714E0">
        <w:rPr>
          <w:b/>
          <w:bCs/>
        </w:rPr>
        <w:br/>
        <w:t>Hoe staat met het vervolg op de actieagenda schadelijke praktijken zoals wordt toegezegd in de beantwoording op vraag 19?</w:t>
      </w:r>
      <w:r w:rsidRPr="00E714E0">
        <w:br/>
      </w:r>
      <w:r w:rsidRPr="00E714E0">
        <w:br/>
      </w:r>
      <w:r w:rsidRPr="00E714E0">
        <w:rPr>
          <w:b/>
          <w:bCs/>
        </w:rPr>
        <w:t xml:space="preserve">Antwoord </w:t>
      </w:r>
      <w:r>
        <w:rPr>
          <w:b/>
          <w:bCs/>
        </w:rPr>
        <w:t xml:space="preserve">op vraag </w:t>
      </w:r>
      <w:r w:rsidRPr="00E714E0">
        <w:rPr>
          <w:b/>
          <w:bCs/>
        </w:rPr>
        <w:t>10</w:t>
      </w:r>
      <w:r w:rsidRPr="00E714E0">
        <w:br/>
        <w:t xml:space="preserve">De Kamer heeft 14 september 2023 een Kamerbrief ontvangen waarin de resultaten van en het vervolg op de Actieagenda Schadelijke Praktijken is opgenomen. In deze brief zijn vervolgacties opgenomen, aansluitend op de actieagenda. Dit betreft onder andere inzet op bewustwording, bijvoorbeeld door het actualiseren van de verklaring vrouwelijke genitale verminking (‘Verklaring tegen meisjesbesnijdenis’) en het vervolg van de voorlichtingscampagne ‘Recht op nee’. </w:t>
      </w:r>
    </w:p>
    <w:p w:rsidRPr="00E714E0" w:rsidR="000074B4" w:rsidP="000074B4" w:rsidRDefault="000074B4" w14:paraId="6DAA77EF" w14:textId="77777777">
      <w:pPr>
        <w:spacing w:line="276" w:lineRule="auto"/>
      </w:pPr>
      <w:r w:rsidRPr="00E714E0">
        <w:lastRenderedPageBreak/>
        <w:t xml:space="preserve">Naast bewustwording, komt de inzet op deskundigheidsbevordering bij professionals aan bod. Vanuit de brede aanpak van gendergerelateerd geweld wordt een strategie ontwikkeld voor de deskundigheidsbevordering van professionals in het veld. Kennis(behoud) over eergerelateerd geweld, huwelijksdwang, vrouwelijke genitale verminking en achterlating wordt daarin meegenomen. Het is van belang dat professionals signalen van een onveilige situatie, zoals in het geval van eergerelateerd geweld, huwelijksdwang, vrouwelijke genitale verminking of achterlating, kunnen herkennen en weten waar zij terecht kunnen voor advies of melden. De verantwoordelijkheid om als zorg- en onderwijsprofessional stappen te zetten bij vermoedens van één van deze geweldsvormen is vastgelegd in het Besluit verplichte meldcode huiselijk geweld en kindermishandeling. In verschillende handreikingen staat het stappenplan van de meldcode voor professionals nader uitgelegd. Advies inwinnen kan professionals helpen bij het bepalen van de te zetten stappen in geval van vermoedens van eergerelateerd geweld, huwelijksdwang, vrouwelijke genitale verminking of meisjesbesnijdenis. </w:t>
      </w:r>
    </w:p>
    <w:p w:rsidRPr="00E714E0" w:rsidR="000074B4" w:rsidP="000074B4" w:rsidRDefault="000074B4" w14:paraId="3FC7FE51" w14:textId="77777777">
      <w:pPr>
        <w:spacing w:line="276" w:lineRule="auto"/>
      </w:pPr>
      <w:r w:rsidRPr="00E714E0">
        <w:t>In 2024 is in opdracht van de ministeries van VWS en Onderwijs, Cultuur en Wetenschap (OCW) een onderzoek uitgevoerd naar de uitvoerbaarheid, risico’s en meerwaarde van een adviesplicht voor zorg- en onderwijsprofessionals, gericht op eergerelateerd geweld, huwelijksdwang, vrouwelijke genitale verminking en achterlating. Dit onderzoek is inmiddels afgerond. De Kamer wordt in 2025 geïnformeerd over de onderzoeksbevindingen en de opvolging daarvan.</w:t>
      </w:r>
    </w:p>
    <w:p w:rsidRPr="00FF284D" w:rsidR="000074B4" w:rsidP="000074B4" w:rsidRDefault="000074B4" w14:paraId="767431E1" w14:textId="77777777">
      <w:pPr>
        <w:spacing w:line="276" w:lineRule="auto"/>
        <w:rPr>
          <w:b/>
          <w:bCs/>
        </w:rPr>
      </w:pPr>
      <w:r w:rsidRPr="00E714E0">
        <w:rPr>
          <w:b/>
          <w:bCs/>
        </w:rPr>
        <w:t>Vraag 11</w:t>
      </w:r>
      <w:r w:rsidRPr="00E714E0">
        <w:rPr>
          <w:b/>
          <w:bCs/>
        </w:rPr>
        <w:br/>
        <w:t>Kunt u bovenstaande vragen beantwoorden voor 28 oktober 2024?</w:t>
      </w:r>
      <w:r w:rsidRPr="00E714E0">
        <w:rPr>
          <w:b/>
          <w:bCs/>
        </w:rPr>
        <w:br/>
      </w:r>
      <w:r w:rsidRPr="00E714E0">
        <w:rPr>
          <w:b/>
          <w:bCs/>
        </w:rPr>
        <w:br/>
        <w:t>Antwoord</w:t>
      </w:r>
      <w:r>
        <w:rPr>
          <w:b/>
          <w:bCs/>
        </w:rPr>
        <w:t xml:space="preserve"> op vraag</w:t>
      </w:r>
      <w:r w:rsidRPr="00E714E0">
        <w:rPr>
          <w:b/>
          <w:bCs/>
        </w:rPr>
        <w:t xml:space="preserve"> 1</w:t>
      </w:r>
      <w:r>
        <w:rPr>
          <w:b/>
          <w:bCs/>
        </w:rPr>
        <w:t>1</w:t>
      </w:r>
      <w:r w:rsidRPr="00E714E0">
        <w:rPr>
          <w:b/>
          <w:bCs/>
        </w:rPr>
        <w:br/>
      </w:r>
      <w:r w:rsidRPr="00E714E0">
        <w:t>Dit is helaas niet mogelijk gebleken.</w:t>
      </w:r>
      <w:r>
        <w:t xml:space="preserve">   </w:t>
      </w:r>
      <w:r w:rsidRPr="00FF284D">
        <w:t xml:space="preserve"> </w:t>
      </w:r>
    </w:p>
    <w:p w:rsidR="000074B4" w:rsidP="000074B4" w:rsidRDefault="000074B4" w14:paraId="62AA7760" w14:textId="77777777"/>
    <w:p w:rsidR="000071DE" w:rsidRDefault="000071DE" w14:paraId="40B29AC8" w14:textId="77777777"/>
    <w:sectPr w:rsidR="000071DE" w:rsidSect="000074B4">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2F475" w14:textId="77777777" w:rsidR="000074B4" w:rsidRDefault="000074B4" w:rsidP="000074B4">
      <w:pPr>
        <w:spacing w:after="0" w:line="240" w:lineRule="auto"/>
      </w:pPr>
      <w:r>
        <w:separator/>
      </w:r>
    </w:p>
  </w:endnote>
  <w:endnote w:type="continuationSeparator" w:id="0">
    <w:p w14:paraId="33EAF589" w14:textId="77777777" w:rsidR="000074B4" w:rsidRDefault="000074B4" w:rsidP="00007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00000000" w:usb1="D200FDFF" w:usb2="0A042029" w:usb3="00000000" w:csb0="8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EC3F0" w14:textId="77777777" w:rsidR="000074B4" w:rsidRPr="000074B4" w:rsidRDefault="000074B4" w:rsidP="000074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35517" w14:textId="77777777" w:rsidR="000074B4" w:rsidRPr="000074B4" w:rsidRDefault="000074B4" w:rsidP="000074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1B03F" w14:textId="77777777" w:rsidR="000074B4" w:rsidRPr="000074B4" w:rsidRDefault="000074B4" w:rsidP="000074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1481F" w14:textId="77777777" w:rsidR="000074B4" w:rsidRDefault="000074B4" w:rsidP="000074B4">
      <w:pPr>
        <w:spacing w:after="0" w:line="240" w:lineRule="auto"/>
      </w:pPr>
      <w:r>
        <w:separator/>
      </w:r>
    </w:p>
  </w:footnote>
  <w:footnote w:type="continuationSeparator" w:id="0">
    <w:p w14:paraId="6CCA1EC1" w14:textId="77777777" w:rsidR="000074B4" w:rsidRDefault="000074B4" w:rsidP="000074B4">
      <w:pPr>
        <w:spacing w:after="0" w:line="240" w:lineRule="auto"/>
      </w:pPr>
      <w:r>
        <w:continuationSeparator/>
      </w:r>
    </w:p>
  </w:footnote>
  <w:footnote w:id="1">
    <w:p w14:paraId="18714C54" w14:textId="77777777" w:rsidR="000074B4" w:rsidRDefault="000074B4" w:rsidP="000074B4">
      <w:bookmarkStart w:id="0" w:name="_Hlk181892226"/>
      <w:r>
        <w:rPr>
          <w:rStyle w:val="Voetnootmarkering"/>
        </w:rPr>
        <w:footnoteRef/>
      </w:r>
      <w:r>
        <w:t xml:space="preserve"> </w:t>
      </w:r>
      <w:r w:rsidRPr="00E33888">
        <w:rPr>
          <w:i/>
          <w:iCs/>
        </w:rPr>
        <w:t>Kamerstukken II</w:t>
      </w:r>
      <w:r w:rsidRPr="00A85121">
        <w:rPr>
          <w:rFonts w:cs="Verdana"/>
          <w:i/>
          <w:iCs/>
          <w:sz w:val="17"/>
          <w:szCs w:val="17"/>
          <w:lang w:eastAsia="ja-JP"/>
        </w:rPr>
        <w:t>,</w:t>
      </w:r>
      <w:r>
        <w:rPr>
          <w:rFonts w:cs="Verdana"/>
          <w:sz w:val="17"/>
          <w:szCs w:val="17"/>
          <w:lang w:eastAsia="ja-JP"/>
        </w:rPr>
        <w:t xml:space="preserve"> 2022/2023, </w:t>
      </w:r>
      <w:r w:rsidRPr="005D4F1B">
        <w:rPr>
          <w:rFonts w:cs="Verdana"/>
          <w:sz w:val="17"/>
          <w:szCs w:val="17"/>
          <w:lang w:eastAsia="ja-JP"/>
        </w:rPr>
        <w:t>32 462</w:t>
      </w:r>
      <w:r>
        <w:rPr>
          <w:rFonts w:cs="Verdana"/>
          <w:sz w:val="17"/>
          <w:szCs w:val="17"/>
          <w:lang w:eastAsia="ja-JP"/>
        </w:rPr>
        <w:t>, nr. 2363</w:t>
      </w:r>
      <w:bookmarkEnd w:id="0"/>
      <w:r w:rsidRPr="005D4F1B">
        <w:rPr>
          <w:rFonts w:cs="Verdana"/>
          <w:sz w:val="17"/>
          <w:szCs w:val="17"/>
          <w:lang w:eastAsia="ja-JP"/>
        </w:rPr>
        <w:tab/>
      </w:r>
    </w:p>
    <w:p w14:paraId="4D89F3B4" w14:textId="77777777" w:rsidR="000074B4" w:rsidRDefault="000074B4" w:rsidP="000074B4">
      <w:pPr>
        <w:pStyle w:val="Voetnoottekst"/>
      </w:pPr>
    </w:p>
  </w:footnote>
  <w:footnote w:id="2">
    <w:p w14:paraId="40571B47" w14:textId="77777777" w:rsidR="000074B4" w:rsidRPr="002D2F72" w:rsidRDefault="000074B4" w:rsidP="000074B4">
      <w:pPr>
        <w:pStyle w:val="Voetnoottekst"/>
        <w:rPr>
          <w:i/>
          <w:iCs/>
        </w:rPr>
      </w:pPr>
      <w:r>
        <w:rPr>
          <w:rStyle w:val="Voetnootmarkering"/>
        </w:rPr>
        <w:footnoteRef/>
      </w:r>
      <w:r>
        <w:t xml:space="preserve"> </w:t>
      </w:r>
      <w:r>
        <w:rPr>
          <w:i/>
          <w:iCs/>
        </w:rPr>
        <w:t xml:space="preserve">Kamerstukken II </w:t>
      </w:r>
      <w:r w:rsidRPr="002D2F72">
        <w:t>34843,</w:t>
      </w:r>
      <w:r>
        <w:t xml:space="preserve"> 2024/2025</w:t>
      </w:r>
      <w:r w:rsidRPr="002D2F72">
        <w:t xml:space="preserve"> nr. 111</w:t>
      </w:r>
    </w:p>
  </w:footnote>
  <w:footnote w:id="3">
    <w:p w14:paraId="68BE594B" w14:textId="77777777" w:rsidR="000074B4" w:rsidRDefault="000074B4" w:rsidP="000074B4">
      <w:pPr>
        <w:pStyle w:val="Voetnoottekst"/>
      </w:pPr>
      <w:r>
        <w:rPr>
          <w:rStyle w:val="Voetnootmarkering"/>
        </w:rPr>
        <w:footnoteRef/>
      </w:r>
      <w:r>
        <w:t xml:space="preserve"> </w:t>
      </w:r>
      <w:hyperlink r:id="rId1" w:history="1">
        <w:r>
          <w:rPr>
            <w:rStyle w:val="Hyperlink"/>
          </w:rPr>
          <w:t>Meisjesbesnijdenis - preventiematerialen - Pharos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F4FE8" w14:textId="77777777" w:rsidR="000074B4" w:rsidRPr="000074B4" w:rsidRDefault="000074B4" w:rsidP="000074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4E109" w14:textId="77777777" w:rsidR="000074B4" w:rsidRPr="000074B4" w:rsidRDefault="000074B4" w:rsidP="000074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DF46C" w14:textId="77777777" w:rsidR="000074B4" w:rsidRPr="000074B4" w:rsidRDefault="000074B4" w:rsidP="000074B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B4"/>
    <w:rsid w:val="000071DE"/>
    <w:rsid w:val="000074B4"/>
    <w:rsid w:val="007D1457"/>
    <w:rsid w:val="00E36D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D6FE5"/>
  <w15:chartTrackingRefBased/>
  <w15:docId w15:val="{AC454CF2-5B60-445C-8DDE-02F20171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74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074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074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074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074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074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74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74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74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74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074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074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074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074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074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74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74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74B4"/>
    <w:rPr>
      <w:rFonts w:eastAsiaTheme="majorEastAsia" w:cstheme="majorBidi"/>
      <w:color w:val="272727" w:themeColor="text1" w:themeTint="D8"/>
    </w:rPr>
  </w:style>
  <w:style w:type="paragraph" w:styleId="Titel">
    <w:name w:val="Title"/>
    <w:basedOn w:val="Standaard"/>
    <w:next w:val="Standaard"/>
    <w:link w:val="TitelChar"/>
    <w:uiPriority w:val="10"/>
    <w:qFormat/>
    <w:rsid w:val="000074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74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74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74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74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74B4"/>
    <w:rPr>
      <w:i/>
      <w:iCs/>
      <w:color w:val="404040" w:themeColor="text1" w:themeTint="BF"/>
    </w:rPr>
  </w:style>
  <w:style w:type="paragraph" w:styleId="Lijstalinea">
    <w:name w:val="List Paragraph"/>
    <w:basedOn w:val="Standaard"/>
    <w:uiPriority w:val="34"/>
    <w:qFormat/>
    <w:rsid w:val="000074B4"/>
    <w:pPr>
      <w:ind w:left="720"/>
      <w:contextualSpacing/>
    </w:pPr>
  </w:style>
  <w:style w:type="character" w:styleId="Intensievebenadrukking">
    <w:name w:val="Intense Emphasis"/>
    <w:basedOn w:val="Standaardalinea-lettertype"/>
    <w:uiPriority w:val="21"/>
    <w:qFormat/>
    <w:rsid w:val="000074B4"/>
    <w:rPr>
      <w:i/>
      <w:iCs/>
      <w:color w:val="0F4761" w:themeColor="accent1" w:themeShade="BF"/>
    </w:rPr>
  </w:style>
  <w:style w:type="paragraph" w:styleId="Duidelijkcitaat">
    <w:name w:val="Intense Quote"/>
    <w:basedOn w:val="Standaard"/>
    <w:next w:val="Standaard"/>
    <w:link w:val="DuidelijkcitaatChar"/>
    <w:uiPriority w:val="30"/>
    <w:qFormat/>
    <w:rsid w:val="000074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074B4"/>
    <w:rPr>
      <w:i/>
      <w:iCs/>
      <w:color w:val="0F4761" w:themeColor="accent1" w:themeShade="BF"/>
    </w:rPr>
  </w:style>
  <w:style w:type="character" w:styleId="Intensieveverwijzing">
    <w:name w:val="Intense Reference"/>
    <w:basedOn w:val="Standaardalinea-lettertype"/>
    <w:uiPriority w:val="32"/>
    <w:qFormat/>
    <w:rsid w:val="000074B4"/>
    <w:rPr>
      <w:b/>
      <w:bCs/>
      <w:smallCaps/>
      <w:color w:val="0F4761" w:themeColor="accent1" w:themeShade="BF"/>
      <w:spacing w:val="5"/>
    </w:rPr>
  </w:style>
  <w:style w:type="character" w:styleId="Hyperlink">
    <w:name w:val="Hyperlink"/>
    <w:basedOn w:val="Standaardalinea-lettertype"/>
    <w:uiPriority w:val="99"/>
    <w:unhideWhenUsed/>
    <w:rsid w:val="000074B4"/>
    <w:rPr>
      <w:color w:val="467886" w:themeColor="hyperlink"/>
      <w:u w:val="single"/>
    </w:rPr>
  </w:style>
  <w:style w:type="paragraph" w:customStyle="1" w:styleId="Referentiegegevens">
    <w:name w:val="Referentiegegevens"/>
    <w:basedOn w:val="Standaard"/>
    <w:next w:val="Standaard"/>
    <w:rsid w:val="000074B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074B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0074B4"/>
    <w:pPr>
      <w:spacing w:line="140" w:lineRule="exact"/>
    </w:pPr>
  </w:style>
  <w:style w:type="character" w:customStyle="1" w:styleId="VoettekstChar">
    <w:name w:val="Voettekst Char"/>
    <w:basedOn w:val="Standaardalinea-lettertype"/>
    <w:link w:val="Voettekst"/>
    <w:rsid w:val="000074B4"/>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0074B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074B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0074B4"/>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0074B4"/>
    <w:rPr>
      <w:kern w:val="0"/>
      <w:sz w:val="20"/>
      <w:szCs w:val="20"/>
      <w14:ligatures w14:val="none"/>
    </w:rPr>
  </w:style>
  <w:style w:type="character" w:styleId="Voetnootmarkering">
    <w:name w:val="footnote reference"/>
    <w:basedOn w:val="Standaardalinea-lettertype"/>
    <w:uiPriority w:val="99"/>
    <w:semiHidden/>
    <w:unhideWhenUsed/>
    <w:rsid w:val="000074B4"/>
    <w:rPr>
      <w:vertAlign w:val="superscript"/>
    </w:rPr>
  </w:style>
  <w:style w:type="paragraph" w:styleId="Koptekst">
    <w:name w:val="header"/>
    <w:basedOn w:val="Standaard"/>
    <w:link w:val="KoptekstChar"/>
    <w:uiPriority w:val="99"/>
    <w:unhideWhenUsed/>
    <w:rsid w:val="000074B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074B4"/>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pharos.nl/infosheets/meisjesbesnijdenis-preventiematerial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1840</ap:Words>
  <ap:Characters>10123</ap:Characters>
  <ap:DocSecurity>0</ap:DocSecurity>
  <ap:Lines>84</ap:Lines>
  <ap:Paragraphs>23</ap:Paragraphs>
  <ap:ScaleCrop>false</ap:ScaleCrop>
  <ap:LinksUpToDate>false</ap:LinksUpToDate>
  <ap:CharactersWithSpaces>11940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2024-12-19T11:52:00.0000000Z</dcterms:created>
  <dcterms:modified xsi:type="dcterms:W3CDTF">2024-12-19T11:53:00.0000000Z</dcterms:modified>
  <version/>
  <category/>
</coreProperties>
</file>