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0629" w:rsidP="003A0629" w:rsidRDefault="003A0629" w14:paraId="7E0AD7E3" w14:textId="5A9704A5">
      <w:pPr>
        <w:rPr>
          <w:b/>
          <w:bCs/>
        </w:rPr>
      </w:pPr>
      <w:r>
        <w:rPr>
          <w:b/>
          <w:bCs/>
        </w:rPr>
        <w:t>AH 887</w:t>
      </w:r>
    </w:p>
    <w:p w:rsidR="003A0629" w:rsidP="003A0629" w:rsidRDefault="003A0629" w14:paraId="2612565D" w14:textId="43B059AB">
      <w:pPr>
        <w:rPr>
          <w:b/>
          <w:bCs/>
        </w:rPr>
      </w:pPr>
      <w:r>
        <w:rPr>
          <w:b/>
          <w:bCs/>
        </w:rPr>
        <w:t>2024Z19288</w:t>
      </w:r>
    </w:p>
    <w:p w:rsidR="003A0629" w:rsidP="003A0629" w:rsidRDefault="003A0629" w14:paraId="6EB9691A" w14:textId="73ACD306">
      <w:pPr>
        <w:rPr>
          <w:b/>
          <w:bCs/>
          <w:sz w:val="24"/>
          <w:szCs w:val="24"/>
        </w:rPr>
      </w:pPr>
      <w:r w:rsidRPr="003A0629">
        <w:rPr>
          <w:b/>
          <w:bCs/>
          <w:sz w:val="24"/>
          <w:szCs w:val="24"/>
        </w:rPr>
        <w:t>Antwoord van minister Van Weel (Justitie en Veiligheid) (ontvangen</w:t>
      </w:r>
      <w:r>
        <w:rPr>
          <w:b/>
          <w:bCs/>
          <w:sz w:val="24"/>
          <w:szCs w:val="24"/>
        </w:rPr>
        <w:t xml:space="preserve"> 18 december 2024)</w:t>
      </w:r>
    </w:p>
    <w:p w:rsidR="003A0629" w:rsidP="003A0629" w:rsidRDefault="003A0629" w14:paraId="57E70D36" w14:textId="71840C0E">
      <w:pPr>
        <w:rPr>
          <w:b/>
          <w:bCs/>
        </w:rPr>
      </w:pPr>
      <w:r w:rsidRPr="003A0629">
        <w:rPr>
          <w:b/>
          <w:bCs/>
          <w:sz w:val="24"/>
          <w:szCs w:val="24"/>
        </w:rPr>
        <w:t>Zie ook Aanhangsel Handelingen, vergaderjaar 2024-2025, nr.</w:t>
      </w:r>
      <w:r>
        <w:rPr>
          <w:b/>
          <w:bCs/>
          <w:sz w:val="24"/>
          <w:szCs w:val="24"/>
        </w:rPr>
        <w:t xml:space="preserve"> 838</w:t>
      </w:r>
    </w:p>
    <w:p w:rsidR="003A0629" w:rsidP="003A0629" w:rsidRDefault="003A0629" w14:paraId="0109084B" w14:textId="77777777">
      <w:pPr>
        <w:rPr>
          <w:b/>
          <w:bCs/>
        </w:rPr>
      </w:pPr>
    </w:p>
    <w:p w:rsidR="003A0629" w:rsidP="003A0629" w:rsidRDefault="003A0629" w14:paraId="528FDD37" w14:textId="77777777">
      <w:pPr>
        <w:rPr>
          <w:b/>
          <w:bCs/>
        </w:rPr>
      </w:pPr>
      <w:r w:rsidRPr="00CE781F">
        <w:rPr>
          <w:b/>
          <w:bCs/>
        </w:rPr>
        <w:t>Vraag 1</w:t>
      </w:r>
    </w:p>
    <w:p w:rsidR="003A0629" w:rsidP="003A0629" w:rsidRDefault="003A0629" w14:paraId="74267B1E" w14:textId="77777777">
      <w:pPr>
        <w:rPr>
          <w:b/>
          <w:bCs/>
        </w:rPr>
      </w:pPr>
      <w:r w:rsidRPr="00D574CB">
        <w:rPr>
          <w:b/>
          <w:bCs/>
        </w:rPr>
        <w:t>Bent u bekend met het bericht dat de politie meldingen van antisemitisme zeven keer vaker doorstuurt naar het Openbaar Ministerie (OM) dan meldingen van discriminatie op grond van herkomst, beperking, leeftijd, religie of gender?</w:t>
      </w:r>
      <w:r>
        <w:rPr>
          <w:rStyle w:val="Voetnootmarkering"/>
          <w:b/>
          <w:bCs/>
        </w:rPr>
        <w:footnoteReference w:id="1"/>
      </w:r>
    </w:p>
    <w:p w:rsidRPr="0064318E" w:rsidR="003A0629" w:rsidP="003A0629" w:rsidRDefault="003A0629" w14:paraId="034E2809" w14:textId="77777777">
      <w:pPr>
        <w:pStyle w:val="broodtekst"/>
        <w:rPr>
          <w:b/>
          <w:bCs/>
        </w:rPr>
      </w:pPr>
      <w:r w:rsidRPr="0064318E">
        <w:rPr>
          <w:b/>
          <w:bCs/>
        </w:rPr>
        <w:t>Antwoord op vraag 1</w:t>
      </w:r>
    </w:p>
    <w:p w:rsidR="003A0629" w:rsidP="003A0629" w:rsidRDefault="003A0629" w14:paraId="686297BE" w14:textId="77777777">
      <w:r>
        <w:t xml:space="preserve">Ja, hier ben ik mee bekend. </w:t>
      </w:r>
    </w:p>
    <w:p w:rsidR="003A0629" w:rsidP="003A0629" w:rsidRDefault="003A0629" w14:paraId="29642FE4" w14:textId="77777777"/>
    <w:p w:rsidR="003A0629" w:rsidP="003A0629" w:rsidRDefault="003A0629" w14:paraId="038DFC79" w14:textId="77777777">
      <w:pPr>
        <w:rPr>
          <w:b/>
          <w:bCs/>
        </w:rPr>
      </w:pPr>
      <w:r w:rsidRPr="00CE781F">
        <w:rPr>
          <w:b/>
          <w:bCs/>
        </w:rPr>
        <w:t xml:space="preserve">Vraag </w:t>
      </w:r>
      <w:r>
        <w:rPr>
          <w:b/>
          <w:bCs/>
        </w:rPr>
        <w:t>2</w:t>
      </w:r>
    </w:p>
    <w:p w:rsidR="003A0629" w:rsidP="003A0629" w:rsidRDefault="003A0629" w14:paraId="791B5BBC" w14:textId="77777777">
      <w:pPr>
        <w:rPr>
          <w:b/>
          <w:bCs/>
        </w:rPr>
      </w:pPr>
      <w:r w:rsidRPr="00D574CB">
        <w:rPr>
          <w:b/>
          <w:bCs/>
        </w:rPr>
        <w:t>Hoe beoordeelt u de conclusie dat deze ongelijke uitkomst van discriminatie-incidenten een “directe bedreiging” vormt “voor de fundamenten van de rechtsstaat”, zoals gesteld door Controle Alt Delete? Zo nee, waarom niet?</w:t>
      </w:r>
    </w:p>
    <w:p w:rsidRPr="00CE781F" w:rsidR="003A0629" w:rsidP="003A0629" w:rsidRDefault="003A0629" w14:paraId="299B3AD4" w14:textId="77777777">
      <w:pPr>
        <w:rPr>
          <w:b/>
          <w:bCs/>
        </w:rPr>
      </w:pPr>
      <w:r>
        <w:rPr>
          <w:b/>
          <w:bCs/>
        </w:rPr>
        <w:t>Antwoord op vraag 2</w:t>
      </w:r>
    </w:p>
    <w:p w:rsidR="003A0629" w:rsidP="003A0629" w:rsidRDefault="003A0629" w14:paraId="432C907C" w14:textId="77777777">
      <w:r>
        <w:t xml:space="preserve">Die conclusie vind ik voorbarig. Zoals op de website van Controle Alt Delete ook wordt aangegeven, is er geen duidelijke verklaring voor de verschillen in percentages. Deze verschillen kunnen door verschillende factoren ontstaan, bijvoorbeeld het verschil tussen een melding en een aangifte. Daarnaast is in </w:t>
      </w:r>
      <w:r w:rsidRPr="00F41B5F">
        <w:t xml:space="preserve">de cijferrapportage van het OM </w:t>
      </w:r>
      <w:r>
        <w:t xml:space="preserve">“Strafbare Discriminatie in beeld 2023” </w:t>
      </w:r>
      <w:r w:rsidRPr="00F41B5F">
        <w:t>aangegeven dat er sprake was van een uitzonderlijk sterke stijging van antisemitismezaken</w:t>
      </w:r>
      <w:r>
        <w:t xml:space="preserve"> in 2023</w:t>
      </w:r>
      <w:r w:rsidRPr="00F41B5F">
        <w:t>, vanwege de grote hoeveelheid voetbalzaken die instroomden.</w:t>
      </w:r>
      <w:r>
        <w:rPr>
          <w:rStyle w:val="Voetnootmarkering"/>
        </w:rPr>
        <w:footnoteReference w:id="2"/>
      </w:r>
      <w:r w:rsidRPr="00F41B5F">
        <w:t xml:space="preserve"> </w:t>
      </w:r>
      <w:r>
        <w:t xml:space="preserve">Dit zijn zaken waarbij het over het algemeen groepsbelediging betreft. Vanwege het openbare karakter hiervan is de strafbaarheid </w:t>
      </w:r>
      <w:r w:rsidRPr="00F70F6B">
        <w:rPr>
          <w:rFonts w:eastAsia="Calibri"/>
        </w:rPr>
        <w:t>makkelijker te bewijzen</w:t>
      </w:r>
      <w:r>
        <w:rPr>
          <w:rFonts w:eastAsia="Calibri"/>
        </w:rPr>
        <w:t xml:space="preserve">. </w:t>
      </w:r>
      <w:r w:rsidRPr="00F41B5F">
        <w:t xml:space="preserve">Ook dat kan een vertekend beeld </w:t>
      </w:r>
      <w:r>
        <w:t xml:space="preserve">van de percentages </w:t>
      </w:r>
      <w:r w:rsidRPr="00F41B5F">
        <w:t>geven.</w:t>
      </w:r>
    </w:p>
    <w:p w:rsidR="003A0629" w:rsidP="003A0629" w:rsidRDefault="003A0629" w14:paraId="1FAFCB1A" w14:textId="77777777"/>
    <w:p w:rsidR="003A0629" w:rsidP="003A0629" w:rsidRDefault="003A0629" w14:paraId="360F670F" w14:textId="77777777">
      <w:r>
        <w:t>Net als de politie en het Openbaar Ministerie, neem ik e</w:t>
      </w:r>
      <w:r w:rsidRPr="00F41B5F">
        <w:t>lke vorm van discriminatie</w:t>
      </w:r>
      <w:r>
        <w:t xml:space="preserve"> </w:t>
      </w:r>
      <w:r w:rsidRPr="00F41B5F">
        <w:t>e</w:t>
      </w:r>
      <w:r>
        <w:t>v</w:t>
      </w:r>
      <w:r w:rsidRPr="00F41B5F">
        <w:t>en serieus</w:t>
      </w:r>
      <w:r>
        <w:t xml:space="preserve">. Daarbij kent </w:t>
      </w:r>
      <w:r w:rsidRPr="00F41B5F">
        <w:t>elke vorm van discriminatie zijn eigen uitdagingen in de aanpak.</w:t>
      </w:r>
      <w:r>
        <w:t xml:space="preserve"> De discriminatiegrond speelt hierbij geen onderscheidende rol.</w:t>
      </w:r>
    </w:p>
    <w:p w:rsidR="003A0629" w:rsidP="003A0629" w:rsidRDefault="003A0629" w14:paraId="07F17049" w14:textId="77777777"/>
    <w:p w:rsidR="003A0629" w:rsidP="003A0629" w:rsidRDefault="003A0629" w14:paraId="546D5F15" w14:textId="77777777">
      <w:pPr>
        <w:rPr>
          <w:b/>
          <w:bCs/>
        </w:rPr>
      </w:pPr>
      <w:r w:rsidRPr="00F70F6B">
        <w:rPr>
          <w:b/>
          <w:bCs/>
        </w:rPr>
        <w:t>Vraag 3</w:t>
      </w:r>
    </w:p>
    <w:p w:rsidR="003A0629" w:rsidP="003A0629" w:rsidRDefault="003A0629" w14:paraId="02E59C2C" w14:textId="77777777">
      <w:pPr>
        <w:rPr>
          <w:b/>
          <w:bCs/>
        </w:rPr>
      </w:pPr>
      <w:r w:rsidRPr="00D574CB">
        <w:rPr>
          <w:b/>
          <w:bCs/>
        </w:rPr>
        <w:t>Kunt u toelichten waarom de politie meldingen van antisemitisme opvallend vaker doorstuurt naar het OM dan meldingen van andere vormen van discriminatie? Zijn er beleidsregels of prioriteiten die hieraan ten grondslag liggen?</w:t>
      </w:r>
    </w:p>
    <w:p w:rsidRPr="00F70F6B" w:rsidR="003A0629" w:rsidP="003A0629" w:rsidRDefault="003A0629" w14:paraId="3DA4FAE8" w14:textId="77777777">
      <w:pPr>
        <w:pStyle w:val="Standaardcursief"/>
        <w:rPr>
          <w:b/>
          <w:bCs/>
          <w:i w:val="0"/>
          <w:iCs/>
        </w:rPr>
      </w:pPr>
      <w:r w:rsidRPr="00F70F6B">
        <w:rPr>
          <w:b/>
          <w:bCs/>
          <w:i w:val="0"/>
          <w:iCs/>
        </w:rPr>
        <w:t>Antwoord op vraag 3</w:t>
      </w:r>
    </w:p>
    <w:p w:rsidRPr="00F70F6B" w:rsidR="003A0629" w:rsidP="003A0629" w:rsidRDefault="003A0629" w14:paraId="7D3A7597" w14:textId="77777777">
      <w:pPr>
        <w:rPr>
          <w:b/>
          <w:bCs/>
        </w:rPr>
      </w:pPr>
      <w:r w:rsidRPr="00F70F6B">
        <w:t>De stelling die uit de eerste vraag</w:t>
      </w:r>
      <w:r>
        <w:t xml:space="preserve"> </w:t>
      </w:r>
      <w:r w:rsidRPr="00F70F6B">
        <w:t>– namelijk dat de politie meldingen van antisemitisme vaker door zou sturen naar het Openbaar Ministerie dan andere vormen van discriminatie – vind ik voorbarig en onderschrijf ik niet. Die conclusie kan niet worden getrokken op basis van de cijfers van OM</w:t>
      </w:r>
      <w:r>
        <w:t xml:space="preserve"> en </w:t>
      </w:r>
      <w:r w:rsidRPr="00F70F6B">
        <w:t>Politie, omdat die cijfers niet goed te vergelijken zijn.</w:t>
      </w:r>
    </w:p>
    <w:p w:rsidRPr="00F70F6B" w:rsidR="003A0629" w:rsidP="003A0629" w:rsidRDefault="003A0629" w14:paraId="46BE147F" w14:textId="77777777">
      <w:pPr>
        <w:rPr>
          <w:rFonts w:eastAsia="Calibri" w:cs="Arial"/>
        </w:rPr>
      </w:pPr>
      <w:r w:rsidRPr="00F70F6B">
        <w:rPr>
          <w:rFonts w:eastAsia="Calibri" w:cs="Arial"/>
        </w:rPr>
        <w:t>In het artikel wordt gerefereerd aan de jaarlijkse publicatie van de discriminatiecijfers van politie en antidiscriminatievoorzieningen en andere organisaties</w:t>
      </w:r>
      <w:r>
        <w:rPr>
          <w:rFonts w:eastAsia="Calibri" w:cs="Arial"/>
        </w:rPr>
        <w:t>.</w:t>
      </w:r>
      <w:r w:rsidRPr="00F70F6B">
        <w:rPr>
          <w:rFonts w:eastAsia="Calibri" w:cs="Arial"/>
          <w:vertAlign w:val="superscript"/>
        </w:rPr>
        <w:footnoteReference w:id="3"/>
      </w:r>
      <w:r w:rsidRPr="00F70F6B">
        <w:rPr>
          <w:rFonts w:eastAsia="Calibri" w:cs="Arial"/>
        </w:rPr>
        <w:t xml:space="preserve"> In hoofdstuk 1 van dit rapport wordt de omschrijving en de interpretatie van de cijfers</w:t>
      </w:r>
      <w:r>
        <w:rPr>
          <w:rFonts w:eastAsia="Calibri" w:cs="Arial"/>
        </w:rPr>
        <w:t xml:space="preserve"> uitgelegd</w:t>
      </w:r>
      <w:r w:rsidRPr="00F70F6B">
        <w:rPr>
          <w:rFonts w:eastAsia="Calibri" w:cs="Arial"/>
        </w:rPr>
        <w:t>. Hierin wordt ook het verschil uitgelegd tussen een melding en aangifte. De politie beoordeelt elke melding of aangifte van discriminatie zorgvuldig</w:t>
      </w:r>
      <w:r>
        <w:rPr>
          <w:rFonts w:eastAsia="Calibri" w:cs="Arial"/>
        </w:rPr>
        <w:t xml:space="preserve"> en kan alleen aangiftes van strafbare discriminatie doorzetten </w:t>
      </w:r>
      <w:r w:rsidRPr="00F70F6B">
        <w:rPr>
          <w:rFonts w:eastAsia="Calibri" w:cs="Arial"/>
        </w:rPr>
        <w:t xml:space="preserve">naar het OM. Niet elke aangifte wordt door de politie ingezonden naar het OM, omdat sommige zaken door de politie (na overleg met de officier van justitie) </w:t>
      </w:r>
      <w:r w:rsidRPr="0035009F">
        <w:rPr>
          <w:rFonts w:eastAsia="Calibri" w:cs="Arial"/>
        </w:rPr>
        <w:t>niet verder worden opgevolgd vanwege</w:t>
      </w:r>
      <w:r w:rsidRPr="00F70F6B">
        <w:rPr>
          <w:rFonts w:eastAsia="Calibri" w:cs="Arial"/>
        </w:rPr>
        <w:t xml:space="preserve"> gebrek aan opsporingsindicatie.</w:t>
      </w:r>
      <w:r>
        <w:rPr>
          <w:rFonts w:eastAsia="Calibri" w:cs="Arial"/>
        </w:rPr>
        <w:t xml:space="preserve"> Die zaken zijn derhalve niet terug te vinden in de cijfers van het OM. </w:t>
      </w:r>
      <w:r w:rsidRPr="00F70F6B">
        <w:rPr>
          <w:rFonts w:eastAsia="Calibri" w:cs="Arial"/>
        </w:rPr>
        <w:t xml:space="preserve">Vice versa komt het voor dat er rechtstreeks aangifte wordt gedaan bij de officier van justitie </w:t>
      </w:r>
      <w:r>
        <w:rPr>
          <w:rFonts w:eastAsia="Calibri" w:cs="Arial"/>
        </w:rPr>
        <w:t>in plaats van</w:t>
      </w:r>
      <w:r w:rsidRPr="00F70F6B">
        <w:rPr>
          <w:rFonts w:eastAsia="Calibri" w:cs="Arial"/>
        </w:rPr>
        <w:t xml:space="preserve"> bij de politie. Die zaken </w:t>
      </w:r>
      <w:r>
        <w:rPr>
          <w:rFonts w:eastAsia="Calibri" w:cs="Arial"/>
        </w:rPr>
        <w:t>zijn derhalve niet terug te vinden in de cijfers van politie.</w:t>
      </w:r>
      <w:r w:rsidRPr="00F70F6B" w:rsidDel="003E1202">
        <w:rPr>
          <w:rFonts w:eastAsia="Calibri" w:cs="Arial"/>
        </w:rPr>
        <w:t xml:space="preserve"> </w:t>
      </w:r>
    </w:p>
    <w:p w:rsidR="003A0629" w:rsidP="003A0629" w:rsidRDefault="003A0629" w14:paraId="052522AF" w14:textId="77777777">
      <w:pPr>
        <w:pStyle w:val="broodtekst"/>
        <w:rPr>
          <w:rFonts w:eastAsia="Calibri"/>
          <w:lang w:eastAsia="en-US"/>
        </w:rPr>
      </w:pPr>
      <w:r w:rsidRPr="00F70F6B">
        <w:rPr>
          <w:rFonts w:eastAsia="Calibri" w:cs="Arial"/>
          <w:lang w:eastAsia="en-US"/>
        </w:rPr>
        <w:t>Het OM behandelt aangiften van discriminatie op grond van de Aanwijzing Discriminatie.</w:t>
      </w:r>
      <w:r>
        <w:rPr>
          <w:rStyle w:val="Voetnootmarkering"/>
          <w:rFonts w:eastAsia="Calibri" w:cs="Arial"/>
          <w:lang w:eastAsia="en-US"/>
        </w:rPr>
        <w:footnoteReference w:id="4"/>
      </w:r>
      <w:r w:rsidRPr="00F70F6B">
        <w:rPr>
          <w:rFonts w:eastAsia="Calibri" w:cs="Arial"/>
          <w:lang w:eastAsia="en-US"/>
        </w:rPr>
        <w:t xml:space="preserve"> Hierbij wordt geen onderscheid gemaakt naar discriminatiegrond. </w:t>
      </w:r>
      <w:r w:rsidRPr="00F70F6B">
        <w:rPr>
          <w:rFonts w:eastAsia="Calibri"/>
          <w:lang w:eastAsia="en-US"/>
        </w:rPr>
        <w:t xml:space="preserve">Overigens kent elke vorm van discriminatie zijn eigen uitdagingen in de opsporingsfase. Zo is voor specifieke discriminatiefeiten “openbaarheid” een bestanddeel voor de strafbaarheid. </w:t>
      </w:r>
      <w:r>
        <w:rPr>
          <w:rFonts w:eastAsia="Calibri"/>
          <w:lang w:eastAsia="en-US"/>
        </w:rPr>
        <w:t xml:space="preserve">Dat betekent dat discriminatiefeiten die zich voordoen </w:t>
      </w:r>
      <w:r w:rsidRPr="00F70F6B">
        <w:rPr>
          <w:rFonts w:eastAsia="Calibri"/>
          <w:lang w:eastAsia="en-US"/>
        </w:rPr>
        <w:t>waarbij alleen het slachtoffer aanwezig is, vaak lastig te bewijzen</w:t>
      </w:r>
      <w:r>
        <w:rPr>
          <w:rFonts w:eastAsia="Calibri"/>
          <w:lang w:eastAsia="en-US"/>
        </w:rPr>
        <w:t xml:space="preserve"> zijn</w:t>
      </w:r>
      <w:r w:rsidRPr="00F70F6B">
        <w:rPr>
          <w:rFonts w:eastAsia="Calibri"/>
          <w:lang w:eastAsia="en-US"/>
        </w:rPr>
        <w:t xml:space="preserve">. Bij antisemitisme ziet het OM dat het vaak gaat om groepsbeledigingen, die </w:t>
      </w:r>
      <w:r w:rsidRPr="00F70F6B">
        <w:rPr>
          <w:rFonts w:eastAsia="Calibri"/>
          <w:lang w:eastAsia="en-US"/>
        </w:rPr>
        <w:lastRenderedPageBreak/>
        <w:t>vanwege hun openbare karakter makkelijker te bewijzen zijn. Met betrekking tot de discriminatiecijfers van 2023 geldt daarnaast dat het OM opvallend veel discriminatiefeiten registreerde waarbij de verdachte een voetbalsupporter is. Dat waren vaak zaken die in of rondom het voetbalstadion plaatsvonden, waarbij het OM direct een strafbeschikking kon uitvaardigen. Het grote aantal voetbalzaken heeft er in 2023 ook voor gezorgd dat de instroom van feiten met de discriminatiegrond antisemitisme erg sterk is gestegen.</w:t>
      </w:r>
      <w:r>
        <w:rPr>
          <w:rStyle w:val="Voetnootmarkering"/>
          <w:rFonts w:eastAsia="Calibri"/>
          <w:lang w:eastAsia="en-US"/>
        </w:rPr>
        <w:footnoteReference w:id="5"/>
      </w:r>
      <w:r w:rsidRPr="00F70F6B">
        <w:rPr>
          <w:rFonts w:eastAsia="Calibri"/>
          <w:lang w:eastAsia="en-US"/>
        </w:rPr>
        <w:t xml:space="preserve"> </w:t>
      </w:r>
    </w:p>
    <w:p w:rsidR="003A0629" w:rsidP="003A0629" w:rsidRDefault="003A0629" w14:paraId="7CB03F2E" w14:textId="77777777">
      <w:pPr>
        <w:pStyle w:val="broodtekst"/>
        <w:rPr>
          <w:rFonts w:eastAsia="Calibri"/>
          <w:lang w:eastAsia="en-US"/>
        </w:rPr>
      </w:pPr>
    </w:p>
    <w:p w:rsidR="003A0629" w:rsidP="003A0629" w:rsidRDefault="003A0629" w14:paraId="1074BCFA" w14:textId="77777777">
      <w:pPr>
        <w:pStyle w:val="broodtekst"/>
        <w:rPr>
          <w:rFonts w:eastAsia="Calibri" w:cs="Arial"/>
          <w:lang w:eastAsia="en-US"/>
        </w:rPr>
      </w:pPr>
      <w:r w:rsidRPr="00F70F6B">
        <w:rPr>
          <w:rFonts w:eastAsia="Calibri"/>
          <w:lang w:eastAsia="en-US"/>
        </w:rPr>
        <w:t xml:space="preserve">Tot slot hebben veel discriminatiezaken een intersectioneel karakter; een zaak kan betrekking hebben op meerdere discriminatiegronden. Dit kan ook pas later in het onderzoek blijken. Alle vormen van discriminatie die bewezen kunnen worden, worden uiteindelijk in de tenlastelegging meegenomen. </w:t>
      </w:r>
    </w:p>
    <w:p w:rsidR="003A0629" w:rsidP="003A0629" w:rsidRDefault="003A0629" w14:paraId="698280A2" w14:textId="77777777">
      <w:pPr>
        <w:pStyle w:val="broodtekst"/>
        <w:rPr>
          <w:rFonts w:eastAsia="Calibri" w:cs="Arial"/>
          <w:lang w:eastAsia="en-US"/>
        </w:rPr>
      </w:pPr>
      <w:r w:rsidRPr="00F70F6B">
        <w:rPr>
          <w:rFonts w:eastAsia="Calibri" w:cs="Arial"/>
          <w:lang w:eastAsia="en-US"/>
        </w:rPr>
        <w:t>Voor het OM geldt daarnaast dat het in beginsel een strafbaar feit of strafbare feiten slechts voor de rechter brengt, indien daarvoor voldoende bewijs bestaat. Dit leidt ertoe dat er meer feiten bij het OM instromen, dan wat er uiteindelijk door het OM aan de strafrechter wordt voorgelegd.</w:t>
      </w:r>
      <w:r>
        <w:rPr>
          <w:rFonts w:eastAsia="Calibri" w:cs="Arial"/>
          <w:lang w:eastAsia="en-US"/>
        </w:rPr>
        <w:t xml:space="preserve"> </w:t>
      </w:r>
    </w:p>
    <w:p w:rsidR="003A0629" w:rsidP="003A0629" w:rsidRDefault="003A0629" w14:paraId="4E8DC16F" w14:textId="77777777">
      <w:pPr>
        <w:pStyle w:val="broodtekst"/>
        <w:rPr>
          <w:rFonts w:eastAsia="Calibri" w:cs="Arial"/>
          <w:lang w:eastAsia="en-US"/>
        </w:rPr>
      </w:pPr>
      <w:r w:rsidRPr="00F70F6B">
        <w:rPr>
          <w:rFonts w:eastAsia="Calibri" w:cs="Arial"/>
          <w:lang w:eastAsia="en-US"/>
        </w:rPr>
        <w:t xml:space="preserve"> </w:t>
      </w:r>
      <w:r w:rsidRPr="00F70F6B">
        <w:rPr>
          <w:rFonts w:eastAsia="Calibri" w:cs="Arial"/>
          <w:highlight w:val="green"/>
          <w:lang w:eastAsia="en-US"/>
        </w:rPr>
        <w:t xml:space="preserve"> </w:t>
      </w:r>
    </w:p>
    <w:p w:rsidR="003A0629" w:rsidP="003A0629" w:rsidRDefault="003A0629" w14:paraId="2F429F75" w14:textId="77777777">
      <w:pPr>
        <w:rPr>
          <w:rFonts w:eastAsia="Calibri" w:cs="Arial"/>
        </w:rPr>
      </w:pPr>
      <w:r>
        <w:rPr>
          <w:rFonts w:eastAsia="Calibri" w:cs="Arial"/>
        </w:rPr>
        <w:t>Kortom: zaken kunnen op verschillende manieren instromen bij zowel politie als OM waardoor het lastig is om de cijfers van de politie te verbinden aan de cijfers van het OM en op basis daarvan conclusies te trekken.</w:t>
      </w:r>
    </w:p>
    <w:p w:rsidR="003A0629" w:rsidP="003A0629" w:rsidRDefault="003A0629" w14:paraId="29EC2711" w14:textId="77777777">
      <w:pPr>
        <w:rPr>
          <w:rFonts w:eastAsia="Calibri" w:cs="Arial"/>
        </w:rPr>
      </w:pPr>
    </w:p>
    <w:p w:rsidRPr="00923A3C" w:rsidR="003A0629" w:rsidP="003A0629" w:rsidRDefault="003A0629" w14:paraId="63A38FAA" w14:textId="77777777">
      <w:pPr>
        <w:rPr>
          <w:rFonts w:eastAsia="Calibri" w:cs="Arial"/>
        </w:rPr>
      </w:pPr>
    </w:p>
    <w:p w:rsidRPr="0064318E" w:rsidR="003A0629" w:rsidP="003A0629" w:rsidRDefault="003A0629" w14:paraId="14CB5A75" w14:textId="77777777">
      <w:pPr>
        <w:pStyle w:val="broodtekst"/>
        <w:rPr>
          <w:rFonts w:eastAsia="Calibri"/>
          <w:b/>
          <w:bCs/>
          <w:lang w:eastAsia="en-US"/>
        </w:rPr>
      </w:pPr>
      <w:r w:rsidRPr="0064318E">
        <w:rPr>
          <w:rFonts w:eastAsia="Calibri"/>
          <w:b/>
          <w:bCs/>
          <w:lang w:eastAsia="en-US"/>
        </w:rPr>
        <w:t>Vraag 4</w:t>
      </w:r>
    </w:p>
    <w:p w:rsidR="003A0629" w:rsidP="003A0629" w:rsidRDefault="003A0629" w14:paraId="5859EAFB" w14:textId="77777777">
      <w:pPr>
        <w:rPr>
          <w:rFonts w:eastAsia="Calibri" w:cs="Arial"/>
          <w:b/>
          <w:bCs/>
        </w:rPr>
      </w:pPr>
      <w:r w:rsidRPr="00D574CB">
        <w:rPr>
          <w:b/>
          <w:bCs/>
        </w:rPr>
        <w:t>Hoe verklaart u dat bijna de helft van de geregistreerde discriminatie-incidenten in 2023 betrekking had op herkomst, maar dat slechts 3% van deze meldingen door de politie werd doorgestuurd naar het OM?</w:t>
      </w:r>
    </w:p>
    <w:p w:rsidRPr="0064318E" w:rsidR="003A0629" w:rsidP="003A0629" w:rsidRDefault="003A0629" w14:paraId="0C988D08" w14:textId="77777777">
      <w:pPr>
        <w:pStyle w:val="broodtekst"/>
        <w:rPr>
          <w:rFonts w:eastAsia="Calibri"/>
          <w:b/>
          <w:bCs/>
        </w:rPr>
      </w:pPr>
      <w:r w:rsidRPr="0064318E">
        <w:rPr>
          <w:rFonts w:eastAsia="Calibri"/>
          <w:b/>
          <w:bCs/>
        </w:rPr>
        <w:t xml:space="preserve">Antwoord </w:t>
      </w:r>
      <w:r>
        <w:rPr>
          <w:rFonts w:eastAsia="Calibri"/>
          <w:b/>
          <w:bCs/>
        </w:rPr>
        <w:t xml:space="preserve">op </w:t>
      </w:r>
      <w:r w:rsidRPr="0064318E">
        <w:rPr>
          <w:rFonts w:eastAsia="Calibri"/>
          <w:b/>
          <w:bCs/>
        </w:rPr>
        <w:t>vraag 4</w:t>
      </w:r>
    </w:p>
    <w:p w:rsidR="003A0629" w:rsidP="003A0629" w:rsidRDefault="003A0629" w14:paraId="53672A52" w14:textId="77777777">
      <w:pPr>
        <w:pStyle w:val="broodtekst"/>
        <w:rPr>
          <w:rFonts w:eastAsia="Calibri"/>
        </w:rPr>
      </w:pPr>
      <w:r w:rsidRPr="0064318E">
        <w:rPr>
          <w:rFonts w:eastAsia="Calibri"/>
        </w:rPr>
        <w:t>De politie heeft mij laten weten dat een mogelijke verklaring te vinden is in de jaarcijfers discriminatie 2023</w:t>
      </w:r>
      <w:r>
        <w:rPr>
          <w:rFonts w:eastAsia="Calibri"/>
        </w:rPr>
        <w:t>. M</w:t>
      </w:r>
      <w:r w:rsidRPr="0064318E">
        <w:rPr>
          <w:rFonts w:eastAsia="Calibri"/>
        </w:rPr>
        <w:t>eldingen over de buurt of wijk gaan bovengemiddeld vaak over discriminatie op grond van herkomst. In het overgrote deel gaat het om meldingen van beledigingen, pesterijen of agressie van buren: mensen die via de tuinschutting racistische opmerkingen naar hun buren uitspreken, kinderen die door de andere buurtkinderen worden getreiterd vanwege hun herkomst of mensen die gevlucht zijn uit een ander land en die er door hun buren op worden gewezen dat ze niet welkom zijn. In dergelijke zaken wordt in aanleg veelal gekozen voor een betekenisvolle afdoening zoals een stopgesprek, bemiddeling, doorverwijzing naar een antidiscriminatievoorzieningen (ADV) of iets anders.</w:t>
      </w:r>
      <w:r>
        <w:rPr>
          <w:rFonts w:eastAsia="Calibri"/>
        </w:rPr>
        <w:t xml:space="preserve"> Door deze alternatieve betekenisvolle afdoening hoeven meldingen niet doorgestuurd te worden naar het OM en komen deze meldingen ook niet terug in de cijfers van het OM. </w:t>
      </w:r>
    </w:p>
    <w:p w:rsidR="003A0629" w:rsidP="003A0629" w:rsidRDefault="003A0629" w14:paraId="37CF7165" w14:textId="77777777">
      <w:pPr>
        <w:pStyle w:val="broodtekst"/>
        <w:rPr>
          <w:rFonts w:eastAsia="Calibri"/>
        </w:rPr>
      </w:pPr>
    </w:p>
    <w:p w:rsidRPr="0064318E" w:rsidR="003A0629" w:rsidP="003A0629" w:rsidRDefault="003A0629" w14:paraId="2C3DEEDC" w14:textId="77777777">
      <w:pPr>
        <w:pStyle w:val="broodtekst"/>
        <w:rPr>
          <w:rFonts w:eastAsia="Calibri"/>
        </w:rPr>
      </w:pPr>
      <w:r w:rsidRPr="0064318E">
        <w:rPr>
          <w:rFonts w:eastAsia="Calibri"/>
        </w:rPr>
        <w:t>Nog een (aanvullende) verklaring kan zijn</w:t>
      </w:r>
      <w:r>
        <w:rPr>
          <w:rFonts w:eastAsia="Calibri"/>
        </w:rPr>
        <w:t xml:space="preserve"> dat</w:t>
      </w:r>
      <w:r w:rsidRPr="0064318E">
        <w:rPr>
          <w:rFonts w:eastAsia="Calibri"/>
        </w:rPr>
        <w:t xml:space="preserve"> de cijfers van de politie ook meldingen </w:t>
      </w:r>
      <w:r>
        <w:rPr>
          <w:rFonts w:eastAsia="Calibri"/>
        </w:rPr>
        <w:t xml:space="preserve">omvatten </w:t>
      </w:r>
      <w:r w:rsidRPr="0064318E">
        <w:rPr>
          <w:rFonts w:eastAsia="Calibri"/>
        </w:rPr>
        <w:t xml:space="preserve">van ervaren discriminatie. In het geval van </w:t>
      </w:r>
      <w:r>
        <w:rPr>
          <w:rFonts w:eastAsia="Calibri"/>
        </w:rPr>
        <w:t xml:space="preserve">discriminatie op grond van </w:t>
      </w:r>
      <w:r w:rsidRPr="0064318E">
        <w:rPr>
          <w:rFonts w:eastAsia="Calibri"/>
        </w:rPr>
        <w:t xml:space="preserve">ras/herkomst gaat het om meldingen die de politie registreert over racistische uitingen zonder dat er duidelijke, strafrechtelijke aanknopingspunten </w:t>
      </w:r>
      <w:r w:rsidRPr="0064318E">
        <w:rPr>
          <w:rFonts w:eastAsia="Calibri"/>
        </w:rPr>
        <w:lastRenderedPageBreak/>
        <w:t>zijn. Het beeld is dat zij een substantieel deel van de meldingen over ras/herkomst uitmaken.</w:t>
      </w:r>
    </w:p>
    <w:p w:rsidR="003A0629" w:rsidP="003A0629" w:rsidRDefault="003A0629" w14:paraId="5F01261E" w14:textId="77777777">
      <w:pPr>
        <w:pStyle w:val="broodtekst"/>
        <w:rPr>
          <w:b/>
          <w:bCs/>
        </w:rPr>
      </w:pPr>
    </w:p>
    <w:p w:rsidRPr="0064318E" w:rsidR="003A0629" w:rsidP="003A0629" w:rsidRDefault="003A0629" w14:paraId="4A202F94" w14:textId="77777777">
      <w:pPr>
        <w:pStyle w:val="broodtekst"/>
        <w:rPr>
          <w:b/>
          <w:bCs/>
        </w:rPr>
      </w:pPr>
      <w:r w:rsidRPr="0064318E">
        <w:rPr>
          <w:b/>
          <w:bCs/>
        </w:rPr>
        <w:t>Vraag 5</w:t>
      </w:r>
    </w:p>
    <w:p w:rsidRPr="0064318E" w:rsidR="003A0629" w:rsidP="003A0629" w:rsidRDefault="003A0629" w14:paraId="4FCE2312" w14:textId="77777777">
      <w:pPr>
        <w:rPr>
          <w:b/>
          <w:bCs/>
        </w:rPr>
      </w:pPr>
      <w:r w:rsidRPr="00D574CB">
        <w:rPr>
          <w:b/>
          <w:bCs/>
        </w:rPr>
        <w:t>Klopt het dat de politie niet in staat is om meldingen, aangiftes en waarnemingen van aangiftes van agenten te onderscheiden naar discriminatiegronden? Zo ja, welke stappen worden ondernomen om dit gebrek aan inzicht te verbeteren?</w:t>
      </w:r>
    </w:p>
    <w:p w:rsidR="003A0629" w:rsidP="003A0629" w:rsidRDefault="003A0629" w14:paraId="32244F5E" w14:textId="77777777">
      <w:pPr>
        <w:pStyle w:val="broodtekst"/>
        <w:rPr>
          <w:b/>
          <w:bCs/>
        </w:rPr>
      </w:pPr>
      <w:r w:rsidRPr="0064318E">
        <w:rPr>
          <w:b/>
          <w:bCs/>
        </w:rPr>
        <w:t>Antwoord op vraag 5</w:t>
      </w:r>
    </w:p>
    <w:p w:rsidR="003A0629" w:rsidP="003A0629" w:rsidRDefault="003A0629" w14:paraId="36059D38" w14:textId="77777777">
      <w:pPr>
        <w:pStyle w:val="broodtekst"/>
        <w:rPr>
          <w:b/>
          <w:bCs/>
        </w:rPr>
      </w:pPr>
      <w:r w:rsidRPr="0064318E">
        <w:t xml:space="preserve">Jaarlijks worden de discriminatiecijfers gepubliceerd van de politie, de ADV’s, het meldpunt voor discriminatie op het internet Meld. Online Discriminatie, het College voor de Rechten van de Mens, de Nationale ombudsman en de Kinderombudsman. Voor deze jaarlijkse rapportage maakt de politie een uitsplitsing op discriminatiegronden. Dit is een erg arbeidsintensief proces, waarbij de afweging </w:t>
      </w:r>
      <w:r>
        <w:t>is</w:t>
      </w:r>
      <w:r w:rsidRPr="0064318E">
        <w:t xml:space="preserve"> gemaakt dat de inspanning die momenteel wordt geleverd voor het genereren van cijfers afdoende is.</w:t>
      </w:r>
    </w:p>
    <w:p w:rsidRPr="00923A3C" w:rsidR="003A0629" w:rsidP="003A0629" w:rsidRDefault="003A0629" w14:paraId="106D3F8B" w14:textId="77777777">
      <w:pPr>
        <w:pStyle w:val="broodtekst"/>
        <w:rPr>
          <w:b/>
          <w:bCs/>
        </w:rPr>
      </w:pPr>
    </w:p>
    <w:p w:rsidRPr="0064318E" w:rsidR="003A0629" w:rsidP="003A0629" w:rsidRDefault="003A0629" w14:paraId="4A2B74F0" w14:textId="77777777">
      <w:pPr>
        <w:pStyle w:val="broodtekst"/>
        <w:rPr>
          <w:b/>
          <w:bCs/>
        </w:rPr>
      </w:pPr>
      <w:r w:rsidRPr="0064318E">
        <w:rPr>
          <w:b/>
          <w:bCs/>
        </w:rPr>
        <w:t xml:space="preserve">Vraag </w:t>
      </w:r>
      <w:r>
        <w:rPr>
          <w:b/>
          <w:bCs/>
        </w:rPr>
        <w:t>6</w:t>
      </w:r>
    </w:p>
    <w:p w:rsidRPr="0064318E" w:rsidR="003A0629" w:rsidP="003A0629" w:rsidRDefault="003A0629" w14:paraId="0031F2EF" w14:textId="77777777">
      <w:pPr>
        <w:rPr>
          <w:b/>
          <w:bCs/>
        </w:rPr>
      </w:pPr>
      <w:r w:rsidRPr="00D574CB">
        <w:rPr>
          <w:b/>
          <w:bCs/>
        </w:rPr>
        <w:t>Erkent u dat het gebrek aan vertrouwen in de politie onder sommige groepen, zoals mensen met een migratieachtergrond, de aangiftebereidheid kan verminderen, aldus geformuleerd door politicoloog Mounir Samuel? Zo ja, welke stappen onderneemt u om dit vertrouwen te herstellen?</w:t>
      </w:r>
    </w:p>
    <w:p w:rsidRPr="0064318E" w:rsidR="003A0629" w:rsidP="003A0629" w:rsidRDefault="003A0629" w14:paraId="174162D7" w14:textId="77777777">
      <w:pPr>
        <w:pStyle w:val="broodtekst"/>
        <w:rPr>
          <w:b/>
          <w:bCs/>
        </w:rPr>
      </w:pPr>
      <w:r w:rsidRPr="0064318E">
        <w:rPr>
          <w:b/>
          <w:bCs/>
        </w:rPr>
        <w:t xml:space="preserve">Antwoord op vraag </w:t>
      </w:r>
      <w:r>
        <w:rPr>
          <w:b/>
          <w:bCs/>
        </w:rPr>
        <w:t>6</w:t>
      </w:r>
    </w:p>
    <w:p w:rsidRPr="0064318E" w:rsidR="003A0629" w:rsidP="003A0629" w:rsidRDefault="003A0629" w14:paraId="4279856F" w14:textId="77777777">
      <w:pPr>
        <w:pStyle w:val="broodtekst"/>
      </w:pPr>
      <w:r>
        <w:t>B</w:t>
      </w:r>
      <w:r w:rsidRPr="0064318E">
        <w:t xml:space="preserve">ij sommige mensen </w:t>
      </w:r>
      <w:r>
        <w:t xml:space="preserve">heerst inderdaad </w:t>
      </w:r>
      <w:r w:rsidRPr="0064318E">
        <w:t xml:space="preserve">het gevoel dat het doen van aangifte (van discriminatie) niet altijd loont. De politie herkent dit signaal en neemt het zeer serieus. Het is van groot belang dat een strafrechtelijk discriminatieaspect bij de politie adequaat wordt herkend, zodat opsporing en vervolging kan plaatsvinden. Het Expertise Centrum Aanpak Discriminatie-Politie (ECAD-P) vraagt binnen de eenheden voortdurend aandacht voor de herkenning van alle vormen van discriminatie zoals opgenomen in het Wetboek van Strafrecht en voor de bejegening van slachtoffers daarvan. Het ECAD-P begeleidt de eenheden onder meer bij het opnemen van aangiften en ondersteunt bij de opsporing. </w:t>
      </w:r>
      <w:r>
        <w:t>Hoewel</w:t>
      </w:r>
      <w:r w:rsidRPr="0064318E">
        <w:t xml:space="preserve"> niet elke aangifte leidt tot strafrechtelijke vervolging, kan de politie de aangever (of melder) </w:t>
      </w:r>
      <w:r>
        <w:t xml:space="preserve">alsnog </w:t>
      </w:r>
      <w:r w:rsidRPr="0064318E">
        <w:t xml:space="preserve">tot steun zijn, bijvoorbeeld met een doorverwijzing naar een ADV van de gemeente. De politie investeert ook in de bejegening van de melder. </w:t>
      </w:r>
      <w:r w:rsidRPr="0064318E">
        <w:br/>
      </w:r>
    </w:p>
    <w:p w:rsidRPr="0064318E" w:rsidR="003A0629" w:rsidP="003A0629" w:rsidRDefault="003A0629" w14:paraId="4B00C56D" w14:textId="77777777">
      <w:pPr>
        <w:pStyle w:val="broodtekst"/>
        <w:rPr>
          <w:b/>
          <w:bCs/>
        </w:rPr>
      </w:pPr>
      <w:r w:rsidRPr="0064318E">
        <w:rPr>
          <w:b/>
          <w:bCs/>
        </w:rPr>
        <w:t xml:space="preserve">Vraag </w:t>
      </w:r>
      <w:r>
        <w:rPr>
          <w:b/>
          <w:bCs/>
        </w:rPr>
        <w:t>7</w:t>
      </w:r>
    </w:p>
    <w:p w:rsidRPr="0064318E" w:rsidR="003A0629" w:rsidP="003A0629" w:rsidRDefault="003A0629" w14:paraId="77A2CB4C" w14:textId="77777777">
      <w:pPr>
        <w:rPr>
          <w:b/>
          <w:bCs/>
        </w:rPr>
      </w:pPr>
      <w:r w:rsidRPr="00D574CB">
        <w:rPr>
          <w:b/>
          <w:bCs/>
        </w:rPr>
        <w:t>Bent u het ermee eens dat alle vormen van discriminatie en haatmisdrijven evenveel aandacht verdienen van politie en het Openbaar Ministerie? Zo ja, welke concrete stappen bent u bereid te nemen om gelijke behandeling te waarborgen?</w:t>
      </w:r>
    </w:p>
    <w:p w:rsidRPr="0064318E" w:rsidR="003A0629" w:rsidP="003A0629" w:rsidRDefault="003A0629" w14:paraId="3B5E279C" w14:textId="77777777">
      <w:pPr>
        <w:pStyle w:val="broodtekst"/>
        <w:rPr>
          <w:b/>
          <w:bCs/>
        </w:rPr>
      </w:pPr>
      <w:r w:rsidRPr="0064318E">
        <w:rPr>
          <w:b/>
          <w:bCs/>
        </w:rPr>
        <w:t xml:space="preserve">Antwoord op vraag </w:t>
      </w:r>
      <w:r>
        <w:rPr>
          <w:b/>
          <w:bCs/>
        </w:rPr>
        <w:t>7</w:t>
      </w:r>
    </w:p>
    <w:p w:rsidR="003A0629" w:rsidP="003A0629" w:rsidRDefault="003A0629" w14:paraId="26224F09" w14:textId="77777777">
      <w:pPr>
        <w:pStyle w:val="broodtekst"/>
      </w:pPr>
      <w:r>
        <w:t xml:space="preserve">Ik vind inderdaad dat alle vormen van discriminatie en haatmisdrijven evenveel aandacht verdienen van de politie en het Openbaar Ministerie. Daarom investeert het kabinet in de bestendiging van de aanpak door de politie van alle vormen van discriminatie door het Expertisecentrum Aanpak Discriminatie Politie (ECAD-P) </w:t>
      </w:r>
      <w:r>
        <w:lastRenderedPageBreak/>
        <w:t>structureel te financieren. Ook het OM beschikt over een Landelijk Expertisecentrum Discriminatie (LECD). Op alle arrondissementsparketten werkt een officier van justitie die discriminatie als specialisme heeft en er is een advocaat-generaal die eveneens discriminatie in portefeuille heeft.</w:t>
      </w:r>
      <w:r w:rsidDel="00F81304">
        <w:t xml:space="preserve"> </w:t>
      </w:r>
      <w:r>
        <w:t>Het kabinet ondersteunt het bestaande beleid van politie en het OM waarin de aanpak van alle vormen van discriminatie prioriteit heeft.</w:t>
      </w:r>
    </w:p>
    <w:p w:rsidR="003A0629" w:rsidP="003A0629" w:rsidRDefault="003A0629" w14:paraId="0D3ECB10" w14:textId="77777777">
      <w:pPr>
        <w:pStyle w:val="broodtekst"/>
        <w:rPr>
          <w:b/>
          <w:bCs/>
        </w:rPr>
      </w:pPr>
    </w:p>
    <w:p w:rsidRPr="0064318E" w:rsidR="003A0629" w:rsidP="003A0629" w:rsidRDefault="003A0629" w14:paraId="3D00E088" w14:textId="77777777">
      <w:pPr>
        <w:pStyle w:val="broodtekst"/>
        <w:rPr>
          <w:b/>
          <w:bCs/>
        </w:rPr>
      </w:pPr>
      <w:r w:rsidRPr="0064318E">
        <w:rPr>
          <w:b/>
          <w:bCs/>
        </w:rPr>
        <w:t xml:space="preserve">Vraag </w:t>
      </w:r>
      <w:r>
        <w:rPr>
          <w:b/>
          <w:bCs/>
        </w:rPr>
        <w:t>8</w:t>
      </w:r>
    </w:p>
    <w:p w:rsidRPr="00D574CB" w:rsidR="003A0629" w:rsidP="003A0629" w:rsidRDefault="003A0629" w14:paraId="65B29254" w14:textId="77777777">
      <w:pPr>
        <w:rPr>
          <w:b/>
          <w:bCs/>
        </w:rPr>
      </w:pPr>
      <w:r w:rsidRPr="00D574CB">
        <w:rPr>
          <w:b/>
          <w:bCs/>
        </w:rPr>
        <w:t>Hoe verklaart u dat meldingen van discriminatie op grond van het islamitisch geloof niet apart worden geregistreerd, terwijl dit bij antisemitisme wel het geval is? Bent u bereid te onderzoeken of deze registratie kan worden aangepast, zodat er beter inzicht ontstaat in de aard en omvang van moslimdiscriminatie?</w:t>
      </w:r>
    </w:p>
    <w:p w:rsidR="003A0629" w:rsidP="003A0629" w:rsidRDefault="003A0629" w14:paraId="0EA480F4" w14:textId="77777777">
      <w:pPr>
        <w:pStyle w:val="broodtekst"/>
        <w:rPr>
          <w:b/>
          <w:bCs/>
        </w:rPr>
      </w:pPr>
    </w:p>
    <w:p w:rsidRPr="0064318E" w:rsidR="003A0629" w:rsidP="003A0629" w:rsidRDefault="003A0629" w14:paraId="57F3BB59" w14:textId="77777777">
      <w:pPr>
        <w:pStyle w:val="broodtekst"/>
        <w:rPr>
          <w:b/>
          <w:bCs/>
        </w:rPr>
      </w:pPr>
      <w:r w:rsidRPr="0064318E">
        <w:rPr>
          <w:b/>
          <w:bCs/>
        </w:rPr>
        <w:t xml:space="preserve">Vraag </w:t>
      </w:r>
      <w:r>
        <w:rPr>
          <w:b/>
          <w:bCs/>
        </w:rPr>
        <w:t>9</w:t>
      </w:r>
    </w:p>
    <w:p w:rsidR="003A0629" w:rsidP="003A0629" w:rsidRDefault="003A0629" w14:paraId="3C6733B4" w14:textId="77777777">
      <w:pPr>
        <w:rPr>
          <w:b/>
          <w:bCs/>
        </w:rPr>
      </w:pPr>
      <w:r w:rsidRPr="00D574CB">
        <w:rPr>
          <w:b/>
          <w:bCs/>
        </w:rPr>
        <w:t>Hoe verklaart u dat meldingen van discriminatie op basis van herkomst niet apart worden geregistreerd, terwijl dit bij antisemitisme wel het geval is? Bent u bereid om te onderzoeken of deze registratie aangepast kan worden, zodat er beter inzicht ontstaat in de aard en omvang van anti-Zwart racisme, anti-Aziatisch racisme en anti-Ziganisme?</w:t>
      </w:r>
    </w:p>
    <w:p w:rsidRPr="0064318E" w:rsidR="003A0629" w:rsidP="003A0629" w:rsidRDefault="003A0629" w14:paraId="5E374938" w14:textId="77777777">
      <w:pPr>
        <w:pStyle w:val="broodtekst"/>
        <w:rPr>
          <w:b/>
          <w:bCs/>
        </w:rPr>
      </w:pPr>
    </w:p>
    <w:p w:rsidRPr="0064318E" w:rsidR="003A0629" w:rsidP="003A0629" w:rsidRDefault="003A0629" w14:paraId="0A00D877" w14:textId="77777777">
      <w:pPr>
        <w:pStyle w:val="broodtekst"/>
        <w:rPr>
          <w:b/>
          <w:bCs/>
        </w:rPr>
      </w:pPr>
      <w:r w:rsidRPr="0064318E">
        <w:rPr>
          <w:b/>
          <w:bCs/>
        </w:rPr>
        <w:t>Antwoord op vra</w:t>
      </w:r>
      <w:r>
        <w:rPr>
          <w:b/>
          <w:bCs/>
        </w:rPr>
        <w:t>gen 8 en</w:t>
      </w:r>
      <w:r w:rsidRPr="0064318E">
        <w:rPr>
          <w:b/>
          <w:bCs/>
        </w:rPr>
        <w:t xml:space="preserve"> </w:t>
      </w:r>
      <w:r>
        <w:rPr>
          <w:b/>
          <w:bCs/>
        </w:rPr>
        <w:t>9</w:t>
      </w:r>
    </w:p>
    <w:p w:rsidR="003A0629" w:rsidP="003A0629" w:rsidRDefault="003A0629" w14:paraId="5D7D0F04" w14:textId="77777777">
      <w:pPr>
        <w:pStyle w:val="broodtekst"/>
        <w:rPr>
          <w:b/>
          <w:bCs/>
        </w:rPr>
      </w:pPr>
      <w:r w:rsidRPr="00311296">
        <w:t xml:space="preserve">De politie </w:t>
      </w:r>
      <w:r>
        <w:t xml:space="preserve">en het OM </w:t>
      </w:r>
      <w:r w:rsidRPr="00311296">
        <w:t>registrer</w:t>
      </w:r>
      <w:r>
        <w:t>en</w:t>
      </w:r>
      <w:r w:rsidRPr="00311296">
        <w:t xml:space="preserve"> op basis van alle discriminatiegronden zoals opgenomen in het Wetboek van Strafrecht. </w:t>
      </w:r>
      <w:r>
        <w:t xml:space="preserve">Voor de politie geldt dat de verdere uitsplitsing in de cijfers plaatsvindt in de jaarlijkse publicatie van de discriminatiecijfers. </w:t>
      </w:r>
      <w:r w:rsidRPr="00F41B5F">
        <w:t xml:space="preserve">Het OM rapporteert op basis van de discriminatiegronden die zijn genoemd in de wet. Bij de discriminatiegrond ‘godsdienst of levensovertuiging’ rapporteert het OM in </w:t>
      </w:r>
      <w:r>
        <w:t>zijn</w:t>
      </w:r>
      <w:r w:rsidRPr="00F41B5F">
        <w:t xml:space="preserve"> jaarrapportage in de toelichting bij de tabellen om welke vorm</w:t>
      </w:r>
      <w:r>
        <w:t xml:space="preserve"> van discriminatie</w:t>
      </w:r>
      <w:r w:rsidRPr="00F41B5F">
        <w:t xml:space="preserve"> het ging. In 2023 ging het bij de grond ‘godsdienst of levensovertuiging’ bij alle geregistreerde feiten over (aanhangers van) de islam.</w:t>
      </w:r>
      <w:r>
        <w:rPr>
          <w:rStyle w:val="Voetnootmarkering"/>
        </w:rPr>
        <w:footnoteReference w:id="6"/>
      </w:r>
      <w:r w:rsidRPr="00F41B5F">
        <w:t xml:space="preserve"> Juridisch gezien </w:t>
      </w:r>
      <w:r>
        <w:t>kan</w:t>
      </w:r>
      <w:r w:rsidRPr="00F41B5F">
        <w:t xml:space="preserve"> antisemitisme zowel onder de grond ras als godsdienst</w:t>
      </w:r>
      <w:r>
        <w:t xml:space="preserve"> vallen</w:t>
      </w:r>
      <w:r w:rsidRPr="00F41B5F">
        <w:t xml:space="preserve">. Antisemitisme wordt om </w:t>
      </w:r>
      <w:r>
        <w:t xml:space="preserve">die reden </w:t>
      </w:r>
      <w:r w:rsidRPr="00F41B5F">
        <w:t>apart geregistreerd, zodat voor deze gronden geen vertekend beeld ontstaat.</w:t>
      </w:r>
      <w:r>
        <w:rPr>
          <w:rStyle w:val="Voetnootmarkering"/>
        </w:rPr>
        <w:footnoteReference w:id="7"/>
      </w:r>
    </w:p>
    <w:p w:rsidR="003A0629" w:rsidP="003A0629" w:rsidRDefault="003A0629" w14:paraId="21B5F8BA" w14:textId="77777777">
      <w:pPr>
        <w:pStyle w:val="broodtekst"/>
        <w:rPr>
          <w:b/>
          <w:bCs/>
        </w:rPr>
      </w:pPr>
    </w:p>
    <w:p w:rsidR="003A0629" w:rsidP="003A0629" w:rsidRDefault="003A0629" w14:paraId="5D13BD1A" w14:textId="77777777">
      <w:pPr>
        <w:rPr>
          <w:b/>
          <w:bCs/>
        </w:rPr>
      </w:pPr>
      <w:r w:rsidRPr="0064318E">
        <w:rPr>
          <w:b/>
          <w:bCs/>
        </w:rPr>
        <w:t xml:space="preserve">Vraag </w:t>
      </w:r>
      <w:r>
        <w:rPr>
          <w:b/>
          <w:bCs/>
        </w:rPr>
        <w:t>10</w:t>
      </w:r>
      <w:r>
        <w:rPr>
          <w:b/>
          <w:bCs/>
        </w:rPr>
        <w:br/>
      </w:r>
      <w:r w:rsidRPr="00735786">
        <w:rPr>
          <w:b/>
          <w:bCs/>
        </w:rPr>
        <w:t>Wilt u zo spoedig mogelijk een gedetailleerd overzicht van het aantal discriminatiemeldingen, aangiftes en doorgeleidingen naar het OM per discriminatiegrond over de afgelopen drie jaar naar de Kamer sturen?</w:t>
      </w:r>
    </w:p>
    <w:p w:rsidRPr="0064318E" w:rsidR="003A0629" w:rsidP="003A0629" w:rsidRDefault="003A0629" w14:paraId="594A7DDD" w14:textId="77777777">
      <w:pPr>
        <w:pStyle w:val="broodtekst"/>
        <w:rPr>
          <w:b/>
          <w:bCs/>
        </w:rPr>
      </w:pPr>
    </w:p>
    <w:p w:rsidRPr="0064318E" w:rsidR="003A0629" w:rsidP="003A0629" w:rsidRDefault="003A0629" w14:paraId="19CB64F3" w14:textId="77777777">
      <w:pPr>
        <w:pStyle w:val="broodtekst"/>
        <w:rPr>
          <w:b/>
          <w:bCs/>
        </w:rPr>
      </w:pPr>
      <w:r w:rsidRPr="0064318E">
        <w:rPr>
          <w:b/>
          <w:bCs/>
        </w:rPr>
        <w:t xml:space="preserve">Antwoord op vraag </w:t>
      </w:r>
      <w:r>
        <w:rPr>
          <w:b/>
          <w:bCs/>
        </w:rPr>
        <w:t>10</w:t>
      </w:r>
    </w:p>
    <w:p w:rsidRPr="002B4A36" w:rsidR="003A0629" w:rsidP="003A0629" w:rsidRDefault="003A0629" w14:paraId="2AEC73B4" w14:textId="77777777">
      <w:pPr>
        <w:pStyle w:val="broodtekst"/>
      </w:pPr>
      <w:r>
        <w:t xml:space="preserve">Nee, hiertoe ben ik niet bereid. Zoals eerder in deze beantwoording aangegeven, zijn de cijfers van de politie en OM lastig aan elkaar te relateren. Zoals Controle Alt Delete zelf ook aangeeft, is er geen duidelijke verklaring voor de verschillen in percentages. Ik acht het dan ook een disproportionele aanwending van capaciteit en middelen om op basis van de conclusies van het onderzoek van Controle Alt </w:t>
      </w:r>
      <w:r>
        <w:lastRenderedPageBreak/>
        <w:t>Delete organisaties zoals ADV’s, politie en OM te moeten vragen om hun onderzoeksmethodiek voor het verzamelen en aggregeren van cijfers op fundamentele wijze te moeten herzien. Jaarlijks wordt een r</w:t>
      </w:r>
      <w:r w:rsidRPr="00735786">
        <w:t xml:space="preserve">apport </w:t>
      </w:r>
      <w:r>
        <w:t xml:space="preserve">gepubliceerd </w:t>
      </w:r>
      <w:r w:rsidRPr="00735786">
        <w:t xml:space="preserve">over registraties van discriminatie-incidenten door de politie, en meldingen bij </w:t>
      </w:r>
      <w:r>
        <w:t>ADV’s</w:t>
      </w:r>
      <w:r w:rsidRPr="00735786">
        <w:t xml:space="preserve"> en andere organisaties in Nederland</w:t>
      </w:r>
      <w:r>
        <w:t xml:space="preserve"> (zie vraag 5). Daarnaast publiceert het OM ook jaarlijks hun cijferbeeld, het rapport Strafbare Discriminatie in Beeld.  </w:t>
      </w:r>
    </w:p>
    <w:p w:rsidR="003A0629" w:rsidP="003A0629" w:rsidRDefault="003A0629" w14:paraId="4C1F876C" w14:textId="77777777">
      <w:pPr>
        <w:pStyle w:val="broodtekst"/>
        <w:rPr>
          <w:b/>
          <w:bCs/>
        </w:rPr>
      </w:pPr>
    </w:p>
    <w:p w:rsidRPr="0064318E" w:rsidR="003A0629" w:rsidP="003A0629" w:rsidRDefault="003A0629" w14:paraId="709B1B90" w14:textId="77777777">
      <w:pPr>
        <w:pStyle w:val="broodtekst"/>
        <w:rPr>
          <w:b/>
          <w:bCs/>
        </w:rPr>
      </w:pPr>
      <w:r w:rsidRPr="0064318E">
        <w:rPr>
          <w:b/>
          <w:bCs/>
        </w:rPr>
        <w:t xml:space="preserve">Vraag </w:t>
      </w:r>
      <w:r>
        <w:rPr>
          <w:b/>
          <w:bCs/>
        </w:rPr>
        <w:t>11</w:t>
      </w:r>
    </w:p>
    <w:p w:rsidRPr="00735786" w:rsidR="003A0629" w:rsidP="003A0629" w:rsidRDefault="003A0629" w14:paraId="097D61A5" w14:textId="77777777">
      <w:pPr>
        <w:rPr>
          <w:b/>
          <w:bCs/>
        </w:rPr>
      </w:pPr>
      <w:r w:rsidRPr="00735786">
        <w:rPr>
          <w:b/>
          <w:bCs/>
        </w:rPr>
        <w:t>Bent u bereid in overleg te treden met de politie en het OM om een herziening van het discriminatiebeleid te bespreken, gericht op een gelijke behandeling van alle vormen van discriminatie? Zo nee, waarom niet?</w:t>
      </w:r>
    </w:p>
    <w:p w:rsidRPr="0064318E" w:rsidR="003A0629" w:rsidP="003A0629" w:rsidRDefault="003A0629" w14:paraId="2A17B402" w14:textId="77777777">
      <w:pPr>
        <w:pStyle w:val="broodtekst"/>
        <w:rPr>
          <w:b/>
          <w:bCs/>
        </w:rPr>
      </w:pPr>
    </w:p>
    <w:p w:rsidRPr="0064318E" w:rsidR="003A0629" w:rsidP="003A0629" w:rsidRDefault="003A0629" w14:paraId="6A618BFD" w14:textId="77777777">
      <w:pPr>
        <w:pStyle w:val="broodtekst"/>
        <w:rPr>
          <w:b/>
          <w:bCs/>
        </w:rPr>
      </w:pPr>
      <w:r w:rsidRPr="0064318E">
        <w:rPr>
          <w:b/>
          <w:bCs/>
        </w:rPr>
        <w:t xml:space="preserve">Antwoord op vraag </w:t>
      </w:r>
      <w:r>
        <w:rPr>
          <w:b/>
          <w:bCs/>
        </w:rPr>
        <w:t>11</w:t>
      </w:r>
    </w:p>
    <w:p w:rsidR="003A0629" w:rsidP="003A0629" w:rsidRDefault="003A0629" w14:paraId="3B444BE4" w14:textId="77777777">
      <w:pPr>
        <w:pStyle w:val="broodtekst"/>
        <w:rPr>
          <w:rStyle w:val="Verwijzingopmerking"/>
          <w:sz w:val="22"/>
          <w:szCs w:val="22"/>
        </w:rPr>
      </w:pPr>
      <w:r>
        <w:t>Ik zie daartoe geen aanleiding. In het beleid van het OM met betrekking tot de aanpak van discriminatie, dat is neergelegd in de Aanwijzing Discriminatie, wordt geen onderscheid gemaakt tussen de aanpak van de verschillende discriminatiegronden. De aanwijzing is, naast de wet, ook leidend voor de politie. A</w:t>
      </w:r>
      <w:r w:rsidRPr="00D00BAE">
        <w:t xml:space="preserve">lle gevallen van discriminatie </w:t>
      </w:r>
      <w:r>
        <w:t xml:space="preserve">worden </w:t>
      </w:r>
      <w:r w:rsidRPr="00D00BAE">
        <w:t>door politie en OM op gelijke wijze behandeld, waarbij geen onderscheid wordt gemaakt naar de discriminatiegrond.</w:t>
      </w:r>
      <w:r w:rsidRPr="00D00BAE">
        <w:rPr>
          <w:rStyle w:val="Verwijzingopmerking"/>
          <w:sz w:val="22"/>
          <w:szCs w:val="22"/>
        </w:rPr>
        <w:t xml:space="preserve"> </w:t>
      </w:r>
    </w:p>
    <w:p w:rsidRPr="00923A3C" w:rsidR="003A0629" w:rsidP="003A0629" w:rsidRDefault="003A0629" w14:paraId="462041A5" w14:textId="77777777">
      <w:pPr>
        <w:pStyle w:val="broodtekst"/>
      </w:pPr>
    </w:p>
    <w:p w:rsidRPr="0064318E" w:rsidR="003A0629" w:rsidP="003A0629" w:rsidRDefault="003A0629" w14:paraId="5E832C48" w14:textId="77777777">
      <w:pPr>
        <w:pStyle w:val="broodtekst"/>
        <w:rPr>
          <w:b/>
          <w:bCs/>
        </w:rPr>
      </w:pPr>
      <w:r w:rsidRPr="0064318E">
        <w:rPr>
          <w:b/>
          <w:bCs/>
        </w:rPr>
        <w:t xml:space="preserve">Vraag </w:t>
      </w:r>
      <w:r>
        <w:rPr>
          <w:b/>
          <w:bCs/>
        </w:rPr>
        <w:t>12</w:t>
      </w:r>
    </w:p>
    <w:p w:rsidR="003A0629" w:rsidP="003A0629" w:rsidRDefault="003A0629" w14:paraId="6946C216" w14:textId="77777777">
      <w:pPr>
        <w:rPr>
          <w:b/>
          <w:bCs/>
        </w:rPr>
      </w:pPr>
      <w:r w:rsidRPr="00735786">
        <w:rPr>
          <w:b/>
          <w:bCs/>
        </w:rPr>
        <w:t>Bent u bereid een extern en onafhankelijk onderzoek te laten uitvoeren naar de verschillen in behandeling van discriminatiemeldingen door de politie en het OM? Zo ja, op welke termijn? Zo nee, waarom niet?</w:t>
      </w:r>
    </w:p>
    <w:p w:rsidRPr="0064318E" w:rsidR="003A0629" w:rsidP="003A0629" w:rsidRDefault="003A0629" w14:paraId="5A90B077" w14:textId="77777777">
      <w:pPr>
        <w:pStyle w:val="broodtekst"/>
        <w:rPr>
          <w:b/>
          <w:bCs/>
        </w:rPr>
      </w:pPr>
    </w:p>
    <w:p w:rsidRPr="0064318E" w:rsidR="003A0629" w:rsidP="003A0629" w:rsidRDefault="003A0629" w14:paraId="7BCEA356" w14:textId="77777777">
      <w:pPr>
        <w:pStyle w:val="broodtekst"/>
        <w:rPr>
          <w:b/>
          <w:bCs/>
        </w:rPr>
      </w:pPr>
      <w:r w:rsidRPr="0064318E">
        <w:rPr>
          <w:b/>
          <w:bCs/>
        </w:rPr>
        <w:t xml:space="preserve">Antwoord op vraag </w:t>
      </w:r>
      <w:r>
        <w:rPr>
          <w:b/>
          <w:bCs/>
        </w:rPr>
        <w:t>12</w:t>
      </w:r>
    </w:p>
    <w:p w:rsidR="003A0629" w:rsidP="003A0629" w:rsidRDefault="003A0629" w14:paraId="415D1FD7" w14:textId="77777777">
      <w:pPr>
        <w:pStyle w:val="broodtekst"/>
        <w:rPr>
          <w:b/>
          <w:bCs/>
        </w:rPr>
      </w:pPr>
      <w:r w:rsidRPr="00735786">
        <w:t>Nee, dit lijkt mij niet noodzakelijk</w:t>
      </w:r>
      <w:r>
        <w:t xml:space="preserve">. Het </w:t>
      </w:r>
      <w:r w:rsidRPr="00D00BAE">
        <w:t xml:space="preserve">oppakken van aangiften </w:t>
      </w:r>
      <w:r>
        <w:t xml:space="preserve">is </w:t>
      </w:r>
      <w:r w:rsidRPr="00D00BAE">
        <w:t xml:space="preserve">neergelegd in de Aanwijzing Discriminatie van het OM. </w:t>
      </w:r>
      <w:r>
        <w:t xml:space="preserve">Deze aanwijzing maakt </w:t>
      </w:r>
      <w:r w:rsidRPr="0034598C">
        <w:t>geen onderscheid in verschillende vormen van discriminatie</w:t>
      </w:r>
      <w:r>
        <w:t>.</w:t>
      </w:r>
    </w:p>
    <w:p w:rsidR="003A0629" w:rsidP="003A0629" w:rsidRDefault="003A0629" w14:paraId="2C9B4FDA" w14:textId="77777777">
      <w:pPr>
        <w:pStyle w:val="broodtekst"/>
        <w:rPr>
          <w:b/>
          <w:bCs/>
        </w:rPr>
      </w:pPr>
    </w:p>
    <w:p w:rsidR="003A0629" w:rsidP="003A0629" w:rsidRDefault="003A0629" w14:paraId="5D532261" w14:textId="77777777">
      <w:pPr>
        <w:pStyle w:val="broodtekst"/>
        <w:rPr>
          <w:b/>
          <w:bCs/>
        </w:rPr>
      </w:pPr>
    </w:p>
    <w:p w:rsidR="003A0629" w:rsidP="003A0629" w:rsidRDefault="003A0629" w14:paraId="595AC851" w14:textId="77777777">
      <w:pPr>
        <w:pStyle w:val="broodtekst"/>
        <w:rPr>
          <w:b/>
          <w:bCs/>
        </w:rPr>
      </w:pPr>
    </w:p>
    <w:p w:rsidR="003A0629" w:rsidP="003A0629" w:rsidRDefault="003A0629" w14:paraId="0AC3A68B" w14:textId="77777777">
      <w:pPr>
        <w:pStyle w:val="broodtekst"/>
        <w:rPr>
          <w:b/>
          <w:bCs/>
        </w:rPr>
      </w:pPr>
    </w:p>
    <w:p w:rsidR="003A0629" w:rsidP="003A0629" w:rsidRDefault="003A0629" w14:paraId="0ED8D12E" w14:textId="77777777">
      <w:pPr>
        <w:pStyle w:val="broodtekst"/>
        <w:rPr>
          <w:b/>
          <w:bCs/>
        </w:rPr>
      </w:pPr>
    </w:p>
    <w:p w:rsidRPr="0064318E" w:rsidR="003A0629" w:rsidP="003A0629" w:rsidRDefault="003A0629" w14:paraId="2EDD8B68" w14:textId="77777777">
      <w:pPr>
        <w:pStyle w:val="broodtekst"/>
        <w:rPr>
          <w:b/>
          <w:bCs/>
        </w:rPr>
      </w:pPr>
      <w:r w:rsidRPr="0064318E">
        <w:rPr>
          <w:b/>
          <w:bCs/>
        </w:rPr>
        <w:t xml:space="preserve">Vraag </w:t>
      </w:r>
      <w:r>
        <w:rPr>
          <w:b/>
          <w:bCs/>
        </w:rPr>
        <w:t>13</w:t>
      </w:r>
    </w:p>
    <w:p w:rsidRPr="00735786" w:rsidR="003A0629" w:rsidP="003A0629" w:rsidRDefault="003A0629" w14:paraId="0439E961" w14:textId="77777777">
      <w:pPr>
        <w:rPr>
          <w:b/>
          <w:bCs/>
        </w:rPr>
      </w:pPr>
      <w:r w:rsidRPr="00735786">
        <w:rPr>
          <w:b/>
          <w:bCs/>
        </w:rPr>
        <w:t>Deelt u de zorg dat door het invoeren van meer maatregelen om antisemitisme te bestrijden en de strafmaat te verhogen de ongelijkheid in behandeling van discriminatiezaken groeit, aldus gesteld door Mounir Samuel in Vrij Nederland op 22 november 2024?</w:t>
      </w:r>
      <w:r>
        <w:rPr>
          <w:rStyle w:val="Voetnootmarkering"/>
          <w:b/>
          <w:bCs/>
        </w:rPr>
        <w:footnoteReference w:id="8"/>
      </w:r>
    </w:p>
    <w:p w:rsidRPr="0064318E" w:rsidR="003A0629" w:rsidP="003A0629" w:rsidRDefault="003A0629" w14:paraId="3CBAE47D" w14:textId="77777777">
      <w:pPr>
        <w:pStyle w:val="broodtekst"/>
        <w:rPr>
          <w:b/>
          <w:bCs/>
        </w:rPr>
      </w:pPr>
    </w:p>
    <w:p w:rsidRPr="0064318E" w:rsidR="003A0629" w:rsidP="003A0629" w:rsidRDefault="003A0629" w14:paraId="68DC565D" w14:textId="77777777">
      <w:pPr>
        <w:pStyle w:val="broodtekst"/>
        <w:rPr>
          <w:b/>
          <w:bCs/>
        </w:rPr>
      </w:pPr>
      <w:r w:rsidRPr="0064318E">
        <w:rPr>
          <w:b/>
          <w:bCs/>
        </w:rPr>
        <w:t xml:space="preserve">Antwoord op vraag </w:t>
      </w:r>
      <w:r>
        <w:rPr>
          <w:b/>
          <w:bCs/>
        </w:rPr>
        <w:t>13</w:t>
      </w:r>
    </w:p>
    <w:p w:rsidR="003A0629" w:rsidP="003A0629" w:rsidRDefault="003A0629" w14:paraId="67EA2E83" w14:textId="77777777">
      <w:pPr>
        <w:pStyle w:val="broodtekst"/>
      </w:pPr>
      <w:r w:rsidRPr="00A60403">
        <w:t>Nee, deze zorg deel ik niet.</w:t>
      </w:r>
      <w:r>
        <w:t xml:space="preserve"> </w:t>
      </w:r>
      <w:r w:rsidRPr="00A60403">
        <w:t xml:space="preserve">In dit verband verwijs ik naar de Aanwijzing Discriminatie van het OM, die geen onderscheid maakt in verschillende vormen </w:t>
      </w:r>
      <w:r w:rsidRPr="00A60403">
        <w:lastRenderedPageBreak/>
        <w:t xml:space="preserve">van discriminatie en bij ieder commuun delict met een discriminatieaspect voorschrijft dat als strafverzwarende omstandigheid in de eis te betrekken. </w:t>
      </w:r>
    </w:p>
    <w:p w:rsidR="003A0629" w:rsidP="003A0629" w:rsidRDefault="003A0629" w14:paraId="1E0733AE" w14:textId="77777777">
      <w:pPr>
        <w:pStyle w:val="broodtekst"/>
      </w:pPr>
    </w:p>
    <w:p w:rsidR="003A0629" w:rsidP="003A0629" w:rsidRDefault="003A0629" w14:paraId="155656C2" w14:textId="77777777">
      <w:pPr>
        <w:pStyle w:val="broodtekst"/>
        <w:rPr>
          <w:b/>
          <w:bCs/>
        </w:rPr>
      </w:pPr>
      <w:r>
        <w:t>In de kabinetsstrategie antisemitismebestrijding wordt het voorstel om</w:t>
      </w:r>
      <w:r w:rsidRPr="00A60403">
        <w:t xml:space="preserve"> de strafmaat </w:t>
      </w:r>
      <w:r>
        <w:t xml:space="preserve">voor enkel antisemitisme te verhogen niet gedaan. In de strategie spreekt het kabinet wel steun uit voor </w:t>
      </w:r>
      <w:r w:rsidRPr="00A60403">
        <w:t>het initiatiefwetsvoorstel van de leden Timmermans en Bikker</w:t>
      </w:r>
      <w:r>
        <w:t>, dat een</w:t>
      </w:r>
      <w:r w:rsidRPr="00A60403">
        <w:t xml:space="preserve"> een verhoogd strafmaximum voor elk strafbaar feit met een discriminatoir aspect voor</w:t>
      </w:r>
      <w:r>
        <w:t>stelt</w:t>
      </w:r>
      <w:r w:rsidRPr="00A60403">
        <w:t>.</w:t>
      </w:r>
    </w:p>
    <w:p w:rsidR="003A0629" w:rsidP="003A0629" w:rsidRDefault="003A0629" w14:paraId="2C4AFAF6" w14:textId="77777777">
      <w:pPr>
        <w:pStyle w:val="broodtekst"/>
        <w:rPr>
          <w:b/>
          <w:bCs/>
        </w:rPr>
      </w:pPr>
    </w:p>
    <w:p w:rsidRPr="0064318E" w:rsidR="003A0629" w:rsidP="003A0629" w:rsidRDefault="003A0629" w14:paraId="538A88D5" w14:textId="77777777">
      <w:pPr>
        <w:pStyle w:val="broodtekst"/>
        <w:rPr>
          <w:b/>
          <w:bCs/>
        </w:rPr>
      </w:pPr>
      <w:r w:rsidRPr="0064318E">
        <w:rPr>
          <w:b/>
          <w:bCs/>
        </w:rPr>
        <w:t xml:space="preserve">Vraag </w:t>
      </w:r>
      <w:r>
        <w:rPr>
          <w:b/>
          <w:bCs/>
        </w:rPr>
        <w:t>14</w:t>
      </w:r>
    </w:p>
    <w:p w:rsidRPr="0064318E" w:rsidR="003A0629" w:rsidP="003A0629" w:rsidRDefault="003A0629" w14:paraId="04B02894" w14:textId="77777777">
      <w:pPr>
        <w:rPr>
          <w:b/>
          <w:bCs/>
        </w:rPr>
      </w:pPr>
      <w:r w:rsidRPr="00735786">
        <w:rPr>
          <w:b/>
          <w:bCs/>
        </w:rPr>
        <w:t>Bent u bereid deze vragen te beantwoorden vóór het commissiedebat over politie dat op 19 december 2024 plaatsvindt?</w:t>
      </w:r>
    </w:p>
    <w:p w:rsidRPr="0064318E" w:rsidR="003A0629" w:rsidP="003A0629" w:rsidRDefault="003A0629" w14:paraId="75115708" w14:textId="77777777">
      <w:pPr>
        <w:pStyle w:val="broodtekst"/>
        <w:rPr>
          <w:b/>
          <w:bCs/>
        </w:rPr>
      </w:pPr>
      <w:r w:rsidRPr="0064318E">
        <w:rPr>
          <w:b/>
          <w:bCs/>
        </w:rPr>
        <w:t xml:space="preserve">Antwoord op vraag </w:t>
      </w:r>
      <w:r>
        <w:rPr>
          <w:b/>
          <w:bCs/>
        </w:rPr>
        <w:t>14</w:t>
      </w:r>
    </w:p>
    <w:p w:rsidR="003A0629" w:rsidP="003A0629" w:rsidRDefault="003A0629" w14:paraId="3544C09F" w14:textId="77777777">
      <w:r>
        <w:t xml:space="preserve">Ja. </w:t>
      </w:r>
    </w:p>
    <w:p w:rsidRPr="0064318E" w:rsidR="003A0629" w:rsidP="003A0629" w:rsidRDefault="003A0629" w14:paraId="299E7133" w14:textId="77777777">
      <w:pPr>
        <w:pStyle w:val="broodtekst"/>
        <w:rPr>
          <w:b/>
          <w:bCs/>
        </w:rPr>
      </w:pPr>
    </w:p>
    <w:p w:rsidR="000071DE" w:rsidRDefault="000071DE" w14:paraId="3E697869" w14:textId="77777777"/>
    <w:sectPr w:rsidR="000071DE" w:rsidSect="003A0629">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C1579" w14:textId="77777777" w:rsidR="003A0629" w:rsidRDefault="003A0629" w:rsidP="003A0629">
      <w:pPr>
        <w:spacing w:after="0" w:line="240" w:lineRule="auto"/>
      </w:pPr>
      <w:r>
        <w:separator/>
      </w:r>
    </w:p>
  </w:endnote>
  <w:endnote w:type="continuationSeparator" w:id="0">
    <w:p w14:paraId="30C066B0" w14:textId="77777777" w:rsidR="003A0629" w:rsidRDefault="003A0629" w:rsidP="003A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11D1" w14:textId="77777777" w:rsidR="003A0629" w:rsidRPr="003A0629" w:rsidRDefault="003A0629" w:rsidP="003A06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44CF" w14:textId="77777777" w:rsidR="003A0629" w:rsidRPr="003A0629" w:rsidRDefault="003A0629" w:rsidP="003A06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3F12" w14:textId="77777777" w:rsidR="003A0629" w:rsidRPr="003A0629" w:rsidRDefault="003A0629" w:rsidP="003A06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D0A2C" w14:textId="77777777" w:rsidR="003A0629" w:rsidRDefault="003A0629" w:rsidP="003A0629">
      <w:pPr>
        <w:spacing w:after="0" w:line="240" w:lineRule="auto"/>
      </w:pPr>
      <w:r>
        <w:separator/>
      </w:r>
    </w:p>
  </w:footnote>
  <w:footnote w:type="continuationSeparator" w:id="0">
    <w:p w14:paraId="2B49EC89" w14:textId="77777777" w:rsidR="003A0629" w:rsidRDefault="003A0629" w:rsidP="003A0629">
      <w:pPr>
        <w:spacing w:after="0" w:line="240" w:lineRule="auto"/>
      </w:pPr>
      <w:r>
        <w:continuationSeparator/>
      </w:r>
    </w:p>
  </w:footnote>
  <w:footnote w:id="1">
    <w:p w14:paraId="2DDD93AB" w14:textId="77777777" w:rsidR="003A0629" w:rsidRDefault="003A0629" w:rsidP="003A0629">
      <w:pPr>
        <w:pStyle w:val="Voetnoottekst"/>
      </w:pPr>
      <w:r w:rsidRPr="00F70F6B">
        <w:rPr>
          <w:rStyle w:val="Voetnootmarkering"/>
          <w:sz w:val="16"/>
          <w:szCs w:val="16"/>
        </w:rPr>
        <w:footnoteRef/>
      </w:r>
      <w:r w:rsidRPr="00F70F6B">
        <w:rPr>
          <w:sz w:val="16"/>
          <w:szCs w:val="16"/>
        </w:rPr>
        <w:t xml:space="preserve"> Control Alt Delete, 2024, Meer kans op vervolging na melding over antisemitisme (controlealtdelete.nl/articles/meer-kans-op-vervolging-na-melding-over-antisemitisme).</w:t>
      </w:r>
    </w:p>
  </w:footnote>
  <w:footnote w:id="2">
    <w:p w14:paraId="2876DF8A" w14:textId="77777777" w:rsidR="003A0629" w:rsidRPr="00863CDB" w:rsidRDefault="003A0629" w:rsidP="003A0629">
      <w:pPr>
        <w:pStyle w:val="Voetnoottekst"/>
        <w:rPr>
          <w:sz w:val="16"/>
          <w:szCs w:val="16"/>
        </w:rPr>
      </w:pPr>
      <w:r>
        <w:rPr>
          <w:rStyle w:val="Voetnootmarkering"/>
        </w:rPr>
        <w:footnoteRef/>
      </w:r>
      <w:r>
        <w:t xml:space="preserve"> </w:t>
      </w:r>
      <w:r w:rsidRPr="0064318E">
        <w:rPr>
          <w:sz w:val="16"/>
          <w:szCs w:val="16"/>
        </w:rPr>
        <w:t xml:space="preserve">Rapport Discriminatiecijfers </w:t>
      </w:r>
      <w:r>
        <w:rPr>
          <w:sz w:val="16"/>
          <w:szCs w:val="16"/>
        </w:rPr>
        <w:t>o</w:t>
      </w:r>
      <w:r w:rsidRPr="0069686A">
        <w:rPr>
          <w:sz w:val="16"/>
          <w:szCs w:val="16"/>
        </w:rPr>
        <w:t xml:space="preserve">nline toegankelijk via </w:t>
      </w:r>
      <w:hyperlink r:id="rId1" w:history="1">
        <w:r w:rsidRPr="00326C0A">
          <w:rPr>
            <w:rStyle w:val="Hyperlink"/>
            <w:sz w:val="16"/>
            <w:szCs w:val="16"/>
          </w:rPr>
          <w:t>https://www.rijksoverheid.nl/documenten/rapporten/2024/04/19/rapport-strafbare-discriminatie-in-beeld-2023</w:t>
        </w:r>
      </w:hyperlink>
      <w:r>
        <w:rPr>
          <w:sz w:val="16"/>
          <w:szCs w:val="16"/>
        </w:rPr>
        <w:t>, p. 4.</w:t>
      </w:r>
    </w:p>
  </w:footnote>
  <w:footnote w:id="3">
    <w:p w14:paraId="736A717E" w14:textId="77777777" w:rsidR="003A0629" w:rsidRPr="00D00BAE" w:rsidRDefault="003A0629" w:rsidP="003A0629">
      <w:pPr>
        <w:pStyle w:val="Voetnoottekst"/>
        <w:rPr>
          <w:b/>
          <w:bCs/>
        </w:rPr>
      </w:pPr>
      <w:r w:rsidRPr="0064318E">
        <w:rPr>
          <w:rStyle w:val="Voetnootmarkering"/>
          <w:sz w:val="16"/>
          <w:szCs w:val="16"/>
        </w:rPr>
        <w:footnoteRef/>
      </w:r>
      <w:r w:rsidRPr="0064318E">
        <w:rPr>
          <w:sz w:val="16"/>
          <w:szCs w:val="16"/>
        </w:rPr>
        <w:t xml:space="preserve"> Rapport Discriminatiecijfers in 2023 onl</w:t>
      </w:r>
      <w:r>
        <w:rPr>
          <w:sz w:val="16"/>
          <w:szCs w:val="16"/>
        </w:rPr>
        <w:t>i</w:t>
      </w:r>
      <w:r w:rsidRPr="0064318E">
        <w:rPr>
          <w:sz w:val="16"/>
          <w:szCs w:val="16"/>
        </w:rPr>
        <w:t>ne toegankelijk via</w:t>
      </w:r>
      <w:r>
        <w:rPr>
          <w:sz w:val="16"/>
          <w:szCs w:val="16"/>
        </w:rPr>
        <w:t xml:space="preserve">: </w:t>
      </w:r>
      <w:hyperlink r:id="rId2" w:history="1">
        <w:r w:rsidRPr="0064318E">
          <w:rPr>
            <w:rStyle w:val="Hyperlink"/>
            <w:sz w:val="16"/>
            <w:szCs w:val="16"/>
          </w:rPr>
          <w:t>https://www.rijksoverheid.nl/documenten/rapporten/2024/04/19/rapport-discriminatiecijfers-in-2023</w:t>
        </w:r>
      </w:hyperlink>
      <w:r w:rsidRPr="0064318E">
        <w:rPr>
          <w:sz w:val="16"/>
          <w:szCs w:val="16"/>
        </w:rPr>
        <w:t xml:space="preserve"> </w:t>
      </w:r>
    </w:p>
  </w:footnote>
  <w:footnote w:id="4">
    <w:p w14:paraId="5590F019" w14:textId="77777777" w:rsidR="003A0629" w:rsidRPr="0035009F" w:rsidRDefault="003A0629" w:rsidP="003A0629">
      <w:pPr>
        <w:pStyle w:val="Voetnoottekst"/>
        <w:rPr>
          <w:sz w:val="16"/>
          <w:szCs w:val="16"/>
        </w:rPr>
      </w:pPr>
      <w:r w:rsidRPr="0035009F">
        <w:rPr>
          <w:rStyle w:val="Voetnootmarkering"/>
          <w:sz w:val="16"/>
          <w:szCs w:val="16"/>
        </w:rPr>
        <w:footnoteRef/>
      </w:r>
      <w:r w:rsidRPr="0035009F">
        <w:rPr>
          <w:sz w:val="16"/>
          <w:szCs w:val="16"/>
        </w:rPr>
        <w:t xml:space="preserve"> </w:t>
      </w:r>
      <w:hyperlink r:id="rId3" w:history="1">
        <w:r w:rsidRPr="0035009F">
          <w:rPr>
            <w:rStyle w:val="Hyperlink"/>
            <w:sz w:val="16"/>
            <w:szCs w:val="16"/>
          </w:rPr>
          <w:t>wetten.nl - Regeling - Aanwijzing discriminatie - BWBR0041649</w:t>
        </w:r>
      </w:hyperlink>
    </w:p>
  </w:footnote>
  <w:footnote w:id="5">
    <w:p w14:paraId="3457DCB4" w14:textId="77777777" w:rsidR="003A0629" w:rsidRPr="0035009F" w:rsidRDefault="003A0629" w:rsidP="003A0629">
      <w:pPr>
        <w:pStyle w:val="Voetnoottekst"/>
        <w:rPr>
          <w:sz w:val="16"/>
          <w:szCs w:val="16"/>
        </w:rPr>
      </w:pPr>
      <w:r w:rsidRPr="00231229">
        <w:rPr>
          <w:rStyle w:val="Voetnootmarkering"/>
          <w:sz w:val="16"/>
          <w:szCs w:val="16"/>
        </w:rPr>
        <w:footnoteRef/>
      </w:r>
      <w:r w:rsidRPr="00231229">
        <w:rPr>
          <w:sz w:val="16"/>
          <w:szCs w:val="16"/>
        </w:rPr>
        <w:t xml:space="preserve"> Strafbare Discriminatie in beeld 2023, p. 7.</w:t>
      </w:r>
    </w:p>
  </w:footnote>
  <w:footnote w:id="6">
    <w:p w14:paraId="29BAB544" w14:textId="77777777" w:rsidR="003A0629" w:rsidRPr="0035009F" w:rsidRDefault="003A0629" w:rsidP="003A0629">
      <w:pPr>
        <w:pStyle w:val="Voetnoottekst"/>
        <w:rPr>
          <w:sz w:val="16"/>
          <w:szCs w:val="16"/>
        </w:rPr>
      </w:pPr>
      <w:r w:rsidRPr="002B4A36">
        <w:rPr>
          <w:rStyle w:val="Voetnootmarkering"/>
          <w:sz w:val="16"/>
          <w:szCs w:val="16"/>
        </w:rPr>
        <w:footnoteRef/>
      </w:r>
      <w:r w:rsidRPr="002B4A36">
        <w:rPr>
          <w:sz w:val="16"/>
          <w:szCs w:val="16"/>
        </w:rPr>
        <w:t xml:space="preserve"> Strafrechtelijke Discriminatie in Beeld, p. 14 en 22.</w:t>
      </w:r>
    </w:p>
  </w:footnote>
  <w:footnote w:id="7">
    <w:p w14:paraId="7AC8BD4D" w14:textId="77777777" w:rsidR="003A0629" w:rsidRPr="0035009F" w:rsidRDefault="003A0629" w:rsidP="003A0629">
      <w:pPr>
        <w:pStyle w:val="Voetnoottekst"/>
      </w:pPr>
      <w:r w:rsidRPr="002B4A36">
        <w:rPr>
          <w:rStyle w:val="Voetnootmarkering"/>
          <w:sz w:val="16"/>
          <w:szCs w:val="16"/>
        </w:rPr>
        <w:footnoteRef/>
      </w:r>
      <w:r>
        <w:t xml:space="preserve"> </w:t>
      </w:r>
      <w:r w:rsidRPr="00B622D4">
        <w:rPr>
          <w:sz w:val="16"/>
          <w:szCs w:val="16"/>
        </w:rPr>
        <w:t>Strafrechtelijke Discriminatie in Beeld, p. 14.</w:t>
      </w:r>
    </w:p>
  </w:footnote>
  <w:footnote w:id="8">
    <w:p w14:paraId="02133DBE" w14:textId="77777777" w:rsidR="003A0629" w:rsidRDefault="003A0629" w:rsidP="003A0629">
      <w:pPr>
        <w:pStyle w:val="Voetnoottekst"/>
      </w:pPr>
      <w:r w:rsidRPr="0069686A">
        <w:rPr>
          <w:rStyle w:val="Voetnootmarkering"/>
          <w:sz w:val="16"/>
          <w:szCs w:val="16"/>
        </w:rPr>
        <w:footnoteRef/>
      </w:r>
      <w:r w:rsidRPr="0069686A">
        <w:rPr>
          <w:sz w:val="16"/>
          <w:szCs w:val="16"/>
        </w:rPr>
        <w:t xml:space="preserve"> Vrij Nederland, 22 november 2024, Antisemitisme wordt zeven keer vaker vervolgd dan andere discriminatiezaken (https://www.vn.nl/politie-openbaar-ministerie-discriminatiezaken?srsltid=AfmBOoqWUkx4KbW5OHkGGOB1xbe3DqIrbpHFqWh9eMqYUCZfVrq7Vscm).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12354" w14:textId="77777777" w:rsidR="003A0629" w:rsidRPr="003A0629" w:rsidRDefault="003A0629" w:rsidP="003A06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4CBD" w14:textId="77777777" w:rsidR="003A0629" w:rsidRPr="003A0629" w:rsidRDefault="003A0629" w:rsidP="003A06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82B60" w14:textId="77777777" w:rsidR="003A0629" w:rsidRPr="003A0629" w:rsidRDefault="003A0629" w:rsidP="003A06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29"/>
    <w:rsid w:val="000071DE"/>
    <w:rsid w:val="003A0629"/>
    <w:rsid w:val="007D1457"/>
    <w:rsid w:val="00E36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226C"/>
  <w15:chartTrackingRefBased/>
  <w15:docId w15:val="{4B0F14FC-2788-48F5-B5AA-AA2643EF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0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0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06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06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06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06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06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06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06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06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06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06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06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06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06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06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06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0629"/>
    <w:rPr>
      <w:rFonts w:eastAsiaTheme="majorEastAsia" w:cstheme="majorBidi"/>
      <w:color w:val="272727" w:themeColor="text1" w:themeTint="D8"/>
    </w:rPr>
  </w:style>
  <w:style w:type="paragraph" w:styleId="Titel">
    <w:name w:val="Title"/>
    <w:basedOn w:val="Standaard"/>
    <w:next w:val="Standaard"/>
    <w:link w:val="TitelChar"/>
    <w:uiPriority w:val="10"/>
    <w:qFormat/>
    <w:rsid w:val="003A0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06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06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06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06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0629"/>
    <w:rPr>
      <w:i/>
      <w:iCs/>
      <w:color w:val="404040" w:themeColor="text1" w:themeTint="BF"/>
    </w:rPr>
  </w:style>
  <w:style w:type="paragraph" w:styleId="Lijstalinea">
    <w:name w:val="List Paragraph"/>
    <w:basedOn w:val="Standaard"/>
    <w:uiPriority w:val="34"/>
    <w:qFormat/>
    <w:rsid w:val="003A0629"/>
    <w:pPr>
      <w:ind w:left="720"/>
      <w:contextualSpacing/>
    </w:pPr>
  </w:style>
  <w:style w:type="character" w:styleId="Intensievebenadrukking">
    <w:name w:val="Intense Emphasis"/>
    <w:basedOn w:val="Standaardalinea-lettertype"/>
    <w:uiPriority w:val="21"/>
    <w:qFormat/>
    <w:rsid w:val="003A0629"/>
    <w:rPr>
      <w:i/>
      <w:iCs/>
      <w:color w:val="0F4761" w:themeColor="accent1" w:themeShade="BF"/>
    </w:rPr>
  </w:style>
  <w:style w:type="paragraph" w:styleId="Duidelijkcitaat">
    <w:name w:val="Intense Quote"/>
    <w:basedOn w:val="Standaard"/>
    <w:next w:val="Standaard"/>
    <w:link w:val="DuidelijkcitaatChar"/>
    <w:uiPriority w:val="30"/>
    <w:qFormat/>
    <w:rsid w:val="003A0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0629"/>
    <w:rPr>
      <w:i/>
      <w:iCs/>
      <w:color w:val="0F4761" w:themeColor="accent1" w:themeShade="BF"/>
    </w:rPr>
  </w:style>
  <w:style w:type="character" w:styleId="Intensieveverwijzing">
    <w:name w:val="Intense Reference"/>
    <w:basedOn w:val="Standaardalinea-lettertype"/>
    <w:uiPriority w:val="32"/>
    <w:qFormat/>
    <w:rsid w:val="003A0629"/>
    <w:rPr>
      <w:b/>
      <w:bCs/>
      <w:smallCaps/>
      <w:color w:val="0F4761" w:themeColor="accent1" w:themeShade="BF"/>
      <w:spacing w:val="5"/>
    </w:rPr>
  </w:style>
  <w:style w:type="character" w:styleId="Hyperlink">
    <w:name w:val="Hyperlink"/>
    <w:basedOn w:val="Standaardalinea-lettertype"/>
    <w:uiPriority w:val="99"/>
    <w:unhideWhenUsed/>
    <w:rsid w:val="003A0629"/>
    <w:rPr>
      <w:color w:val="467886" w:themeColor="hyperlink"/>
      <w:u w:val="single"/>
    </w:rPr>
  </w:style>
  <w:style w:type="paragraph" w:customStyle="1" w:styleId="Referentiegegevens">
    <w:name w:val="Referentiegegevens"/>
    <w:basedOn w:val="Standaard"/>
    <w:next w:val="Standaard"/>
    <w:rsid w:val="003A062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A062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ursief">
    <w:name w:val="Standaard cursief"/>
    <w:basedOn w:val="Standaard"/>
    <w:next w:val="Standaard"/>
    <w:qFormat/>
    <w:rsid w:val="003A0629"/>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
    <w:name w:val="Witregel W1"/>
    <w:basedOn w:val="Standaard"/>
    <w:next w:val="Standaard"/>
    <w:rsid w:val="003A062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A062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A062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A062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A0629"/>
    <w:rPr>
      <w:vertAlign w:val="superscript"/>
    </w:rPr>
  </w:style>
  <w:style w:type="paragraph" w:customStyle="1" w:styleId="broodtekst">
    <w:name w:val="broodtekst"/>
    <w:basedOn w:val="Standaard"/>
    <w:qFormat/>
    <w:rsid w:val="003A062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erwijzingopmerking">
    <w:name w:val="annotation reference"/>
    <w:basedOn w:val="Standaardalinea-lettertype"/>
    <w:uiPriority w:val="99"/>
    <w:semiHidden/>
    <w:unhideWhenUsed/>
    <w:rsid w:val="003A0629"/>
    <w:rPr>
      <w:sz w:val="16"/>
      <w:szCs w:val="16"/>
    </w:rPr>
  </w:style>
  <w:style w:type="paragraph" w:styleId="Koptekst">
    <w:name w:val="header"/>
    <w:basedOn w:val="Standaard"/>
    <w:link w:val="KoptekstChar"/>
    <w:uiPriority w:val="99"/>
    <w:unhideWhenUsed/>
    <w:rsid w:val="003A06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0629"/>
  </w:style>
  <w:style w:type="paragraph" w:styleId="Voettekst">
    <w:name w:val="footer"/>
    <w:basedOn w:val="Standaard"/>
    <w:link w:val="VoettekstChar"/>
    <w:uiPriority w:val="99"/>
    <w:unhideWhenUsed/>
    <w:rsid w:val="003A06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0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1649/2019-01-01" TargetMode="External"/><Relationship Id="rId2" Type="http://schemas.openxmlformats.org/officeDocument/2006/relationships/hyperlink" Target="https://www.rijksoverheid.nl/documenten/rapporten/2024/04/19/rapport-discriminatiecijfers-in-2023" TargetMode="External"/><Relationship Id="rId1" Type="http://schemas.openxmlformats.org/officeDocument/2006/relationships/hyperlink" Target="https://www.rijksoverheid.nl/documenten/rapporten/2024/04/19/rapport-strafbare-discriminatie-in-beeld-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2252</ap:Words>
  <ap:Characters>12386</ap:Characters>
  <ap:DocSecurity>0</ap:DocSecurity>
  <ap:Lines>103</ap:Lines>
  <ap:Paragraphs>29</ap:Paragraphs>
  <ap:ScaleCrop>false</ap:ScaleCrop>
  <ap:LinksUpToDate>false</ap:LinksUpToDate>
  <ap:CharactersWithSpaces>14609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2024-12-19T11:44:00.0000000Z</dcterms:created>
  <dcterms:modified xsi:type="dcterms:W3CDTF">2024-12-19T11:45:00.0000000Z</dcterms:modified>
  <version/>
  <category/>
</coreProperties>
</file>