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02EB" w:rsidRDefault="007571F5" w14:paraId="337BE7F9" w14:textId="77777777">
      <w:pPr>
        <w:pStyle w:val="StandaardAanhef"/>
      </w:pPr>
      <w:r>
        <w:t>Geachte voorzitter,</w:t>
      </w:r>
    </w:p>
    <w:p w:rsidR="00D166BF" w:rsidP="00D166BF" w:rsidRDefault="00D166BF" w14:paraId="337F0B42" w14:textId="77777777">
      <w:r>
        <w:t xml:space="preserve">Op 23 oktober 2023 heeft mijn ambtsvoorganger uw Kamer geïnformeerd over zijn besluit om tijdelijk geen betaalverzuimboetes op te leggen aan ondernemers die deelnemen aan de regeling </w:t>
      </w:r>
      <w:proofErr w:type="gramStart"/>
      <w:r>
        <w:t>EU btw</w:t>
      </w:r>
      <w:proofErr w:type="gramEnd"/>
      <w:r>
        <w:t xml:space="preserve"> e-Commerce.</w:t>
      </w:r>
      <w:r>
        <w:rPr>
          <w:rStyle w:val="Voetnootmarkering"/>
        </w:rPr>
        <w:footnoteReference w:id="1"/>
      </w:r>
      <w:r>
        <w:t xml:space="preserve"> Met deze brief informeer ik u dat ik heb besloten om het opleggen van betaalverzuimboetes aan deze ondernemers </w:t>
      </w:r>
      <w:r w:rsidR="0019480D">
        <w:t xml:space="preserve">per 1 januari </w:t>
      </w:r>
      <w:r w:rsidR="00F67606">
        <w:t xml:space="preserve">2025 </w:t>
      </w:r>
      <w:r>
        <w:t>te hervatten. Daarnaast informeer ik u in deze brief ook over een beleidsbesluit inzake de kleineondernemersregeling (KOR).</w:t>
      </w:r>
    </w:p>
    <w:p w:rsidR="00D166BF" w:rsidP="00D166BF" w:rsidRDefault="00D166BF" w14:paraId="2BDFA79D" w14:textId="77777777"/>
    <w:p w:rsidR="00D166BF" w:rsidP="00D166BF" w:rsidRDefault="00D166BF" w14:paraId="3E2DF433" w14:textId="77777777">
      <w:pPr>
        <w:rPr>
          <w:b/>
          <w:bCs/>
        </w:rPr>
      </w:pPr>
      <w:proofErr w:type="gramStart"/>
      <w:r>
        <w:rPr>
          <w:b/>
          <w:bCs/>
        </w:rPr>
        <w:t>EU btw</w:t>
      </w:r>
      <w:proofErr w:type="gramEnd"/>
      <w:r>
        <w:rPr>
          <w:b/>
          <w:bCs/>
        </w:rPr>
        <w:t xml:space="preserve"> e-Commerce</w:t>
      </w:r>
    </w:p>
    <w:p w:rsidR="00D166BF" w:rsidP="00D166BF" w:rsidRDefault="00D166BF" w14:paraId="03FE0AEB" w14:textId="77777777">
      <w:r>
        <w:t xml:space="preserve">De regeling </w:t>
      </w:r>
      <w:proofErr w:type="gramStart"/>
      <w:r>
        <w:t>EU btw</w:t>
      </w:r>
      <w:proofErr w:type="gramEnd"/>
      <w:r>
        <w:t xml:space="preserve"> e-Commerce is ontworpen om internationale verkopen op afstand binnen de Europese Unie (EU) te harmoniseren. Vanaf de invoering van deze regeling in 2021 is uw Kamer meerma</w:t>
      </w:r>
      <w:r w:rsidR="003E6325">
        <w:t>als</w:t>
      </w:r>
      <w:r>
        <w:t xml:space="preserve"> geïnformeerd over de implementatie.</w:t>
      </w:r>
      <w:r>
        <w:rPr>
          <w:rStyle w:val="Voetnootmarkering"/>
        </w:rPr>
        <w:footnoteReference w:id="2"/>
      </w:r>
      <w:r>
        <w:t xml:space="preserve"> </w:t>
      </w:r>
    </w:p>
    <w:p w:rsidR="00D166BF" w:rsidP="00D166BF" w:rsidRDefault="00D166BF" w14:paraId="43F58A4D" w14:textId="77777777"/>
    <w:p w:rsidR="00D166BF" w:rsidP="00D166BF" w:rsidRDefault="00D166BF" w14:paraId="3DC776E7" w14:textId="77777777">
      <w:r>
        <w:t xml:space="preserve">Btw moet betaald worden aan de lidstaat waar de consument zich bevindt. Ondernemers kunnen rechtstreeks btw betalen aan deze lidstaat of ze kunnen dit doen via de vrijwillige regeling voor </w:t>
      </w:r>
      <w:proofErr w:type="gramStart"/>
      <w:r>
        <w:t>EU btw</w:t>
      </w:r>
      <w:proofErr w:type="gramEnd"/>
      <w:r>
        <w:t xml:space="preserve"> e-Commerce. In deze regeling doet de ondernemer de aangiften en betalingen voor alle verkopen binnen de EU in de lidstaat waar hij gevestigd is. De belastingdienst van de lidstaat waar de ondernemer zijn aangiften en betalingen heeft gedaan, geeft meldingen en betalingen door aan de belastingdiensten van de lidstaten waar goederen en dienst zijn geleverd.</w:t>
      </w:r>
    </w:p>
    <w:p w:rsidR="00D166BF" w:rsidP="00D166BF" w:rsidRDefault="00D166BF" w14:paraId="282947F9" w14:textId="77777777"/>
    <w:p w:rsidR="00D166BF" w:rsidP="00D166BF" w:rsidRDefault="00D166BF" w14:paraId="52BADCF2" w14:textId="77777777">
      <w:pPr>
        <w:rPr>
          <w:b/>
          <w:bCs/>
        </w:rPr>
      </w:pPr>
      <w:r>
        <w:rPr>
          <w:b/>
          <w:bCs/>
        </w:rPr>
        <w:t>Hervatten betaalverzuimboetes</w:t>
      </w:r>
    </w:p>
    <w:p w:rsidR="00D166BF" w:rsidP="00D166BF" w:rsidRDefault="00D166BF" w14:paraId="65BB004F" w14:textId="77777777">
      <w:r>
        <w:t>De Belastingdienst voert deze richtlijn uit via het zogenaamde Noodspoor. Dit is een tijdelijke voorziening die op termijn zal vervangen worden door een structurele voorziening, het Hoofdspoor. Ik zal uw Kamer in de stand-van-zakenbrief</w:t>
      </w:r>
      <w:r w:rsidR="00D14FA8">
        <w:t xml:space="preserve"> – voor het eerstvolgende commissiedebat Belastingdienst -</w:t>
      </w:r>
      <w:r>
        <w:t xml:space="preserve"> informeren over de overgang naar het Hoofdspoor. Binnen het Noodspoor ontstonden bij de invoering aanvankelijk opstartproblemen binnen MSCON-proces (Member State of </w:t>
      </w:r>
      <w:proofErr w:type="spellStart"/>
      <w:r>
        <w:t>Consumption</w:t>
      </w:r>
      <w:proofErr w:type="spellEnd"/>
      <w:r>
        <w:t>) tussen de verschillende belastingdiensten.</w:t>
      </w:r>
      <w:r>
        <w:rPr>
          <w:rStyle w:val="Voetnootmarkering"/>
        </w:rPr>
        <w:footnoteReference w:id="3"/>
      </w:r>
      <w:r>
        <w:t xml:space="preserve"> Dit kwam met name </w:t>
      </w:r>
      <w:r>
        <w:lastRenderedPageBreak/>
        <w:t>doordat er onduidelijkheden bestonden voor ondernemers over betaaltermijnen, af te dragen bedragen, wisselkoersen en bankkosten. Door deze onduidelijkheden werd door de Belastingdienst verwacht dat het aantal bezwaren</w:t>
      </w:r>
      <w:r w:rsidR="0019480D">
        <w:t xml:space="preserve"> als het gevolg van</w:t>
      </w:r>
      <w:r>
        <w:t xml:space="preserve"> het opleggen van betaalverzuimboetes zouden toenemen. Dit zou veel personele capaciteit van de Belastingdienst kosten die juist benodigd is om een overgang naar het Hoofdspoor te realiseren. Ook zouden de kosten voor het behandelen van de bezwaren door de Belastingdienst naar verwachting meer bedragen dan de opbrengst van de boetes. Andere EU-lidstaten, met uitzondering van Finland, legden destijds ook geen betaalverzuimboetes op. Op deze gronden heeft mijn ambtsvoorganger </w:t>
      </w:r>
      <w:r w:rsidR="003E6325">
        <w:t xml:space="preserve">daarom </w:t>
      </w:r>
      <w:r>
        <w:t xml:space="preserve">besloten om geen betaalverzuimboetes op te leggen aan ondernemers die deelnemen aan de </w:t>
      </w:r>
      <w:proofErr w:type="gramStart"/>
      <w:r>
        <w:t>EU btw</w:t>
      </w:r>
      <w:proofErr w:type="gramEnd"/>
      <w:r>
        <w:t xml:space="preserve"> e-Commerce regeling.</w:t>
      </w:r>
      <w:r>
        <w:rPr>
          <w:rStyle w:val="Voetnootmarkering"/>
        </w:rPr>
        <w:footnoteReference w:id="4"/>
      </w:r>
      <w:r>
        <w:t xml:space="preserve"> </w:t>
      </w:r>
    </w:p>
    <w:p w:rsidR="00D166BF" w:rsidP="00D166BF" w:rsidRDefault="00D166BF" w14:paraId="5207D314" w14:textId="77777777"/>
    <w:p w:rsidR="00D166BF" w:rsidP="00D166BF" w:rsidRDefault="00D166BF" w14:paraId="11399430" w14:textId="77777777">
      <w:r>
        <w:t>Ik heb besloten om vanaf 1 januari 2025 het opleggen van betaalverzuimboetes te hervatten. Deze keuze zal ik hieronder toelichten. Allereerst loopt het tijdelijke beleidsbesluit om geen boetes op te leggen af op 31 december 2024. De eerdergenoemde (opstart)problemen binnen het MSCON-proces zijn inmiddels verholpen dan wel beheersbaar. Verzuimen kunnen nu voor de helft geautomatiseerd worden behandeld. Het aantal naheffingen in 2024 is gedaald en de verwachting is dat het aantal bezwaren in 2025 aanzienlijk lager zal zijn dan in 2023 en 2024. Ook bestaat bij bedrijven inmiddels voldoende duidelijkheid over de regeling. Tot slot heeft het niet opleggen van boetes</w:t>
      </w:r>
      <w:r w:rsidR="00FE2627">
        <w:t xml:space="preserve"> - in</w:t>
      </w:r>
      <w:r w:rsidR="0019480D">
        <w:t xml:space="preserve"> afwijking van wet</w:t>
      </w:r>
      <w:r w:rsidR="00FE2627">
        <w:t>-</w:t>
      </w:r>
      <w:r w:rsidR="0019480D">
        <w:t xml:space="preserve"> en regelgeving - ook</w:t>
      </w:r>
      <w:r w:rsidRPr="0019480D" w:rsidR="0019480D">
        <w:t xml:space="preserve"> </w:t>
      </w:r>
      <w:r w:rsidR="0019480D">
        <w:t>budgettaire gevolgen</w:t>
      </w:r>
      <w:r>
        <w:t xml:space="preserve">. Omdat de (opstart)problemen inmiddels (grotendeels) zijn opgelost is er ook geen aanleiding meer om deze boetes niet op te leggen. </w:t>
      </w:r>
    </w:p>
    <w:p w:rsidR="00D166BF" w:rsidP="00D166BF" w:rsidRDefault="00D166BF" w14:paraId="68F6BAD2" w14:textId="77777777"/>
    <w:p w:rsidR="00387289" w:rsidP="00D166BF" w:rsidRDefault="00D166BF" w14:paraId="5C69EBC5" w14:textId="77777777">
      <w:pPr>
        <w:rPr>
          <w:b/>
          <w:bCs/>
        </w:rPr>
      </w:pPr>
      <w:r>
        <w:rPr>
          <w:b/>
          <w:bCs/>
        </w:rPr>
        <w:t>Beleidsbesluit kleineondernemersregeling</w:t>
      </w:r>
    </w:p>
    <w:p w:rsidR="00387289" w:rsidP="00D166BF" w:rsidRDefault="00387289" w14:paraId="6686CA78" w14:textId="77777777">
      <w:r>
        <w:t>Op 12 december 2023 bent u geïnformeerd over het kader beleidsbesluiten vooruitlopend op wetgeving op de terreinen van Belastingen, Toeslagen en Douane (hierna: afwegingskader).</w:t>
      </w:r>
      <w:r>
        <w:rPr>
          <w:rStyle w:val="Voetnootmarkering"/>
        </w:rPr>
        <w:footnoteReference w:id="5"/>
      </w:r>
      <w:r>
        <w:t xml:space="preserve"> In dit afwegingskader heeft mijn ambtsvoorganger toegezegd uiterlijk op het tijdstip van aanbieding voor publicatie in de Staatscourant, de contouren van een goedkeurend beleidsbesluit met u te delen.</w:t>
      </w:r>
      <w:r w:rsidRPr="00387289">
        <w:t xml:space="preserve"> </w:t>
      </w:r>
      <w:r w:rsidR="00FB48A8">
        <w:t>Hierbij informeer ik u</w:t>
      </w:r>
      <w:r>
        <w:t xml:space="preserve"> over het besluit “Omzetbelasting. Kleineondernemersregeling; artikel 25e Wet op de omzetbelasting 1968”. In de bijlage vindt u een kopie van het te publiceren besluit. Hieronder zal ik het nader toelichten.</w:t>
      </w:r>
    </w:p>
    <w:p w:rsidR="00D166BF" w:rsidP="00D166BF" w:rsidRDefault="00D166BF" w14:paraId="5C1238A1" w14:textId="77777777">
      <w:r>
        <w:rPr>
          <w:b/>
          <w:bCs/>
        </w:rPr>
        <w:br/>
      </w:r>
      <w:r>
        <w:t xml:space="preserve">De </w:t>
      </w:r>
      <w:r w:rsidR="00A43A2C">
        <w:t>kleine ondernemersregeling (</w:t>
      </w:r>
      <w:r>
        <w:t>KOR</w:t>
      </w:r>
      <w:r w:rsidR="00A43A2C">
        <w:t>)</w:t>
      </w:r>
      <w:r>
        <w:t xml:space="preserve"> is een btw-vrijstelling voor ondernemers met een omzet van maximaal €20.000 per kalenderjaar. Vanaf 1 januari 2025 geldt dat ondernemers die in Nederland zijn gevestigd </w:t>
      </w:r>
      <w:r w:rsidR="00A43A2C">
        <w:t>de KOR</w:t>
      </w:r>
      <w:r>
        <w:t xml:space="preserve"> ook in andere lidstaten kunnen </w:t>
      </w:r>
      <w:r w:rsidR="00FE2627">
        <w:t>toepassen, de zogenaamde EU-KOR</w:t>
      </w:r>
      <w:r>
        <w:t xml:space="preserve">. </w:t>
      </w:r>
      <w:r w:rsidR="00FE2627">
        <w:t>Om te beoordelen of ondernemers mogen deelnemen</w:t>
      </w:r>
      <w:r>
        <w:t xml:space="preserve"> is het nodig dat </w:t>
      </w:r>
      <w:r w:rsidR="00FE2627">
        <w:t>zij</w:t>
      </w:r>
      <w:r>
        <w:t xml:space="preserve"> informatie over hun omzet verstrekken aan de Belastingdienst zodat nagegaan kan worden of de omzetdrempel wordt overschreden. Na toelating tot de </w:t>
      </w:r>
      <w:r w:rsidR="00FE2627">
        <w:t>EU-</w:t>
      </w:r>
      <w:r>
        <w:t xml:space="preserve">KOR geldt er voor de ondernemer ook een verplichting om ieder kwartaal omzetinformatie te verstrekken. </w:t>
      </w:r>
      <w:r w:rsidRPr="006278A9" w:rsidR="00A43A2C">
        <w:t xml:space="preserve">De lidstaten hebben de omzetinformatie nodig om te beoordelen of wordt voldaan aan de omzetdrempels van de KOR. Als een ondernemer deze omzetdrempels overschrijdt kan hij </w:t>
      </w:r>
      <w:r w:rsidR="00A43A2C">
        <w:t xml:space="preserve">of zij </w:t>
      </w:r>
      <w:r w:rsidRPr="006278A9" w:rsidR="00A43A2C">
        <w:t>de KOR niet meer toepassen.</w:t>
      </w:r>
    </w:p>
    <w:p w:rsidR="00D166BF" w:rsidP="00D166BF" w:rsidRDefault="00D166BF" w14:paraId="42136CED" w14:textId="77777777"/>
    <w:p w:rsidR="00D166BF" w:rsidP="00D166BF" w:rsidRDefault="00A43A2C" w14:paraId="7E46A446" w14:textId="77777777">
      <w:r w:rsidRPr="006278A9">
        <w:t xml:space="preserve">Op basis van de wettelijke bepalingen die 1 januari 2025 in werking treden </w:t>
      </w:r>
      <w:r w:rsidR="00D166BF">
        <w:t xml:space="preserve">kan het voorkomen dat de aanmelding en toelating tot de KOR in hetzelfde kwartaal </w:t>
      </w:r>
      <w:r w:rsidR="00D166BF">
        <w:lastRenderedPageBreak/>
        <w:t xml:space="preserve">plaatsvinden. Dat kan betekenen dat de omzetinformatie die de ondernemer verstrekt bij de eerste kwartaalrapportage al (deels) is verstrekt bij de aanmelding. </w:t>
      </w:r>
      <w:r w:rsidR="00FE2627">
        <w:t>Hierdoor bestaat</w:t>
      </w:r>
      <w:r w:rsidR="00D166BF">
        <w:t xml:space="preserve"> de kans</w:t>
      </w:r>
      <w:r w:rsidR="00FE2627">
        <w:t xml:space="preserve"> dat als gevolg van dubbeltelling onterecht geconcludeerd wordt dat de omzetdrempel is overschreden waardoor ondernemers niet langer gebruik mogen maken van de KOR.</w:t>
      </w:r>
      <w:r w:rsidR="00D166BF">
        <w:t xml:space="preserve"> Dit zal dan achteraf hersteld moeten worden en leidt weer tot extra </w:t>
      </w:r>
      <w:r w:rsidR="00387289">
        <w:t xml:space="preserve">werk </w:t>
      </w:r>
      <w:r w:rsidR="00D166BF">
        <w:t>voor de ondernemer en de Belastingdienst.</w:t>
      </w:r>
      <w:r w:rsidR="00387289">
        <w:t xml:space="preserve"> Dat wil ik graag voorkomen.</w:t>
      </w:r>
      <w:r w:rsidR="00D166BF">
        <w:t xml:space="preserve"> Daarom heb ik besloten om per beleidsbesluit vanaf 1 januari 2025 – vooruitlopend op wetgeving per 1 januari 2026 –</w:t>
      </w:r>
      <w:r w:rsidR="00387289">
        <w:t xml:space="preserve"> goed te keuren dat</w:t>
      </w:r>
      <w:r w:rsidR="007571F5">
        <w:t xml:space="preserve"> de ondernemer de informatie die hij of zij verstrekt voor de aanmelding voor de KOR niet ook hoeft op te nemen in de eerste kwartaalrapportage.</w:t>
      </w:r>
    </w:p>
    <w:p w:rsidR="00D166BF" w:rsidP="00D166BF" w:rsidRDefault="00D166BF" w14:paraId="77190C02" w14:textId="77777777"/>
    <w:p w:rsidR="00D166BF" w:rsidP="00D166BF" w:rsidRDefault="00D166BF" w14:paraId="16EEAF3A" w14:textId="77777777">
      <w:r>
        <w:t xml:space="preserve">Over ontwikkelingen met betrekking tot de regeling </w:t>
      </w:r>
      <w:proofErr w:type="gramStart"/>
      <w:r>
        <w:t>EU btw</w:t>
      </w:r>
      <w:proofErr w:type="gramEnd"/>
      <w:r>
        <w:t xml:space="preserve"> e-Commerce zal ik uw Kamer blijven informeren via de stand-van-zakenbrieven</w:t>
      </w:r>
      <w:r w:rsidR="00F67606">
        <w:t xml:space="preserve"> Belastingdienst</w:t>
      </w:r>
      <w:r>
        <w:t>.</w:t>
      </w:r>
    </w:p>
    <w:p w:rsidR="00D166BF" w:rsidP="00D166BF" w:rsidRDefault="00D166BF" w14:paraId="5DC4F958" w14:textId="77777777">
      <w:pPr>
        <w:pStyle w:val="StandaardSlotzin"/>
      </w:pPr>
      <w:r>
        <w:t>Hoogachtend,</w:t>
      </w:r>
    </w:p>
    <w:p w:rsidR="00D166BF" w:rsidP="00D166BF" w:rsidRDefault="00D166BF" w14:paraId="689E846D" w14:textId="77777777"/>
    <w:tbl>
      <w:tblPr>
        <w:tblStyle w:val="Tabelzonderranden"/>
        <w:tblW w:w="7485" w:type="dxa"/>
        <w:tblInd w:w="0" w:type="dxa"/>
        <w:tblLayout w:type="fixed"/>
        <w:tblLook w:val="07E0" w:firstRow="1" w:lastRow="1" w:firstColumn="1" w:lastColumn="1" w:noHBand="1" w:noVBand="1"/>
      </w:tblPr>
      <w:tblGrid>
        <w:gridCol w:w="3592"/>
        <w:gridCol w:w="2929"/>
        <w:gridCol w:w="964"/>
      </w:tblGrid>
      <w:tr w:rsidR="00D166BF" w:rsidTr="00387289" w14:paraId="693E3771" w14:textId="77777777">
        <w:tc>
          <w:tcPr>
            <w:tcW w:w="6521" w:type="dxa"/>
            <w:gridSpan w:val="2"/>
            <w:hideMark/>
          </w:tcPr>
          <w:p w:rsidR="00E9715B" w:rsidRDefault="00D166BF" w14:paraId="244B332C" w14:textId="77777777">
            <w:proofErr w:type="gramStart"/>
            <w:r>
              <w:t>de</w:t>
            </w:r>
            <w:proofErr w:type="gramEnd"/>
            <w:r>
              <w:t xml:space="preserve"> staatssecretaris van Financiën </w:t>
            </w:r>
            <w:r w:rsidR="00E9715B">
              <w:t>–</w:t>
            </w:r>
            <w:r>
              <w:t xml:space="preserve"> </w:t>
            </w:r>
          </w:p>
          <w:p w:rsidR="00D166BF" w:rsidRDefault="00D166BF" w14:paraId="73F6F633" w14:textId="77777777">
            <w:r>
              <w:t>Fiscaliteit</w:t>
            </w:r>
            <w:r w:rsidR="00E9715B">
              <w:t xml:space="preserve">, </w:t>
            </w:r>
            <w:r>
              <w:t>Belastingdienst</w:t>
            </w:r>
            <w:r w:rsidR="00E9715B">
              <w:t xml:space="preserve"> en Douane</w:t>
            </w:r>
            <w:r>
              <w:t>,</w:t>
            </w:r>
            <w:r>
              <w:br/>
            </w:r>
            <w:r>
              <w:br/>
            </w:r>
            <w:r>
              <w:br/>
            </w:r>
            <w:r>
              <w:br/>
            </w:r>
            <w:r>
              <w:br/>
            </w:r>
            <w:r>
              <w:br/>
              <w:t>T. van Oostenbruggen</w:t>
            </w:r>
          </w:p>
        </w:tc>
        <w:tc>
          <w:tcPr>
            <w:tcW w:w="964" w:type="dxa"/>
          </w:tcPr>
          <w:p w:rsidR="00D166BF" w:rsidRDefault="00D166BF" w14:paraId="644FECD9" w14:textId="77777777"/>
        </w:tc>
      </w:tr>
      <w:tr w:rsidR="00D166BF" w:rsidTr="00387289" w14:paraId="67766ED2" w14:textId="77777777">
        <w:tc>
          <w:tcPr>
            <w:tcW w:w="6521" w:type="dxa"/>
            <w:gridSpan w:val="2"/>
          </w:tcPr>
          <w:p w:rsidR="00D166BF" w:rsidRDefault="00D166BF" w14:paraId="12E1D880" w14:textId="77777777"/>
        </w:tc>
        <w:tc>
          <w:tcPr>
            <w:tcW w:w="964" w:type="dxa"/>
          </w:tcPr>
          <w:p w:rsidR="00D166BF" w:rsidRDefault="00D166BF" w14:paraId="7D3B4FEF" w14:textId="77777777"/>
        </w:tc>
      </w:tr>
      <w:tr w:rsidR="009802EB" w:rsidTr="00387289" w14:paraId="730B9E5A" w14:textId="77777777">
        <w:tc>
          <w:tcPr>
            <w:tcW w:w="3592" w:type="dxa"/>
          </w:tcPr>
          <w:p w:rsidR="009802EB" w:rsidP="00387289" w:rsidRDefault="009802EB" w14:paraId="458656D0" w14:textId="77777777">
            <w:pPr>
              <w:spacing w:line="240" w:lineRule="auto"/>
            </w:pPr>
          </w:p>
        </w:tc>
        <w:tc>
          <w:tcPr>
            <w:tcW w:w="3892" w:type="dxa"/>
            <w:gridSpan w:val="2"/>
          </w:tcPr>
          <w:p w:rsidR="009802EB" w:rsidRDefault="009802EB" w14:paraId="4DBD5250" w14:textId="77777777"/>
        </w:tc>
      </w:tr>
      <w:tr w:rsidR="009802EB" w:rsidTr="00387289" w14:paraId="2D5E3138" w14:textId="77777777">
        <w:tc>
          <w:tcPr>
            <w:tcW w:w="3592" w:type="dxa"/>
          </w:tcPr>
          <w:p w:rsidR="009802EB" w:rsidRDefault="009802EB" w14:paraId="1FC6D3FD" w14:textId="77777777"/>
        </w:tc>
        <w:tc>
          <w:tcPr>
            <w:tcW w:w="3892" w:type="dxa"/>
            <w:gridSpan w:val="2"/>
          </w:tcPr>
          <w:p w:rsidR="009802EB" w:rsidRDefault="009802EB" w14:paraId="29BF5CF7" w14:textId="77777777"/>
        </w:tc>
      </w:tr>
    </w:tbl>
    <w:p w:rsidR="009802EB" w:rsidRDefault="009802EB" w14:paraId="119301BF" w14:textId="77777777">
      <w:pPr>
        <w:pStyle w:val="WitregelW1bodytekst"/>
      </w:pPr>
    </w:p>
    <w:p w:rsidR="009802EB" w:rsidRDefault="009802EB" w14:paraId="4FB6AC0A" w14:textId="77777777">
      <w:pPr>
        <w:pStyle w:val="Verdana7"/>
      </w:pPr>
    </w:p>
    <w:sectPr w:rsidR="009802EB">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2AF58" w14:textId="77777777" w:rsidR="007571F5" w:rsidRDefault="007571F5">
      <w:pPr>
        <w:spacing w:line="240" w:lineRule="auto"/>
      </w:pPr>
      <w:r>
        <w:separator/>
      </w:r>
    </w:p>
  </w:endnote>
  <w:endnote w:type="continuationSeparator" w:id="0">
    <w:p w14:paraId="7E77E21C" w14:textId="77777777" w:rsidR="007571F5" w:rsidRDefault="007571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9BC61" w14:textId="77777777" w:rsidR="007571F5" w:rsidRDefault="007571F5">
      <w:pPr>
        <w:spacing w:line="240" w:lineRule="auto"/>
      </w:pPr>
      <w:r>
        <w:separator/>
      </w:r>
    </w:p>
  </w:footnote>
  <w:footnote w:type="continuationSeparator" w:id="0">
    <w:p w14:paraId="23925A75" w14:textId="77777777" w:rsidR="007571F5" w:rsidRDefault="007571F5">
      <w:pPr>
        <w:spacing w:line="240" w:lineRule="auto"/>
      </w:pPr>
      <w:r>
        <w:continuationSeparator/>
      </w:r>
    </w:p>
  </w:footnote>
  <w:footnote w:id="1">
    <w:p w14:paraId="50F6C5A4" w14:textId="77777777" w:rsidR="00D166BF" w:rsidRDefault="00D166BF" w:rsidP="00D166BF">
      <w:pPr>
        <w:pStyle w:val="Voetnoottekst"/>
      </w:pPr>
      <w:r>
        <w:rPr>
          <w:rStyle w:val="Voetnootmarkering"/>
        </w:rPr>
        <w:footnoteRef/>
      </w:r>
      <w:r>
        <w:t xml:space="preserve"> </w:t>
      </w:r>
      <w:r>
        <w:rPr>
          <w:sz w:val="14"/>
          <w:szCs w:val="14"/>
        </w:rPr>
        <w:t xml:space="preserve">Kamerstukken II, 2021/21, 35 527, nr. 19. </w:t>
      </w:r>
    </w:p>
  </w:footnote>
  <w:footnote w:id="2">
    <w:p w14:paraId="26090F5A" w14:textId="77777777" w:rsidR="00D166BF" w:rsidRDefault="00D166BF" w:rsidP="00D166BF">
      <w:pPr>
        <w:pStyle w:val="Voetnoottekst"/>
        <w:jc w:val="both"/>
        <w:rPr>
          <w:sz w:val="14"/>
          <w:szCs w:val="14"/>
        </w:rPr>
      </w:pPr>
      <w:r>
        <w:rPr>
          <w:rStyle w:val="Voetnootmarkering"/>
          <w:sz w:val="14"/>
          <w:szCs w:val="14"/>
        </w:rPr>
        <w:footnoteRef/>
      </w:r>
      <w:r>
        <w:rPr>
          <w:sz w:val="14"/>
          <w:szCs w:val="14"/>
        </w:rPr>
        <w:t xml:space="preserve"> Voor het laatst via Kamerstukken II, 2024/25, 31066, nr. 14</w:t>
      </w:r>
      <w:r w:rsidR="007571F5">
        <w:rPr>
          <w:sz w:val="14"/>
          <w:szCs w:val="14"/>
        </w:rPr>
        <w:t>30</w:t>
      </w:r>
    </w:p>
  </w:footnote>
  <w:footnote w:id="3">
    <w:p w14:paraId="449EC351" w14:textId="77777777" w:rsidR="00D166BF" w:rsidRDefault="00D166BF" w:rsidP="00D166BF">
      <w:pPr>
        <w:pStyle w:val="Voetnoottekst"/>
      </w:pPr>
      <w:r>
        <w:rPr>
          <w:rStyle w:val="Voetnootmarkering"/>
          <w:sz w:val="14"/>
          <w:szCs w:val="14"/>
        </w:rPr>
        <w:footnoteRef/>
      </w:r>
      <w:r>
        <w:rPr>
          <w:sz w:val="14"/>
          <w:szCs w:val="14"/>
        </w:rPr>
        <w:t xml:space="preserve"> Member State of </w:t>
      </w:r>
      <w:proofErr w:type="spellStart"/>
      <w:r>
        <w:rPr>
          <w:sz w:val="14"/>
          <w:szCs w:val="14"/>
        </w:rPr>
        <w:t>Consumption</w:t>
      </w:r>
      <w:proofErr w:type="spellEnd"/>
      <w:r>
        <w:rPr>
          <w:sz w:val="14"/>
          <w:szCs w:val="14"/>
        </w:rPr>
        <w:t xml:space="preserve"> is de EU-lidstaat waarin de betreffende consument is gevestigd. </w:t>
      </w:r>
    </w:p>
  </w:footnote>
  <w:footnote w:id="4">
    <w:p w14:paraId="19B7C92E" w14:textId="77777777" w:rsidR="00D166BF" w:rsidRPr="00F67606" w:rsidRDefault="00D166BF" w:rsidP="00D166BF">
      <w:pPr>
        <w:pStyle w:val="Voetnoottekst"/>
        <w:rPr>
          <w:sz w:val="14"/>
          <w:szCs w:val="14"/>
        </w:rPr>
      </w:pPr>
      <w:r>
        <w:rPr>
          <w:rStyle w:val="Voetnootmarkering"/>
          <w:sz w:val="14"/>
          <w:szCs w:val="14"/>
        </w:rPr>
        <w:footnoteRef/>
      </w:r>
      <w:r w:rsidRPr="00F67606">
        <w:rPr>
          <w:sz w:val="14"/>
          <w:szCs w:val="14"/>
        </w:rPr>
        <w:t xml:space="preserve"> Kamerstukken 2023/24, 31066, nr. 19</w:t>
      </w:r>
    </w:p>
  </w:footnote>
  <w:footnote w:id="5">
    <w:p w14:paraId="3AAD9984" w14:textId="77777777" w:rsidR="00387289" w:rsidRPr="00755C59" w:rsidRDefault="00387289" w:rsidP="00387289">
      <w:pPr>
        <w:pStyle w:val="Voetnoottekst"/>
      </w:pPr>
      <w:r w:rsidRPr="00F67606">
        <w:rPr>
          <w:rStyle w:val="Voetnootmarkering"/>
          <w:sz w:val="14"/>
          <w:szCs w:val="14"/>
        </w:rPr>
        <w:footnoteRef/>
      </w:r>
      <w:r w:rsidRPr="00F67606">
        <w:rPr>
          <w:sz w:val="14"/>
          <w:szCs w:val="14"/>
        </w:rPr>
        <w:t xml:space="preserve"> </w:t>
      </w:r>
      <w:hyperlink r:id="rId1" w:history="1">
        <w:r w:rsidRPr="00F67606">
          <w:rPr>
            <w:color w:val="0000FF"/>
            <w:sz w:val="14"/>
            <w:szCs w:val="14"/>
            <w:u w:val="single"/>
          </w:rPr>
          <w:t>Kamerbrief over kader beleidsbesluiten vooruitlopend op wetgeving op de terreinen van Belastingen, Toeslagen en Douane | Kamerstuk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A5764" w14:textId="77777777" w:rsidR="009802EB" w:rsidRDefault="007571F5">
    <w:r>
      <w:rPr>
        <w:noProof/>
      </w:rPr>
      <mc:AlternateContent>
        <mc:Choice Requires="wps">
          <w:drawing>
            <wp:anchor distT="0" distB="0" distL="0" distR="0" simplePos="0" relativeHeight="251652096" behindDoc="0" locked="1" layoutInCell="1" allowOverlap="1" wp14:anchorId="79EEAF3B" wp14:editId="54C56098">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08722EC" w14:textId="77777777" w:rsidR="009802EB" w:rsidRDefault="007571F5">
                          <w:pPr>
                            <w:pStyle w:val="StandaardReferentiegegevensKop"/>
                          </w:pPr>
                          <w:r>
                            <w:t>Bestuurlijke en Politieke Zaken</w:t>
                          </w:r>
                        </w:p>
                        <w:p w14:paraId="4B53739A" w14:textId="77777777" w:rsidR="009802EB" w:rsidRDefault="009802EB">
                          <w:pPr>
                            <w:pStyle w:val="WitregelW1"/>
                          </w:pPr>
                        </w:p>
                        <w:p w14:paraId="5B86B9CE" w14:textId="77777777" w:rsidR="009802EB" w:rsidRDefault="007571F5">
                          <w:pPr>
                            <w:pStyle w:val="StandaardReferentiegegevensKop"/>
                          </w:pPr>
                          <w:r>
                            <w:t>Ons kenmerk</w:t>
                          </w:r>
                        </w:p>
                        <w:p w14:paraId="5A92EC06" w14:textId="77777777" w:rsidR="007C41DE" w:rsidRDefault="001255CA">
                          <w:pPr>
                            <w:pStyle w:val="StandaardReferentiegegevens"/>
                          </w:pPr>
                          <w:r>
                            <w:fldChar w:fldCharType="begin"/>
                          </w:r>
                          <w:r>
                            <w:instrText xml:space="preserve"> DOCPROPERTY  "Kenmerk"  \* MERGEFORMAT </w:instrText>
                          </w:r>
                          <w:r>
                            <w:fldChar w:fldCharType="separate"/>
                          </w:r>
                          <w:r>
                            <w:t>2024-0000569526</w:t>
                          </w:r>
                          <w:r>
                            <w:fldChar w:fldCharType="end"/>
                          </w:r>
                        </w:p>
                      </w:txbxContent>
                    </wps:txbx>
                    <wps:bodyPr vert="horz" wrap="square" lIns="0" tIns="0" rIns="0" bIns="0" anchor="t" anchorCtr="0"/>
                  </wps:wsp>
                </a:graphicData>
              </a:graphic>
            </wp:anchor>
          </w:drawing>
        </mc:Choice>
        <mc:Fallback>
          <w:pict>
            <v:shapetype w14:anchorId="79EEAF3B"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308722EC" w14:textId="77777777" w:rsidR="009802EB" w:rsidRDefault="007571F5">
                    <w:pPr>
                      <w:pStyle w:val="StandaardReferentiegegevensKop"/>
                    </w:pPr>
                    <w:r>
                      <w:t>Bestuurlijke en Politieke Zaken</w:t>
                    </w:r>
                  </w:p>
                  <w:p w14:paraId="4B53739A" w14:textId="77777777" w:rsidR="009802EB" w:rsidRDefault="009802EB">
                    <w:pPr>
                      <w:pStyle w:val="WitregelW1"/>
                    </w:pPr>
                  </w:p>
                  <w:p w14:paraId="5B86B9CE" w14:textId="77777777" w:rsidR="009802EB" w:rsidRDefault="007571F5">
                    <w:pPr>
                      <w:pStyle w:val="StandaardReferentiegegevensKop"/>
                    </w:pPr>
                    <w:r>
                      <w:t>Ons kenmerk</w:t>
                    </w:r>
                  </w:p>
                  <w:p w14:paraId="5A92EC06" w14:textId="77777777" w:rsidR="007C41DE" w:rsidRDefault="001255CA">
                    <w:pPr>
                      <w:pStyle w:val="StandaardReferentiegegevens"/>
                    </w:pPr>
                    <w:r>
                      <w:fldChar w:fldCharType="begin"/>
                    </w:r>
                    <w:r>
                      <w:instrText xml:space="preserve"> DOCPROPERTY  "Kenmerk"  \* MERGEFORMAT </w:instrText>
                    </w:r>
                    <w:r>
                      <w:fldChar w:fldCharType="separate"/>
                    </w:r>
                    <w:r>
                      <w:t>2024-0000569526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317924B" wp14:editId="2A541061">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7AFC91D" w14:textId="77777777" w:rsidR="007C41DE" w:rsidRDefault="001255CA">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317924B"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27AFC91D" w14:textId="77777777" w:rsidR="007C41DE" w:rsidRDefault="001255CA">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6051780" wp14:editId="3C638788">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623671D1" w14:textId="77777777" w:rsidR="007C41DE" w:rsidRDefault="001255CA">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6051780"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623671D1" w14:textId="77777777" w:rsidR="007C41DE" w:rsidRDefault="001255CA">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1038" w14:textId="77777777" w:rsidR="009802EB" w:rsidRDefault="007571F5">
    <w:pPr>
      <w:spacing w:after="7029" w:line="14" w:lineRule="exact"/>
    </w:pPr>
    <w:r>
      <w:rPr>
        <w:noProof/>
      </w:rPr>
      <mc:AlternateContent>
        <mc:Choice Requires="wps">
          <w:drawing>
            <wp:anchor distT="0" distB="0" distL="0" distR="0" simplePos="0" relativeHeight="251655168" behindDoc="0" locked="1" layoutInCell="1" allowOverlap="1" wp14:anchorId="515333F6" wp14:editId="7FFD501C">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28614ABE" w14:textId="77777777" w:rsidR="009802EB" w:rsidRDefault="007571F5">
                          <w:pPr>
                            <w:spacing w:line="240" w:lineRule="auto"/>
                          </w:pPr>
                          <w:r>
                            <w:rPr>
                              <w:noProof/>
                            </w:rPr>
                            <w:drawing>
                              <wp:inline distT="0" distB="0" distL="0" distR="0" wp14:anchorId="7E16AA2D" wp14:editId="468B711D">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15333F6"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28614ABE" w14:textId="77777777" w:rsidR="009802EB" w:rsidRDefault="007571F5">
                    <w:pPr>
                      <w:spacing w:line="240" w:lineRule="auto"/>
                    </w:pPr>
                    <w:r>
                      <w:rPr>
                        <w:noProof/>
                      </w:rPr>
                      <w:drawing>
                        <wp:inline distT="0" distB="0" distL="0" distR="0" wp14:anchorId="7E16AA2D" wp14:editId="468B711D">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33F74A05" wp14:editId="30DF616F">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592576AC" w14:textId="77777777" w:rsidR="007571F5" w:rsidRDefault="007571F5"/>
                      </w:txbxContent>
                    </wps:txbx>
                    <wps:bodyPr vert="horz" wrap="square" lIns="0" tIns="0" rIns="0" bIns="0" anchor="t" anchorCtr="0"/>
                  </wps:wsp>
                </a:graphicData>
              </a:graphic>
            </wp:anchor>
          </w:drawing>
        </mc:Choice>
        <mc:Fallback>
          <w:pict>
            <v:shape w14:anchorId="33F74A05"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592576AC" w14:textId="77777777" w:rsidR="007571F5" w:rsidRDefault="007571F5"/>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4A99AF9" wp14:editId="79AAE60B">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65D057A8" w14:textId="77777777" w:rsidR="009802EB" w:rsidRDefault="00D166BF">
                          <w:pPr>
                            <w:pStyle w:val="StandaardReferentiegegevensKop"/>
                          </w:pPr>
                          <w:r>
                            <w:t>DG Belastingdienst</w:t>
                          </w:r>
                          <w:r>
                            <w:br/>
                          </w:r>
                          <w:r w:rsidR="007571F5">
                            <w:t>Bestuurlijke en Politieke Zaken</w:t>
                          </w:r>
                        </w:p>
                        <w:p w14:paraId="04BFB761" w14:textId="77777777" w:rsidR="009802EB" w:rsidRDefault="009802EB">
                          <w:pPr>
                            <w:pStyle w:val="WitregelW1"/>
                          </w:pPr>
                        </w:p>
                        <w:p w14:paraId="49EAB491" w14:textId="77777777" w:rsidR="009802EB" w:rsidRDefault="007571F5">
                          <w:pPr>
                            <w:pStyle w:val="StandaardReferentiegegevens"/>
                          </w:pPr>
                          <w:r>
                            <w:t>Korte Voorhout 7</w:t>
                          </w:r>
                        </w:p>
                        <w:p w14:paraId="4C1DFE95" w14:textId="77777777" w:rsidR="009802EB" w:rsidRDefault="007571F5">
                          <w:pPr>
                            <w:pStyle w:val="StandaardReferentiegegevens"/>
                          </w:pPr>
                          <w:r>
                            <w:t>2511 CW  's-Gravenhage</w:t>
                          </w:r>
                        </w:p>
                        <w:p w14:paraId="35BC8727" w14:textId="77777777" w:rsidR="009802EB" w:rsidRDefault="007571F5">
                          <w:pPr>
                            <w:pStyle w:val="StandaardReferentiegegevens"/>
                          </w:pPr>
                          <w:r>
                            <w:t>POSTBUS 20201</w:t>
                          </w:r>
                        </w:p>
                        <w:p w14:paraId="1C99A1A9" w14:textId="77777777" w:rsidR="009802EB" w:rsidRPr="00FB48A8" w:rsidRDefault="007571F5">
                          <w:pPr>
                            <w:pStyle w:val="StandaardReferentiegegevens"/>
                            <w:rPr>
                              <w:lang w:val="es-ES"/>
                            </w:rPr>
                          </w:pPr>
                          <w:r w:rsidRPr="00FB48A8">
                            <w:rPr>
                              <w:lang w:val="es-ES"/>
                            </w:rPr>
                            <w:t xml:space="preserve">2500 </w:t>
                          </w:r>
                          <w:proofErr w:type="gramStart"/>
                          <w:r w:rsidRPr="00FB48A8">
                            <w:rPr>
                              <w:lang w:val="es-ES"/>
                            </w:rPr>
                            <w:t>EE  '</w:t>
                          </w:r>
                          <w:proofErr w:type="gramEnd"/>
                          <w:r w:rsidRPr="00FB48A8">
                            <w:rPr>
                              <w:lang w:val="es-ES"/>
                            </w:rPr>
                            <w:t>s-</w:t>
                          </w:r>
                          <w:proofErr w:type="spellStart"/>
                          <w:r w:rsidRPr="00FB48A8">
                            <w:rPr>
                              <w:lang w:val="es-ES"/>
                            </w:rPr>
                            <w:t>Gravenhage</w:t>
                          </w:r>
                          <w:proofErr w:type="spellEnd"/>
                        </w:p>
                        <w:p w14:paraId="4CDB969A" w14:textId="77777777" w:rsidR="009802EB" w:rsidRPr="00FB48A8" w:rsidRDefault="007571F5">
                          <w:pPr>
                            <w:pStyle w:val="StandaardReferentiegegevens"/>
                            <w:rPr>
                              <w:lang w:val="es-ES"/>
                            </w:rPr>
                          </w:pPr>
                          <w:r w:rsidRPr="00FB48A8">
                            <w:rPr>
                              <w:lang w:val="es-ES"/>
                            </w:rPr>
                            <w:t>www.rijksoverheid.nl/fin</w:t>
                          </w:r>
                        </w:p>
                        <w:p w14:paraId="1F2D735B" w14:textId="77777777" w:rsidR="009802EB" w:rsidRPr="00FB48A8" w:rsidRDefault="009802EB">
                          <w:pPr>
                            <w:pStyle w:val="WitregelW2"/>
                            <w:rPr>
                              <w:lang w:val="es-ES"/>
                            </w:rPr>
                          </w:pPr>
                        </w:p>
                        <w:p w14:paraId="2DAF22A2" w14:textId="77777777" w:rsidR="009802EB" w:rsidRDefault="007571F5">
                          <w:pPr>
                            <w:pStyle w:val="StandaardReferentiegegevensKop"/>
                          </w:pPr>
                          <w:r>
                            <w:t>Ons kenmerk</w:t>
                          </w:r>
                        </w:p>
                        <w:p w14:paraId="32D059A6" w14:textId="77777777" w:rsidR="007C41DE" w:rsidRDefault="001255CA">
                          <w:pPr>
                            <w:pStyle w:val="StandaardReferentiegegevens"/>
                          </w:pPr>
                          <w:r>
                            <w:fldChar w:fldCharType="begin"/>
                          </w:r>
                          <w:r>
                            <w:instrText xml:space="preserve"> DOCPROPERTY  "Kenmerk"  \* MERGEFORMAT </w:instrText>
                          </w:r>
                          <w:r>
                            <w:fldChar w:fldCharType="separate"/>
                          </w:r>
                          <w:r>
                            <w:t>2024-0000569526</w:t>
                          </w:r>
                          <w:r>
                            <w:fldChar w:fldCharType="end"/>
                          </w:r>
                        </w:p>
                        <w:p w14:paraId="7E0C0300" w14:textId="77777777" w:rsidR="009802EB" w:rsidRDefault="009802EB">
                          <w:pPr>
                            <w:pStyle w:val="WitregelW1"/>
                          </w:pPr>
                        </w:p>
                        <w:p w14:paraId="2DDC2511" w14:textId="77777777" w:rsidR="009802EB" w:rsidRDefault="007571F5">
                          <w:pPr>
                            <w:pStyle w:val="StandaardReferentiegegevensKop"/>
                          </w:pPr>
                          <w:r>
                            <w:t>Uw brief (kenmerk)</w:t>
                          </w:r>
                        </w:p>
                        <w:p w14:paraId="7186BFA2" w14:textId="77777777" w:rsidR="007C41DE" w:rsidRDefault="001255CA">
                          <w:pPr>
                            <w:pStyle w:val="StandaardReferentiegegevens"/>
                          </w:pPr>
                          <w:r>
                            <w:fldChar w:fldCharType="begin"/>
                          </w:r>
                          <w:r>
                            <w:instrText xml:space="preserve"> DOCPROPERTY  "UwKenmerk"  \* MERGEFORMAT </w:instrText>
                          </w:r>
                          <w:r>
                            <w:fldChar w:fldCharType="end"/>
                          </w:r>
                        </w:p>
                        <w:p w14:paraId="5972AE79" w14:textId="77777777" w:rsidR="009802EB" w:rsidRDefault="009802EB">
                          <w:pPr>
                            <w:pStyle w:val="WitregelW1"/>
                          </w:pPr>
                        </w:p>
                        <w:p w14:paraId="1F9C4548" w14:textId="77777777" w:rsidR="009802EB" w:rsidRDefault="007571F5">
                          <w:pPr>
                            <w:pStyle w:val="StandaardReferentiegegevensKop"/>
                          </w:pPr>
                          <w:r>
                            <w:t>Bijlagen</w:t>
                          </w:r>
                        </w:p>
                        <w:p w14:paraId="491A8F28" w14:textId="77777777" w:rsidR="009802EB" w:rsidRDefault="009345D8" w:rsidP="009345D8">
                          <w:pPr>
                            <w:pStyle w:val="StandaardReferentiegegevens"/>
                            <w:numPr>
                              <w:ilvl w:val="0"/>
                              <w:numId w:val="7"/>
                            </w:numPr>
                            <w:jc w:val="both"/>
                          </w:pPr>
                          <w:r>
                            <w:t>Beleidsbesluit</w:t>
                          </w:r>
                        </w:p>
                      </w:txbxContent>
                    </wps:txbx>
                    <wps:bodyPr vert="horz" wrap="square" lIns="0" tIns="0" rIns="0" bIns="0" anchor="t" anchorCtr="0"/>
                  </wps:wsp>
                </a:graphicData>
              </a:graphic>
            </wp:anchor>
          </w:drawing>
        </mc:Choice>
        <mc:Fallback>
          <w:pict>
            <v:shape w14:anchorId="04A99AF9"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65D057A8" w14:textId="77777777" w:rsidR="009802EB" w:rsidRDefault="00D166BF">
                    <w:pPr>
                      <w:pStyle w:val="StandaardReferentiegegevensKop"/>
                    </w:pPr>
                    <w:r>
                      <w:t>DG Belastingdienst</w:t>
                    </w:r>
                    <w:r>
                      <w:br/>
                    </w:r>
                    <w:r w:rsidR="007571F5">
                      <w:t>Bestuurlijke en Politieke Zaken</w:t>
                    </w:r>
                  </w:p>
                  <w:p w14:paraId="04BFB761" w14:textId="77777777" w:rsidR="009802EB" w:rsidRDefault="009802EB">
                    <w:pPr>
                      <w:pStyle w:val="WitregelW1"/>
                    </w:pPr>
                  </w:p>
                  <w:p w14:paraId="49EAB491" w14:textId="77777777" w:rsidR="009802EB" w:rsidRDefault="007571F5">
                    <w:pPr>
                      <w:pStyle w:val="StandaardReferentiegegevens"/>
                    </w:pPr>
                    <w:r>
                      <w:t>Korte Voorhout 7</w:t>
                    </w:r>
                  </w:p>
                  <w:p w14:paraId="4C1DFE95" w14:textId="77777777" w:rsidR="009802EB" w:rsidRDefault="007571F5">
                    <w:pPr>
                      <w:pStyle w:val="StandaardReferentiegegevens"/>
                    </w:pPr>
                    <w:r>
                      <w:t>2511 CW  's-Gravenhage</w:t>
                    </w:r>
                  </w:p>
                  <w:p w14:paraId="35BC8727" w14:textId="77777777" w:rsidR="009802EB" w:rsidRDefault="007571F5">
                    <w:pPr>
                      <w:pStyle w:val="StandaardReferentiegegevens"/>
                    </w:pPr>
                    <w:r>
                      <w:t>POSTBUS 20201</w:t>
                    </w:r>
                  </w:p>
                  <w:p w14:paraId="1C99A1A9" w14:textId="77777777" w:rsidR="009802EB" w:rsidRPr="00FB48A8" w:rsidRDefault="007571F5">
                    <w:pPr>
                      <w:pStyle w:val="StandaardReferentiegegevens"/>
                      <w:rPr>
                        <w:lang w:val="es-ES"/>
                      </w:rPr>
                    </w:pPr>
                    <w:r w:rsidRPr="00FB48A8">
                      <w:rPr>
                        <w:lang w:val="es-ES"/>
                      </w:rPr>
                      <w:t xml:space="preserve">2500 </w:t>
                    </w:r>
                    <w:proofErr w:type="gramStart"/>
                    <w:r w:rsidRPr="00FB48A8">
                      <w:rPr>
                        <w:lang w:val="es-ES"/>
                      </w:rPr>
                      <w:t>EE  '</w:t>
                    </w:r>
                    <w:proofErr w:type="gramEnd"/>
                    <w:r w:rsidRPr="00FB48A8">
                      <w:rPr>
                        <w:lang w:val="es-ES"/>
                      </w:rPr>
                      <w:t>s-</w:t>
                    </w:r>
                    <w:proofErr w:type="spellStart"/>
                    <w:r w:rsidRPr="00FB48A8">
                      <w:rPr>
                        <w:lang w:val="es-ES"/>
                      </w:rPr>
                      <w:t>Gravenhage</w:t>
                    </w:r>
                    <w:proofErr w:type="spellEnd"/>
                  </w:p>
                  <w:p w14:paraId="4CDB969A" w14:textId="77777777" w:rsidR="009802EB" w:rsidRPr="00FB48A8" w:rsidRDefault="007571F5">
                    <w:pPr>
                      <w:pStyle w:val="StandaardReferentiegegevens"/>
                      <w:rPr>
                        <w:lang w:val="es-ES"/>
                      </w:rPr>
                    </w:pPr>
                    <w:r w:rsidRPr="00FB48A8">
                      <w:rPr>
                        <w:lang w:val="es-ES"/>
                      </w:rPr>
                      <w:t>www.rijksoverheid.nl/fin</w:t>
                    </w:r>
                  </w:p>
                  <w:p w14:paraId="1F2D735B" w14:textId="77777777" w:rsidR="009802EB" w:rsidRPr="00FB48A8" w:rsidRDefault="009802EB">
                    <w:pPr>
                      <w:pStyle w:val="WitregelW2"/>
                      <w:rPr>
                        <w:lang w:val="es-ES"/>
                      </w:rPr>
                    </w:pPr>
                  </w:p>
                  <w:p w14:paraId="2DAF22A2" w14:textId="77777777" w:rsidR="009802EB" w:rsidRDefault="007571F5">
                    <w:pPr>
                      <w:pStyle w:val="StandaardReferentiegegevensKop"/>
                    </w:pPr>
                    <w:r>
                      <w:t>Ons kenmerk</w:t>
                    </w:r>
                  </w:p>
                  <w:p w14:paraId="32D059A6" w14:textId="77777777" w:rsidR="007C41DE" w:rsidRDefault="001255CA">
                    <w:pPr>
                      <w:pStyle w:val="StandaardReferentiegegevens"/>
                    </w:pPr>
                    <w:r>
                      <w:fldChar w:fldCharType="begin"/>
                    </w:r>
                    <w:r>
                      <w:instrText xml:space="preserve"> DOCPROPERTY  "Kenmerk"  \* MERGEFORMAT </w:instrText>
                    </w:r>
                    <w:r>
                      <w:fldChar w:fldCharType="separate"/>
                    </w:r>
                    <w:r>
                      <w:t>2024-0000569526</w:t>
                    </w:r>
                    <w:r>
                      <w:fldChar w:fldCharType="end"/>
                    </w:r>
                  </w:p>
                  <w:p w14:paraId="7E0C0300" w14:textId="77777777" w:rsidR="009802EB" w:rsidRDefault="009802EB">
                    <w:pPr>
                      <w:pStyle w:val="WitregelW1"/>
                    </w:pPr>
                  </w:p>
                  <w:p w14:paraId="2DDC2511" w14:textId="77777777" w:rsidR="009802EB" w:rsidRDefault="007571F5">
                    <w:pPr>
                      <w:pStyle w:val="StandaardReferentiegegevensKop"/>
                    </w:pPr>
                    <w:r>
                      <w:t>Uw brief (kenmerk)</w:t>
                    </w:r>
                  </w:p>
                  <w:p w14:paraId="7186BFA2" w14:textId="77777777" w:rsidR="007C41DE" w:rsidRDefault="001255CA">
                    <w:pPr>
                      <w:pStyle w:val="StandaardReferentiegegevens"/>
                    </w:pPr>
                    <w:r>
                      <w:fldChar w:fldCharType="begin"/>
                    </w:r>
                    <w:r>
                      <w:instrText xml:space="preserve"> DOCPROPERTY  "UwKenmerk"  \* MERGEFORMAT </w:instrText>
                    </w:r>
                    <w:r>
                      <w:fldChar w:fldCharType="end"/>
                    </w:r>
                  </w:p>
                  <w:p w14:paraId="5972AE79" w14:textId="77777777" w:rsidR="009802EB" w:rsidRDefault="009802EB">
                    <w:pPr>
                      <w:pStyle w:val="WitregelW1"/>
                    </w:pPr>
                  </w:p>
                  <w:p w14:paraId="1F9C4548" w14:textId="77777777" w:rsidR="009802EB" w:rsidRDefault="007571F5">
                    <w:pPr>
                      <w:pStyle w:val="StandaardReferentiegegevensKop"/>
                    </w:pPr>
                    <w:r>
                      <w:t>Bijlagen</w:t>
                    </w:r>
                  </w:p>
                  <w:p w14:paraId="491A8F28" w14:textId="77777777" w:rsidR="009802EB" w:rsidRDefault="009345D8" w:rsidP="009345D8">
                    <w:pPr>
                      <w:pStyle w:val="StandaardReferentiegegevens"/>
                      <w:numPr>
                        <w:ilvl w:val="0"/>
                        <w:numId w:val="7"/>
                      </w:numPr>
                      <w:jc w:val="both"/>
                    </w:pPr>
                    <w:r>
                      <w:t>Beleidsbesluit</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C483EEA" wp14:editId="6AA267DA">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6FC7094D" w14:textId="77777777" w:rsidR="009802EB" w:rsidRDefault="007571F5">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2C483EEA"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6FC7094D" w14:textId="77777777" w:rsidR="009802EB" w:rsidRDefault="007571F5">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3771605" wp14:editId="3A94B960">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020BD29E" w14:textId="77777777" w:rsidR="00733102" w:rsidRDefault="00733102" w:rsidP="00733102">
                          <w:pPr>
                            <w:pStyle w:val="Rubricering"/>
                            <w:rPr>
                              <w:b w:val="0"/>
                              <w:bCs/>
                              <w:sz w:val="18"/>
                              <w:szCs w:val="18"/>
                            </w:rPr>
                          </w:pPr>
                        </w:p>
                        <w:p w14:paraId="1A9BAD33" w14:textId="77777777" w:rsidR="00733102" w:rsidRPr="00733102" w:rsidRDefault="00733102" w:rsidP="00733102">
                          <w:r w:rsidRPr="00733102">
                            <w:t>Voorzitter van de Tweede Kamer der Staten-Generaal</w:t>
                          </w:r>
                        </w:p>
                        <w:p w14:paraId="6150410A" w14:textId="77777777" w:rsidR="00733102" w:rsidRPr="00733102" w:rsidRDefault="00733102" w:rsidP="00733102">
                          <w:r w:rsidRPr="00733102">
                            <w:t>Postbus 20018</w:t>
                          </w:r>
                        </w:p>
                        <w:p w14:paraId="5EDC005C" w14:textId="77777777" w:rsidR="00970114" w:rsidRPr="00733102" w:rsidRDefault="00733102" w:rsidP="00733102">
                          <w:r w:rsidRPr="00733102">
                            <w:t>2500 EA  DEN HAAG</w:t>
                          </w:r>
                        </w:p>
                      </w:txbxContent>
                    </wps:txbx>
                    <wps:bodyPr vert="horz" wrap="square" lIns="0" tIns="0" rIns="0" bIns="0" anchor="t" anchorCtr="0"/>
                  </wps:wsp>
                </a:graphicData>
              </a:graphic>
            </wp:anchor>
          </w:drawing>
        </mc:Choice>
        <mc:Fallback>
          <w:pict>
            <v:shape w14:anchorId="73771605"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020BD29E" w14:textId="77777777" w:rsidR="00733102" w:rsidRDefault="00733102" w:rsidP="00733102">
                    <w:pPr>
                      <w:pStyle w:val="Rubricering"/>
                      <w:rPr>
                        <w:b w:val="0"/>
                        <w:bCs/>
                        <w:sz w:val="18"/>
                        <w:szCs w:val="18"/>
                      </w:rPr>
                    </w:pPr>
                  </w:p>
                  <w:p w14:paraId="1A9BAD33" w14:textId="77777777" w:rsidR="00733102" w:rsidRPr="00733102" w:rsidRDefault="00733102" w:rsidP="00733102">
                    <w:r w:rsidRPr="00733102">
                      <w:t>Voorzitter van de Tweede Kamer der Staten-Generaal</w:t>
                    </w:r>
                  </w:p>
                  <w:p w14:paraId="6150410A" w14:textId="77777777" w:rsidR="00733102" w:rsidRPr="00733102" w:rsidRDefault="00733102" w:rsidP="00733102">
                    <w:r w:rsidRPr="00733102">
                      <w:t>Postbus 20018</w:t>
                    </w:r>
                  </w:p>
                  <w:p w14:paraId="5EDC005C" w14:textId="77777777" w:rsidR="00970114" w:rsidRPr="00733102" w:rsidRDefault="00733102" w:rsidP="00733102">
                    <w:r w:rsidRPr="00733102">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6985F94" wp14:editId="4E97AA73">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3160072" w14:textId="77777777" w:rsidR="007C41DE" w:rsidRDefault="001255CA">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6985F94"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53160072" w14:textId="77777777" w:rsidR="007C41DE" w:rsidRDefault="001255CA">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B72D705" wp14:editId="6FAF9B1A">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802EB" w14:paraId="17207E74" w14:textId="77777777">
                            <w:trPr>
                              <w:trHeight w:val="200"/>
                            </w:trPr>
                            <w:tc>
                              <w:tcPr>
                                <w:tcW w:w="1140" w:type="dxa"/>
                              </w:tcPr>
                              <w:p w14:paraId="60A24330" w14:textId="77777777" w:rsidR="009802EB" w:rsidRDefault="009802EB"/>
                            </w:tc>
                            <w:tc>
                              <w:tcPr>
                                <w:tcW w:w="5400" w:type="dxa"/>
                              </w:tcPr>
                              <w:p w14:paraId="4BF87EAD" w14:textId="77777777" w:rsidR="009802EB" w:rsidRDefault="009802EB"/>
                            </w:tc>
                          </w:tr>
                          <w:tr w:rsidR="009802EB" w14:paraId="7A25F482" w14:textId="77777777">
                            <w:trPr>
                              <w:trHeight w:val="240"/>
                            </w:trPr>
                            <w:tc>
                              <w:tcPr>
                                <w:tcW w:w="1140" w:type="dxa"/>
                              </w:tcPr>
                              <w:p w14:paraId="549FE62E" w14:textId="77777777" w:rsidR="009802EB" w:rsidRDefault="007571F5">
                                <w:r>
                                  <w:t>Datum</w:t>
                                </w:r>
                              </w:p>
                            </w:tc>
                            <w:tc>
                              <w:tcPr>
                                <w:tcW w:w="5400" w:type="dxa"/>
                              </w:tcPr>
                              <w:p w14:paraId="154E5BD7" w14:textId="7590B5C9" w:rsidR="009802EB" w:rsidRDefault="001255CA">
                                <w:r>
                                  <w:t>17 december 2024</w:t>
                                </w:r>
                              </w:p>
                            </w:tc>
                          </w:tr>
                          <w:tr w:rsidR="009802EB" w14:paraId="5E5C07F5" w14:textId="77777777">
                            <w:trPr>
                              <w:trHeight w:val="240"/>
                            </w:trPr>
                            <w:tc>
                              <w:tcPr>
                                <w:tcW w:w="1140" w:type="dxa"/>
                              </w:tcPr>
                              <w:p w14:paraId="1D222247" w14:textId="77777777" w:rsidR="009802EB" w:rsidRDefault="007571F5">
                                <w:r>
                                  <w:t>Betreft</w:t>
                                </w:r>
                              </w:p>
                            </w:tc>
                            <w:tc>
                              <w:tcPr>
                                <w:tcW w:w="5400" w:type="dxa"/>
                              </w:tcPr>
                              <w:p w14:paraId="4189CBCB" w14:textId="77777777" w:rsidR="009802EB" w:rsidRDefault="00D166BF">
                                <w:r>
                                  <w:t>Hervatten betaalverzuimboetes btw e-Commerce</w:t>
                                </w:r>
                              </w:p>
                            </w:tc>
                          </w:tr>
                          <w:tr w:rsidR="009802EB" w14:paraId="759A9BA7" w14:textId="77777777">
                            <w:trPr>
                              <w:trHeight w:val="200"/>
                            </w:trPr>
                            <w:tc>
                              <w:tcPr>
                                <w:tcW w:w="1140" w:type="dxa"/>
                              </w:tcPr>
                              <w:p w14:paraId="0BAA1A59" w14:textId="77777777" w:rsidR="009802EB" w:rsidRDefault="009802EB"/>
                            </w:tc>
                            <w:tc>
                              <w:tcPr>
                                <w:tcW w:w="4738" w:type="dxa"/>
                              </w:tcPr>
                              <w:p w14:paraId="17C181BB" w14:textId="77777777" w:rsidR="009802EB" w:rsidRDefault="009802EB"/>
                            </w:tc>
                          </w:tr>
                        </w:tbl>
                        <w:p w14:paraId="475242C3" w14:textId="77777777" w:rsidR="007571F5" w:rsidRDefault="007571F5"/>
                      </w:txbxContent>
                    </wps:txbx>
                    <wps:bodyPr vert="horz" wrap="square" lIns="0" tIns="0" rIns="0" bIns="0" anchor="t" anchorCtr="0"/>
                  </wps:wsp>
                </a:graphicData>
              </a:graphic>
            </wp:anchor>
          </w:drawing>
        </mc:Choice>
        <mc:Fallback>
          <w:pict>
            <v:shape w14:anchorId="2B72D705"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9802EB" w14:paraId="17207E74" w14:textId="77777777">
                      <w:trPr>
                        <w:trHeight w:val="200"/>
                      </w:trPr>
                      <w:tc>
                        <w:tcPr>
                          <w:tcW w:w="1140" w:type="dxa"/>
                        </w:tcPr>
                        <w:p w14:paraId="60A24330" w14:textId="77777777" w:rsidR="009802EB" w:rsidRDefault="009802EB"/>
                      </w:tc>
                      <w:tc>
                        <w:tcPr>
                          <w:tcW w:w="5400" w:type="dxa"/>
                        </w:tcPr>
                        <w:p w14:paraId="4BF87EAD" w14:textId="77777777" w:rsidR="009802EB" w:rsidRDefault="009802EB"/>
                      </w:tc>
                    </w:tr>
                    <w:tr w:rsidR="009802EB" w14:paraId="7A25F482" w14:textId="77777777">
                      <w:trPr>
                        <w:trHeight w:val="240"/>
                      </w:trPr>
                      <w:tc>
                        <w:tcPr>
                          <w:tcW w:w="1140" w:type="dxa"/>
                        </w:tcPr>
                        <w:p w14:paraId="549FE62E" w14:textId="77777777" w:rsidR="009802EB" w:rsidRDefault="007571F5">
                          <w:r>
                            <w:t>Datum</w:t>
                          </w:r>
                        </w:p>
                      </w:tc>
                      <w:tc>
                        <w:tcPr>
                          <w:tcW w:w="5400" w:type="dxa"/>
                        </w:tcPr>
                        <w:p w14:paraId="154E5BD7" w14:textId="7590B5C9" w:rsidR="009802EB" w:rsidRDefault="001255CA">
                          <w:r>
                            <w:t>17 december 2024</w:t>
                          </w:r>
                        </w:p>
                      </w:tc>
                    </w:tr>
                    <w:tr w:rsidR="009802EB" w14:paraId="5E5C07F5" w14:textId="77777777">
                      <w:trPr>
                        <w:trHeight w:val="240"/>
                      </w:trPr>
                      <w:tc>
                        <w:tcPr>
                          <w:tcW w:w="1140" w:type="dxa"/>
                        </w:tcPr>
                        <w:p w14:paraId="1D222247" w14:textId="77777777" w:rsidR="009802EB" w:rsidRDefault="007571F5">
                          <w:r>
                            <w:t>Betreft</w:t>
                          </w:r>
                        </w:p>
                      </w:tc>
                      <w:tc>
                        <w:tcPr>
                          <w:tcW w:w="5400" w:type="dxa"/>
                        </w:tcPr>
                        <w:p w14:paraId="4189CBCB" w14:textId="77777777" w:rsidR="009802EB" w:rsidRDefault="00D166BF">
                          <w:r>
                            <w:t>Hervatten betaalverzuimboetes btw e-Commerce</w:t>
                          </w:r>
                        </w:p>
                      </w:tc>
                    </w:tr>
                    <w:tr w:rsidR="009802EB" w14:paraId="759A9BA7" w14:textId="77777777">
                      <w:trPr>
                        <w:trHeight w:val="200"/>
                      </w:trPr>
                      <w:tc>
                        <w:tcPr>
                          <w:tcW w:w="1140" w:type="dxa"/>
                        </w:tcPr>
                        <w:p w14:paraId="0BAA1A59" w14:textId="77777777" w:rsidR="009802EB" w:rsidRDefault="009802EB"/>
                      </w:tc>
                      <w:tc>
                        <w:tcPr>
                          <w:tcW w:w="4738" w:type="dxa"/>
                        </w:tcPr>
                        <w:p w14:paraId="17C181BB" w14:textId="77777777" w:rsidR="009802EB" w:rsidRDefault="009802EB"/>
                      </w:tc>
                    </w:tr>
                  </w:tbl>
                  <w:p w14:paraId="475242C3" w14:textId="77777777" w:rsidR="007571F5" w:rsidRDefault="007571F5"/>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EDE2ECE" wp14:editId="6CB66023">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331D21D8" w14:textId="77777777" w:rsidR="007C41DE" w:rsidRDefault="001255CA">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EDE2ECE"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331D21D8" w14:textId="77777777" w:rsidR="007C41DE" w:rsidRDefault="001255CA">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B930D9C" wp14:editId="437DECEB">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74429BA9" w14:textId="77777777" w:rsidR="007571F5" w:rsidRDefault="007571F5"/>
                      </w:txbxContent>
                    </wps:txbx>
                    <wps:bodyPr vert="horz" wrap="square" lIns="0" tIns="0" rIns="0" bIns="0" anchor="t" anchorCtr="0"/>
                  </wps:wsp>
                </a:graphicData>
              </a:graphic>
            </wp:anchor>
          </w:drawing>
        </mc:Choice>
        <mc:Fallback>
          <w:pict>
            <v:shape w14:anchorId="2B930D9C"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74429BA9" w14:textId="77777777" w:rsidR="007571F5" w:rsidRDefault="007571F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DEFF88"/>
    <w:multiLevelType w:val="multilevel"/>
    <w:tmpl w:val="0CBB04F9"/>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DAD8AA"/>
    <w:multiLevelType w:val="multilevel"/>
    <w:tmpl w:val="3D4EF767"/>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19731E"/>
    <w:multiLevelType w:val="multilevel"/>
    <w:tmpl w:val="1E16D27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873C6D"/>
    <w:multiLevelType w:val="multilevel"/>
    <w:tmpl w:val="63B05D0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43ECFD53"/>
    <w:multiLevelType w:val="multilevel"/>
    <w:tmpl w:val="1523A20E"/>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85AFC3"/>
    <w:multiLevelType w:val="multilevel"/>
    <w:tmpl w:val="3E35AF7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4CD66CCE"/>
    <w:multiLevelType w:val="hybridMultilevel"/>
    <w:tmpl w:val="34E802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59615020">
    <w:abstractNumId w:val="0"/>
  </w:num>
  <w:num w:numId="2" w16cid:durableId="1824469378">
    <w:abstractNumId w:val="1"/>
  </w:num>
  <w:num w:numId="3" w16cid:durableId="1980067808">
    <w:abstractNumId w:val="5"/>
  </w:num>
  <w:num w:numId="4" w16cid:durableId="1074162239">
    <w:abstractNumId w:val="3"/>
  </w:num>
  <w:num w:numId="5" w16cid:durableId="1370495437">
    <w:abstractNumId w:val="4"/>
  </w:num>
  <w:num w:numId="6" w16cid:durableId="1801417392">
    <w:abstractNumId w:val="2"/>
  </w:num>
  <w:num w:numId="7" w16cid:durableId="11176818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EB"/>
    <w:rsid w:val="00016FFB"/>
    <w:rsid w:val="001255CA"/>
    <w:rsid w:val="00193907"/>
    <w:rsid w:val="0019480D"/>
    <w:rsid w:val="00387289"/>
    <w:rsid w:val="003E6325"/>
    <w:rsid w:val="00605C8F"/>
    <w:rsid w:val="00733102"/>
    <w:rsid w:val="007571F5"/>
    <w:rsid w:val="007C41DE"/>
    <w:rsid w:val="009345D8"/>
    <w:rsid w:val="00970114"/>
    <w:rsid w:val="009802EB"/>
    <w:rsid w:val="009F03C9"/>
    <w:rsid w:val="00A43A2C"/>
    <w:rsid w:val="00A57226"/>
    <w:rsid w:val="00D14FA8"/>
    <w:rsid w:val="00D166BF"/>
    <w:rsid w:val="00DF4599"/>
    <w:rsid w:val="00E056AA"/>
    <w:rsid w:val="00E9715B"/>
    <w:rsid w:val="00F67606"/>
    <w:rsid w:val="00FB48A8"/>
    <w:rsid w:val="00FE26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24D13EFA"/>
  <w15:docId w15:val="{258124AA-56D6-4BB9-857D-28312F6F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166B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166BF"/>
    <w:rPr>
      <w:rFonts w:ascii="Verdana" w:hAnsi="Verdana"/>
      <w:color w:val="000000"/>
      <w:sz w:val="18"/>
      <w:szCs w:val="18"/>
    </w:rPr>
  </w:style>
  <w:style w:type="paragraph" w:styleId="Voettekst">
    <w:name w:val="footer"/>
    <w:basedOn w:val="Standaard"/>
    <w:link w:val="VoettekstChar"/>
    <w:uiPriority w:val="99"/>
    <w:unhideWhenUsed/>
    <w:rsid w:val="00D166B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166BF"/>
    <w:rPr>
      <w:rFonts w:ascii="Verdana" w:hAnsi="Verdana"/>
      <w:color w:val="000000"/>
      <w:sz w:val="18"/>
      <w:szCs w:val="18"/>
    </w:rPr>
  </w:style>
  <w:style w:type="paragraph" w:styleId="Voetnoottekst">
    <w:name w:val="footnote text"/>
    <w:basedOn w:val="Standaard"/>
    <w:link w:val="VoetnoottekstChar"/>
    <w:uiPriority w:val="99"/>
    <w:semiHidden/>
    <w:unhideWhenUsed/>
    <w:rsid w:val="00D166BF"/>
    <w:pPr>
      <w:spacing w:line="240" w:lineRule="auto"/>
      <w:textAlignment w:val="auto"/>
    </w:pPr>
    <w:rPr>
      <w:sz w:val="20"/>
      <w:szCs w:val="20"/>
    </w:rPr>
  </w:style>
  <w:style w:type="character" w:customStyle="1" w:styleId="VoetnoottekstChar">
    <w:name w:val="Voetnoottekst Char"/>
    <w:basedOn w:val="Standaardalinea-lettertype"/>
    <w:link w:val="Voetnoottekst"/>
    <w:uiPriority w:val="99"/>
    <w:semiHidden/>
    <w:rsid w:val="00D166BF"/>
    <w:rPr>
      <w:rFonts w:ascii="Verdana" w:hAnsi="Verdana"/>
      <w:color w:val="000000"/>
    </w:rPr>
  </w:style>
  <w:style w:type="character" w:styleId="Voetnootmarkering">
    <w:name w:val="footnote reference"/>
    <w:basedOn w:val="Standaardalinea-lettertype"/>
    <w:uiPriority w:val="99"/>
    <w:semiHidden/>
    <w:unhideWhenUsed/>
    <w:rsid w:val="00D166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16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3/12/12/kader-beleidsbesluiten-vooruitlopend-op-wetgeving-op-de-terreinen-van-belastingen-toeslagen-en-douan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957</ap:Words>
  <ap:Characters>5267</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Brief aan Eerste of Tweede Kamer - Kamerbrief hervatten betaalverzuimboetes MSCON</vt:lpstr>
    </vt:vector>
  </ap:TitlesOfParts>
  <ap:LinksUpToDate>false</ap:LinksUpToDate>
  <ap:CharactersWithSpaces>6212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2024-12-17T14:01:00.0000000Z</dcterms:created>
  <dcterms:modified xsi:type="dcterms:W3CDTF">2024-12-17T14:01:00.0000000Z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Kamerbrief hervatten betaalverzuimboetes MSCON</vt:lpwstr>
  </property>
  <property fmtid="{D5CDD505-2E9C-101B-9397-08002B2CF9AE}" pid="5" name="Publicatiedatum">
    <vt:lpwstr/>
  </property>
  <property fmtid="{D5CDD505-2E9C-101B-9397-08002B2CF9AE}" pid="6" name="Verantwoordelijke organisatie">
    <vt:lpwstr>Bestuurlijke en Politieke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12 december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2024-0000569526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Kamerbrief hervatten betaalverzuimboetes MSCON</vt:lpwstr>
  </property>
  <property fmtid="{D5CDD505-2E9C-101B-9397-08002B2CF9AE}" pid="30" name="UwKenmerk">
    <vt:lpwstr/>
  </property>
  <property fmtid="{D5CDD505-2E9C-101B-9397-08002B2CF9AE}" pid="31" name="MSIP_Label_e00462cb-1b47-485e-830d-87ca0cc9766d_Enabled">
    <vt:lpwstr>true</vt:lpwstr>
  </property>
  <property fmtid="{D5CDD505-2E9C-101B-9397-08002B2CF9AE}" pid="32" name="MSIP_Label_e00462cb-1b47-485e-830d-87ca0cc9766d_SetDate">
    <vt:lpwstr>2024-12-12T08:53:00Z</vt:lpwstr>
  </property>
  <property fmtid="{D5CDD505-2E9C-101B-9397-08002B2CF9AE}" pid="33" name="MSIP_Label_e00462cb-1b47-485e-830d-87ca0cc9766d_Method">
    <vt:lpwstr>Standard</vt:lpwstr>
  </property>
  <property fmtid="{D5CDD505-2E9C-101B-9397-08002B2CF9AE}" pid="34" name="MSIP_Label_e00462cb-1b47-485e-830d-87ca0cc9766d_Name">
    <vt:lpwstr>Rijksoverheid (DGBEL)</vt:lpwstr>
  </property>
  <property fmtid="{D5CDD505-2E9C-101B-9397-08002B2CF9AE}" pid="35" name="MSIP_Label_e00462cb-1b47-485e-830d-87ca0cc9766d_SiteId">
    <vt:lpwstr>84712536-f524-40a0-913b-5d25ba502732</vt:lpwstr>
  </property>
  <property fmtid="{D5CDD505-2E9C-101B-9397-08002B2CF9AE}" pid="36" name="MSIP_Label_e00462cb-1b47-485e-830d-87ca0cc9766d_ActionId">
    <vt:lpwstr>413f1f1b-eaed-4c55-844a-348ea90d6018</vt:lpwstr>
  </property>
  <property fmtid="{D5CDD505-2E9C-101B-9397-08002B2CF9AE}" pid="37" name="MSIP_Label_e00462cb-1b47-485e-830d-87ca0cc9766d_ContentBits">
    <vt:lpwstr>0</vt:lpwstr>
  </property>
</Properties>
</file>