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2024Z21347</w:t>
        <w:br/>
      </w:r>
      <w:proofErr w:type="spellEnd"/>
    </w:p>
    <w:p>
      <w:pPr>
        <w:pStyle w:val="Normal"/>
        <w:rPr>
          <w:b w:val="1"/>
          <w:bCs w:val="1"/>
        </w:rPr>
      </w:pPr>
      <w:r w:rsidR="250AE766">
        <w:rPr>
          <w:b w:val="0"/>
          <w:bCs w:val="0"/>
        </w:rPr>
        <w:t>(ingezonden 17 december 2024)</w:t>
        <w:br/>
      </w:r>
    </w:p>
    <w:p>
      <w:r>
        <w:t xml:space="preserve">Vragen van de leden Kröger (GroenLinks-PvdA), Beckerman (SP) Teunissen (PvdD) en Rooderkerk (D66) aan de minister van Klimaat en Groene Groei over het gaswinningsproject bij Ternaard.</w:t>
      </w:r>
      <w:r>
        <w:br/>
      </w:r>
    </w:p>
    <w:p>
      <w:r>
        <w:t xml:space="preserve">1 Bent u bereid om, met inachtneming van artikel 68 van de Grondwet, de (aanvullende) adviezen van TNO en Mijnraad ten aanzien van het gaswinningsproject bij Ternaard, delen met de Kamer? Zo nee, waarom is dit in strijd met het belang van de Staat?</w:t>
      </w:r>
      <w:r>
        <w:br/>
      </w:r>
    </w:p>
    <w:p>
      <w:r>
        <w:t xml:space="preserve">2 Bent u bereid om, met inachtneming van artikel 68 van de Grondwet, de ambtelijke appreciatie van deze adviezen te delen met de Kamer? Zo nee, waarom is dit in strijd met het belang van de Staat?</w:t>
      </w:r>
      <w:r>
        <w:br/>
      </w:r>
    </w:p>
    <w:p>
      <w:r>
        <w:t xml:space="preserve">3 Bent u bereid om, met inachtneming van artikel 68 van de Grondwet, de voorgenomen Wnb vergunning, zoals besloten in februari 2024 en mogelijke latere versies, te delen met de Kamer? Zo nee, waarom is dit in strijd met het belang van de Staat?</w:t>
      </w:r>
      <w:r>
        <w:br/>
      </w:r>
    </w:p>
    <w:p>
      <w:r>
        <w:t xml:space="preserve">4 Kunt u aangeven hoe de verschillende onderzoeken, adviezen en vergunningen rond het gaswinningsproject bij Ternaard zich hiërarchisch tot elkaar verhouden? Kunt u hierbij expliciet ingaan op het arrest in de zaak C-441/17 (CURIA - List of results).</w:t>
      </w:r>
      <w:r>
        <w:br/>
      </w:r>
    </w:p>
    <w:p>
      <w:r>
        <w:t xml:space="preserve">5 Kunt u de appreciatie van de recente SodM (Staatstoezicht op de Mijnen) adviezen delen en aangeven met welke reden en/of onderbouwing deze adviezen terzijde zijn gelegd? Waarom hebben zij niet geleidt tot herziening van de Wnb vergunning?</w:t>
      </w:r>
      <w:r>
        <w:br/>
      </w:r>
    </w:p>
    <w:p>
      <w:r>
        <w:t xml:space="preserve">6 Waarom worden niet alle relevante stukken die betrekking hebben op het besluit ter inzage gelegd conform artikel 3:11 Awb (Algemene wet bestuursrecht)?</w:t>
      </w:r>
      <w:r>
        <w:br/>
      </w:r>
    </w:p>
    <w:p>
      <w:r>
        <w:t xml:space="preserve">7 Waarom wordt niet alle voor natuur en milieu relevante informatie openbaar gemaakt, zoals voorgeschreven in het verdrag van Arhus?</w:t>
      </w:r>
      <w:r>
        <w:br/>
      </w:r>
    </w:p>
    <w:p>
      <w:r>
        <w:t xml:space="preserve">8 Klopt het dat het bevoegd gezag geen besluit kan nemen als de procedure voor het ontwerpbesluit niet op de juiste wijze is gevolgd? Zo ja, waar blijkt dit uit?</w:t>
      </w:r>
      <w:r>
        <w:br/>
      </w:r>
    </w:p>
    <w:p>
      <w:r>
        <w:t xml:space="preserve">9 Kunt u uitleggen hoe de afspraken in de rijkscoördinatieregeling zich verhoud tot de Grondwet en specifiek artikel 68? Hoe wordt het belang van de Staat geschonden als u de stukken nu met de Kamer zou delen? Kunt u uitleggen hoe zich dit verhoudt tot het verdrag van Arhus?</w:t>
      </w:r>
      <w:r>
        <w:br/>
      </w:r>
    </w:p>
    <w:p>
      <w:r>
        <w:t xml:space="preserve">10 Klopt het dat Nederland met de inscriptie van de Waddenzee als Werelderfgoed zich verbonden heeft om de OUV (Outstanding Universal Value) van de Waddenzee te beschermen?</w:t>
      </w:r>
      <w:r>
        <w:br/>
      </w:r>
    </w:p>
    <w:p>
      <w:r>
        <w:t xml:space="preserve">11 Waar is in de besluitvorming rond ‘Ternaard’ de toetsing aan OUV geborgd?</w:t>
      </w:r>
      <w:r>
        <w:br/>
      </w:r>
    </w:p>
    <w:p>
      <w:r>
        <w:t xml:space="preserve">12 Klopt het dat in het nominatie dossier van Nederland werd aangegeven dat bestaande wet- en regelgeving voor natuurbescherming (NB-wet) voldoende is om dit mogelijk te maken?</w:t>
      </w:r>
      <w:r>
        <w:br/>
      </w:r>
    </w:p>
    <w:p>
      <w:r>
        <w:t xml:space="preserve">13 Klopt het dat als gesteld wordt dat de OUV geen toetsingskader is in kader van de NB-wet er een probleem is omdat bij afwezigheid van voldoende wettelijke bescherming van de OUV in principe de” conditions voor Danger Listing” uit het Werelderfgoed vervuld zijn vervuld zijn.</w:t>
      </w:r>
      <w:r>
        <w:br/>
      </w:r>
    </w:p>
    <w:p>
      <w:r>
        <w:t xml:space="preserve">14 Kunt u deze vragen één voor één beantwoorden voor aanstaande woensdag 12.00 uur?</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