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601A5" w:rsidR="00510C32" w:rsidP="00510C32" w:rsidRDefault="00510C32" w14:paraId="5859757E" w14:textId="19E4C5BD">
      <w:pPr>
        <w:jc w:val="center"/>
        <w:rPr>
          <w:b/>
          <w:bCs/>
          <w:sz w:val="23"/>
          <w:szCs w:val="23"/>
        </w:rPr>
      </w:pPr>
      <w:r w:rsidRPr="00F601A5">
        <w:rPr>
          <w:b/>
          <w:bCs/>
          <w:sz w:val="23"/>
          <w:szCs w:val="23"/>
        </w:rPr>
        <w:t xml:space="preserve">Germany needs to </w:t>
      </w:r>
      <w:proofErr w:type="spellStart"/>
      <w:r w:rsidRPr="00F601A5">
        <w:rPr>
          <w:b/>
          <w:bCs/>
          <w:sz w:val="23"/>
          <w:szCs w:val="23"/>
        </w:rPr>
        <w:t>prioritise</w:t>
      </w:r>
      <w:proofErr w:type="spellEnd"/>
      <w:r w:rsidRPr="00F601A5">
        <w:rPr>
          <w:b/>
          <w:bCs/>
          <w:sz w:val="23"/>
          <w:szCs w:val="23"/>
        </w:rPr>
        <w:t xml:space="preserve"> growth</w:t>
      </w:r>
    </w:p>
    <w:p w:rsidRPr="0002723F" w:rsidR="0002723F" w:rsidP="0002723F" w:rsidRDefault="0002723F" w14:paraId="3EB4992C" w14:textId="2BFD5CA5">
      <w:pPr>
        <w:rPr>
          <w:b/>
          <w:bCs/>
          <w:i/>
          <w:iCs/>
          <w:sz w:val="23"/>
          <w:szCs w:val="23"/>
        </w:rPr>
      </w:pPr>
      <w:r>
        <w:rPr>
          <w:b/>
          <w:bCs/>
          <w:i/>
          <w:iCs/>
          <w:sz w:val="23"/>
          <w:szCs w:val="23"/>
        </w:rPr>
        <w:t>Key messages</w:t>
      </w:r>
    </w:p>
    <w:p w:rsidRPr="0002723F" w:rsidR="0009274B" w:rsidP="0002723F" w:rsidRDefault="009A0EDB" w14:paraId="5D8B0528" w14:textId="62179B7B">
      <w:pPr>
        <w:pStyle w:val="ListParagraph"/>
        <w:numPr>
          <w:ilvl w:val="0"/>
          <w:numId w:val="1"/>
        </w:numPr>
        <w:rPr>
          <w:b/>
          <w:bCs/>
          <w:i/>
          <w:iCs/>
          <w:sz w:val="23"/>
          <w:szCs w:val="23"/>
        </w:rPr>
      </w:pPr>
      <w:r w:rsidRPr="00F601A5">
        <w:rPr>
          <w:i/>
          <w:iCs/>
          <w:sz w:val="23"/>
          <w:szCs w:val="23"/>
        </w:rPr>
        <w:t>As Germany heads to the polls for a snap election in February 2025, voters are faced with an economy</w:t>
      </w:r>
      <w:r w:rsidRPr="00F601A5" w:rsidR="0009274B">
        <w:rPr>
          <w:i/>
          <w:iCs/>
          <w:sz w:val="23"/>
          <w:szCs w:val="23"/>
        </w:rPr>
        <w:t xml:space="preserve"> stuck</w:t>
      </w:r>
      <w:r w:rsidRPr="00F601A5">
        <w:rPr>
          <w:i/>
          <w:iCs/>
          <w:sz w:val="23"/>
          <w:szCs w:val="23"/>
        </w:rPr>
        <w:t xml:space="preserve"> in</w:t>
      </w:r>
      <w:r w:rsidRPr="00F601A5" w:rsidR="0009274B">
        <w:rPr>
          <w:i/>
          <w:iCs/>
          <w:sz w:val="23"/>
          <w:szCs w:val="23"/>
        </w:rPr>
        <w:t xml:space="preserve"> a rut</w:t>
      </w:r>
      <w:r w:rsidRPr="00F601A5">
        <w:rPr>
          <w:i/>
          <w:iCs/>
          <w:sz w:val="23"/>
          <w:szCs w:val="23"/>
        </w:rPr>
        <w:t xml:space="preserve">. The economy lost growth momentum before the onset of the pandemic and has been essentially flat for </w:t>
      </w:r>
      <w:r w:rsidRPr="00F601A5" w:rsidR="0009274B">
        <w:rPr>
          <w:i/>
          <w:iCs/>
          <w:sz w:val="23"/>
          <w:szCs w:val="23"/>
        </w:rPr>
        <w:t>five years</w:t>
      </w:r>
      <w:r w:rsidRPr="00F601A5">
        <w:rPr>
          <w:i/>
          <w:iCs/>
          <w:sz w:val="23"/>
          <w:szCs w:val="23"/>
        </w:rPr>
        <w:t xml:space="preserve">. </w:t>
      </w:r>
      <w:r w:rsidRPr="0002723F">
        <w:rPr>
          <w:i/>
          <w:iCs/>
          <w:sz w:val="23"/>
          <w:szCs w:val="23"/>
        </w:rPr>
        <w:t xml:space="preserve">Without fiscal intervention and reforms </w:t>
      </w:r>
      <w:r w:rsidRPr="0002723F" w:rsidR="0009274B">
        <w:rPr>
          <w:i/>
          <w:iCs/>
          <w:sz w:val="23"/>
          <w:szCs w:val="23"/>
        </w:rPr>
        <w:t>Germany,</w:t>
      </w:r>
      <w:r w:rsidRPr="0002723F">
        <w:rPr>
          <w:i/>
          <w:iCs/>
          <w:sz w:val="23"/>
          <w:szCs w:val="23"/>
        </w:rPr>
        <w:t xml:space="preserve"> be headed for a lost decade</w:t>
      </w:r>
      <w:r w:rsidRPr="0002723F" w:rsidR="0002723F">
        <w:rPr>
          <w:i/>
          <w:iCs/>
          <w:sz w:val="23"/>
          <w:szCs w:val="23"/>
        </w:rPr>
        <w:t>.</w:t>
      </w:r>
    </w:p>
    <w:p w:rsidRPr="00F601A5" w:rsidR="009A0EDB" w:rsidP="009A0EDB" w:rsidRDefault="0009274B" w14:paraId="70B8E67E" w14:textId="5BC11ABC">
      <w:pPr>
        <w:pStyle w:val="ListParagraph"/>
        <w:numPr>
          <w:ilvl w:val="0"/>
          <w:numId w:val="1"/>
        </w:numPr>
        <w:rPr>
          <w:b/>
          <w:bCs/>
          <w:i/>
          <w:iCs/>
          <w:sz w:val="23"/>
          <w:szCs w:val="23"/>
        </w:rPr>
      </w:pPr>
      <w:proofErr w:type="spellStart"/>
      <w:r w:rsidRPr="00F601A5">
        <w:rPr>
          <w:i/>
          <w:iCs/>
          <w:sz w:val="23"/>
          <w:szCs w:val="23"/>
        </w:rPr>
        <w:t>Conjuncturally</w:t>
      </w:r>
      <w:proofErr w:type="spellEnd"/>
      <w:r w:rsidRPr="00F601A5">
        <w:rPr>
          <w:i/>
          <w:iCs/>
          <w:sz w:val="23"/>
          <w:szCs w:val="23"/>
        </w:rPr>
        <w:t>, there is a strong case for fiscal Keynesian</w:t>
      </w:r>
      <w:r w:rsidRPr="00F601A5" w:rsidR="000A60E5">
        <w:rPr>
          <w:i/>
          <w:iCs/>
          <w:sz w:val="23"/>
          <w:szCs w:val="23"/>
        </w:rPr>
        <w:t>-style</w:t>
      </w:r>
      <w:r w:rsidRPr="00F601A5">
        <w:rPr>
          <w:i/>
          <w:iCs/>
          <w:sz w:val="23"/>
          <w:szCs w:val="23"/>
        </w:rPr>
        <w:t xml:space="preserve"> stimulus: household consumption is below its 2019 level, whilst the</w:t>
      </w:r>
      <w:r w:rsidRPr="00F601A5" w:rsidR="009A0EDB">
        <w:rPr>
          <w:i/>
          <w:iCs/>
          <w:sz w:val="23"/>
          <w:szCs w:val="23"/>
        </w:rPr>
        <w:t xml:space="preserve"> savings rate of German households and corporates </w:t>
      </w:r>
      <w:r w:rsidRPr="00F601A5">
        <w:rPr>
          <w:i/>
          <w:iCs/>
          <w:sz w:val="23"/>
          <w:szCs w:val="23"/>
        </w:rPr>
        <w:t>seems</w:t>
      </w:r>
      <w:r w:rsidRPr="00F601A5" w:rsidR="009A0EDB">
        <w:rPr>
          <w:i/>
          <w:iCs/>
          <w:sz w:val="23"/>
          <w:szCs w:val="23"/>
        </w:rPr>
        <w:t xml:space="preserve"> </w:t>
      </w:r>
      <w:r w:rsidRPr="00F601A5">
        <w:rPr>
          <w:i/>
          <w:iCs/>
          <w:sz w:val="23"/>
          <w:szCs w:val="23"/>
        </w:rPr>
        <w:t>to be ticking</w:t>
      </w:r>
      <w:r w:rsidRPr="00F601A5" w:rsidR="009A0EDB">
        <w:rPr>
          <w:i/>
          <w:iCs/>
          <w:sz w:val="23"/>
          <w:szCs w:val="23"/>
        </w:rPr>
        <w:t xml:space="preserve"> up again</w:t>
      </w:r>
      <w:r w:rsidRPr="00F601A5">
        <w:rPr>
          <w:i/>
          <w:iCs/>
          <w:sz w:val="23"/>
          <w:szCs w:val="23"/>
        </w:rPr>
        <w:t xml:space="preserve">, leaving the government as the ‘spender of last resort’. German exports are declining faster than imports, further underlining the weakness of domestic demand. </w:t>
      </w:r>
    </w:p>
    <w:p w:rsidRPr="00F601A5" w:rsidR="009A0EDB" w:rsidP="009A0EDB" w:rsidRDefault="0009274B" w14:paraId="7FEEE4E5" w14:textId="2E2F3EA5">
      <w:pPr>
        <w:pStyle w:val="ListParagraph"/>
        <w:numPr>
          <w:ilvl w:val="0"/>
          <w:numId w:val="1"/>
        </w:numPr>
        <w:rPr>
          <w:b/>
          <w:bCs/>
          <w:i/>
          <w:iCs/>
          <w:sz w:val="23"/>
          <w:szCs w:val="23"/>
        </w:rPr>
      </w:pPr>
      <w:r w:rsidRPr="00F601A5">
        <w:rPr>
          <w:i/>
          <w:iCs/>
          <w:sz w:val="23"/>
          <w:szCs w:val="23"/>
        </w:rPr>
        <w:t>More importantly</w:t>
      </w:r>
      <w:r w:rsidRPr="00F601A5" w:rsidR="009B5098">
        <w:rPr>
          <w:i/>
          <w:iCs/>
          <w:sz w:val="23"/>
          <w:szCs w:val="23"/>
        </w:rPr>
        <w:t>,</w:t>
      </w:r>
      <w:r w:rsidRPr="00F601A5">
        <w:rPr>
          <w:i/>
          <w:iCs/>
          <w:sz w:val="23"/>
          <w:szCs w:val="23"/>
        </w:rPr>
        <w:t xml:space="preserve"> the</w:t>
      </w:r>
      <w:r w:rsidRPr="00F601A5" w:rsidR="009A0EDB">
        <w:rPr>
          <w:i/>
          <w:iCs/>
          <w:sz w:val="23"/>
          <w:szCs w:val="23"/>
        </w:rPr>
        <w:t xml:space="preserve"> economy is held back by several overlapping and structural trends</w:t>
      </w:r>
      <w:r w:rsidRPr="00F601A5">
        <w:rPr>
          <w:i/>
          <w:iCs/>
          <w:sz w:val="23"/>
          <w:szCs w:val="23"/>
        </w:rPr>
        <w:t xml:space="preserve"> that require a sustained public investment push</w:t>
      </w:r>
      <w:r w:rsidRPr="00F601A5" w:rsidR="009B5098">
        <w:rPr>
          <w:i/>
          <w:iCs/>
          <w:sz w:val="23"/>
          <w:szCs w:val="23"/>
        </w:rPr>
        <w:t xml:space="preserve"> and supply-side reforms</w:t>
      </w:r>
      <w:r w:rsidRPr="00F601A5">
        <w:rPr>
          <w:i/>
          <w:iCs/>
          <w:sz w:val="23"/>
          <w:szCs w:val="23"/>
        </w:rPr>
        <w:t xml:space="preserve">. </w:t>
      </w:r>
    </w:p>
    <w:p w:rsidRPr="00F601A5" w:rsidR="009A0EDB" w:rsidP="009A0EDB" w:rsidRDefault="009A0EDB" w14:paraId="4B013FAA" w14:textId="2DBBBE45">
      <w:pPr>
        <w:pStyle w:val="ListParagraph"/>
        <w:numPr>
          <w:ilvl w:val="1"/>
          <w:numId w:val="1"/>
        </w:numPr>
        <w:rPr>
          <w:b/>
          <w:bCs/>
          <w:i/>
          <w:iCs/>
          <w:sz w:val="23"/>
          <w:szCs w:val="23"/>
        </w:rPr>
      </w:pPr>
      <w:r w:rsidRPr="00F601A5">
        <w:rPr>
          <w:i/>
          <w:iCs/>
          <w:sz w:val="23"/>
          <w:szCs w:val="23"/>
        </w:rPr>
        <w:t>High energy prices</w:t>
      </w:r>
      <w:r w:rsidRPr="00F601A5" w:rsidR="00F601A5">
        <w:rPr>
          <w:i/>
          <w:iCs/>
          <w:sz w:val="23"/>
          <w:szCs w:val="23"/>
        </w:rPr>
        <w:t xml:space="preserve"> following the cutoff from Russian </w:t>
      </w:r>
      <w:proofErr w:type="gramStart"/>
      <w:r w:rsidRPr="00F601A5" w:rsidR="00F601A5">
        <w:rPr>
          <w:i/>
          <w:iCs/>
          <w:sz w:val="23"/>
          <w:szCs w:val="23"/>
        </w:rPr>
        <w:t>gas;</w:t>
      </w:r>
      <w:proofErr w:type="gramEnd"/>
      <w:r w:rsidRPr="00F601A5" w:rsidR="00F601A5">
        <w:rPr>
          <w:i/>
          <w:iCs/>
          <w:sz w:val="23"/>
          <w:szCs w:val="23"/>
        </w:rPr>
        <w:t xml:space="preserve"> </w:t>
      </w:r>
    </w:p>
    <w:p w:rsidRPr="00F601A5" w:rsidR="009A0EDB" w:rsidP="009A0EDB" w:rsidRDefault="009A0EDB" w14:paraId="682BF985" w14:textId="2BF68327">
      <w:pPr>
        <w:pStyle w:val="ListParagraph"/>
        <w:numPr>
          <w:ilvl w:val="1"/>
          <w:numId w:val="1"/>
        </w:numPr>
        <w:rPr>
          <w:b/>
          <w:bCs/>
          <w:i/>
          <w:iCs/>
          <w:sz w:val="23"/>
          <w:szCs w:val="23"/>
        </w:rPr>
      </w:pPr>
      <w:r w:rsidRPr="00F601A5">
        <w:rPr>
          <w:i/>
          <w:iCs/>
          <w:sz w:val="23"/>
          <w:szCs w:val="23"/>
        </w:rPr>
        <w:t>China has gone from consumer to competitor</w:t>
      </w:r>
      <w:r w:rsidRPr="00F601A5" w:rsidR="0009274B">
        <w:rPr>
          <w:i/>
          <w:iCs/>
          <w:sz w:val="23"/>
          <w:szCs w:val="23"/>
        </w:rPr>
        <w:t xml:space="preserve">. </w:t>
      </w:r>
      <w:r w:rsidRPr="00F601A5">
        <w:rPr>
          <w:i/>
          <w:iCs/>
          <w:sz w:val="23"/>
          <w:szCs w:val="23"/>
        </w:rPr>
        <w:t>German exports to China have declined by 0.5% of German GDP already and there is much more room for decline</w:t>
      </w:r>
      <w:r w:rsidRPr="00F601A5" w:rsidR="0009274B">
        <w:rPr>
          <w:i/>
          <w:iCs/>
          <w:sz w:val="23"/>
          <w:szCs w:val="23"/>
        </w:rPr>
        <w:t xml:space="preserve">. China’s exploding exports elsewhere cut off avenues for Germany to export its way out of its </w:t>
      </w:r>
      <w:proofErr w:type="gramStart"/>
      <w:r w:rsidRPr="00F601A5" w:rsidR="0009274B">
        <w:rPr>
          <w:i/>
          <w:iCs/>
          <w:sz w:val="23"/>
          <w:szCs w:val="23"/>
        </w:rPr>
        <w:t>stagnation</w:t>
      </w:r>
      <w:r w:rsidRPr="00F601A5" w:rsidR="00F601A5">
        <w:rPr>
          <w:i/>
          <w:iCs/>
          <w:sz w:val="23"/>
          <w:szCs w:val="23"/>
        </w:rPr>
        <w:t>;</w:t>
      </w:r>
      <w:proofErr w:type="gramEnd"/>
    </w:p>
    <w:p w:rsidRPr="00F601A5" w:rsidR="009A0EDB" w:rsidP="009A0EDB" w:rsidRDefault="0009274B" w14:paraId="17AE7F23" w14:textId="2B30E4DF">
      <w:pPr>
        <w:pStyle w:val="ListParagraph"/>
        <w:numPr>
          <w:ilvl w:val="1"/>
          <w:numId w:val="1"/>
        </w:numPr>
        <w:rPr>
          <w:b/>
          <w:bCs/>
          <w:i/>
          <w:iCs/>
          <w:sz w:val="23"/>
          <w:szCs w:val="23"/>
        </w:rPr>
      </w:pPr>
      <w:r w:rsidRPr="00F601A5">
        <w:rPr>
          <w:i/>
          <w:iCs/>
          <w:sz w:val="23"/>
          <w:szCs w:val="23"/>
        </w:rPr>
        <w:t xml:space="preserve">After two decades of belt-tightening, and a public investment ratio languishing at the bottom of the EU and OECD tables, German infrastructure and human capital formation need an urgent boost to foster a reallocation of </w:t>
      </w:r>
      <w:proofErr w:type="spellStart"/>
      <w:r w:rsidRPr="00F601A5">
        <w:rPr>
          <w:i/>
          <w:iCs/>
          <w:sz w:val="23"/>
          <w:szCs w:val="23"/>
        </w:rPr>
        <w:t>labour</w:t>
      </w:r>
      <w:proofErr w:type="spellEnd"/>
      <w:r w:rsidRPr="00F601A5">
        <w:rPr>
          <w:i/>
          <w:iCs/>
          <w:sz w:val="23"/>
          <w:szCs w:val="23"/>
        </w:rPr>
        <w:t xml:space="preserve"> and capital. </w:t>
      </w:r>
    </w:p>
    <w:p w:rsidRPr="00F601A5" w:rsidR="009A0EDB" w:rsidP="009A0EDB" w:rsidRDefault="009A0EDB" w14:paraId="373FDE15" w14:textId="2CA3B52C">
      <w:pPr>
        <w:pStyle w:val="ListParagraph"/>
        <w:numPr>
          <w:ilvl w:val="0"/>
          <w:numId w:val="1"/>
        </w:numPr>
        <w:rPr>
          <w:b/>
          <w:bCs/>
          <w:i/>
          <w:iCs/>
          <w:sz w:val="23"/>
          <w:szCs w:val="23"/>
        </w:rPr>
      </w:pPr>
      <w:r w:rsidRPr="00F601A5">
        <w:rPr>
          <w:i/>
          <w:iCs/>
          <w:sz w:val="23"/>
          <w:szCs w:val="23"/>
        </w:rPr>
        <w:t>The centrist political parties</w:t>
      </w:r>
      <w:r w:rsidRPr="00F601A5" w:rsidR="0009274B">
        <w:rPr>
          <w:i/>
          <w:iCs/>
          <w:sz w:val="23"/>
          <w:szCs w:val="23"/>
        </w:rPr>
        <w:t>, alongside the German council of economic exports and the Bundesbank,</w:t>
      </w:r>
      <w:r w:rsidRPr="00F601A5">
        <w:rPr>
          <w:i/>
          <w:iCs/>
          <w:sz w:val="23"/>
          <w:szCs w:val="23"/>
        </w:rPr>
        <w:t xml:space="preserve"> have endorsed a reform of the constitutional debt brake, that limits net debt issuance at 0.35% of German GDP</w:t>
      </w:r>
      <w:r w:rsidRPr="00F601A5" w:rsidR="0009274B">
        <w:rPr>
          <w:i/>
          <w:iCs/>
          <w:sz w:val="23"/>
          <w:szCs w:val="23"/>
        </w:rPr>
        <w:t xml:space="preserve">, for public investment and military expenditure. But the precise shape of the reform is up for debate still. </w:t>
      </w:r>
    </w:p>
    <w:p w:rsidRPr="00F601A5" w:rsidR="009A0EDB" w:rsidP="009A0EDB" w:rsidRDefault="0009274B" w14:paraId="6A64F4FF" w14:textId="1E830BDC">
      <w:pPr>
        <w:pStyle w:val="ListParagraph"/>
        <w:numPr>
          <w:ilvl w:val="0"/>
          <w:numId w:val="1"/>
        </w:numPr>
        <w:rPr>
          <w:b/>
          <w:bCs/>
          <w:i/>
          <w:iCs/>
          <w:sz w:val="23"/>
          <w:szCs w:val="23"/>
        </w:rPr>
      </w:pPr>
      <w:r w:rsidRPr="00F601A5">
        <w:rPr>
          <w:i/>
          <w:iCs/>
          <w:sz w:val="23"/>
          <w:szCs w:val="23"/>
        </w:rPr>
        <w:t>Once</w:t>
      </w:r>
      <w:r w:rsidRPr="00F601A5">
        <w:rPr>
          <w:i/>
          <w:iCs/>
          <w:sz w:val="23"/>
          <w:szCs w:val="23"/>
        </w:rPr>
        <w:t xml:space="preserve"> the debt brake is reformed</w:t>
      </w:r>
      <w:r w:rsidRPr="00F601A5">
        <w:rPr>
          <w:i/>
          <w:iCs/>
          <w:sz w:val="23"/>
          <w:szCs w:val="23"/>
        </w:rPr>
        <w:t>, there is</w:t>
      </w:r>
      <w:r w:rsidRPr="00F601A5" w:rsidR="009A0EDB">
        <w:rPr>
          <w:i/>
          <w:iCs/>
          <w:sz w:val="23"/>
          <w:szCs w:val="23"/>
        </w:rPr>
        <w:t xml:space="preserve"> ample room to run a looser fiscal policy under the Stability and Growth </w:t>
      </w:r>
      <w:proofErr w:type="gramStart"/>
      <w:r w:rsidRPr="00F601A5" w:rsidR="009A0EDB">
        <w:rPr>
          <w:i/>
          <w:iCs/>
          <w:sz w:val="23"/>
          <w:szCs w:val="23"/>
        </w:rPr>
        <w:t>Pact,.</w:t>
      </w:r>
      <w:proofErr w:type="gramEnd"/>
      <w:r w:rsidRPr="00F601A5" w:rsidR="009A0EDB">
        <w:rPr>
          <w:i/>
          <w:iCs/>
          <w:sz w:val="23"/>
          <w:szCs w:val="23"/>
        </w:rPr>
        <w:t xml:space="preserve"> </w:t>
      </w:r>
      <w:r w:rsidRPr="00F601A5" w:rsidR="009A0EDB">
        <w:rPr>
          <w:i/>
          <w:iCs/>
          <w:sz w:val="23"/>
          <w:szCs w:val="23"/>
        </w:rPr>
        <w:t xml:space="preserve">The </w:t>
      </w:r>
      <w:r w:rsidRPr="00F601A5" w:rsidR="009A0EDB">
        <w:rPr>
          <w:i/>
          <w:iCs/>
          <w:sz w:val="23"/>
          <w:szCs w:val="23"/>
        </w:rPr>
        <w:t>SGP</w:t>
      </w:r>
      <w:r w:rsidRPr="00F601A5" w:rsidR="009A0EDB">
        <w:rPr>
          <w:i/>
          <w:iCs/>
          <w:sz w:val="23"/>
          <w:szCs w:val="23"/>
        </w:rPr>
        <w:t xml:space="preserve"> introduces a "deficit safeguard" that permits structural deficits up to 1.5% of GDP, far exceeding the 0.35% cap imposed by the </w:t>
      </w:r>
      <w:proofErr w:type="spellStart"/>
      <w:r w:rsidRPr="00F601A5" w:rsidR="009A0EDB">
        <w:rPr>
          <w:i/>
          <w:iCs/>
          <w:sz w:val="23"/>
          <w:szCs w:val="23"/>
        </w:rPr>
        <w:t>Schuldenbremse</w:t>
      </w:r>
      <w:proofErr w:type="spellEnd"/>
      <w:r w:rsidRPr="00F601A5" w:rsidR="009A0EDB">
        <w:rPr>
          <w:i/>
          <w:iCs/>
          <w:sz w:val="23"/>
          <w:szCs w:val="23"/>
        </w:rPr>
        <w:t>.</w:t>
      </w:r>
    </w:p>
    <w:p w:rsidRPr="0002723F" w:rsidR="0002723F" w:rsidP="00736204" w:rsidRDefault="009A0EDB" w14:paraId="5A48D1E6" w14:textId="526ED3EC">
      <w:pPr>
        <w:pStyle w:val="ListParagraph"/>
        <w:numPr>
          <w:ilvl w:val="0"/>
          <w:numId w:val="1"/>
        </w:numPr>
        <w:rPr>
          <w:b/>
          <w:bCs/>
          <w:i/>
          <w:iCs/>
          <w:sz w:val="23"/>
          <w:szCs w:val="23"/>
        </w:rPr>
      </w:pPr>
      <w:r w:rsidRPr="00F601A5">
        <w:rPr>
          <w:i/>
          <w:iCs/>
          <w:sz w:val="23"/>
          <w:szCs w:val="23"/>
        </w:rPr>
        <w:t xml:space="preserve">A reform of the debt brake may disappoint. The lowest common denominator is a targeted reform focused on military spending, which would help to rebuild the country’s military </w:t>
      </w:r>
      <w:r w:rsidRPr="00F601A5" w:rsidR="0009274B">
        <w:rPr>
          <w:i/>
          <w:iCs/>
          <w:sz w:val="23"/>
          <w:szCs w:val="23"/>
        </w:rPr>
        <w:t>stock but</w:t>
      </w:r>
      <w:r w:rsidRPr="00F601A5">
        <w:rPr>
          <w:i/>
          <w:iCs/>
          <w:sz w:val="23"/>
          <w:szCs w:val="23"/>
        </w:rPr>
        <w:t xml:space="preserve"> do little to lift the rest of the economy out of stagnation. </w:t>
      </w:r>
    </w:p>
    <w:p w:rsidR="0002723F" w:rsidP="00736204" w:rsidRDefault="0002723F" w14:paraId="032B52BB" w14:textId="77777777">
      <w:pPr>
        <w:rPr>
          <w:b/>
          <w:bCs/>
          <w:i/>
          <w:iCs/>
          <w:sz w:val="23"/>
          <w:szCs w:val="23"/>
        </w:rPr>
      </w:pPr>
    </w:p>
    <w:p w:rsidR="0002723F" w:rsidP="00736204" w:rsidRDefault="0002723F" w14:paraId="2B24A23C" w14:textId="77777777">
      <w:pPr>
        <w:rPr>
          <w:b/>
          <w:bCs/>
          <w:i/>
          <w:iCs/>
          <w:sz w:val="23"/>
          <w:szCs w:val="23"/>
        </w:rPr>
      </w:pPr>
    </w:p>
    <w:p w:rsidR="0002723F" w:rsidP="00736204" w:rsidRDefault="0002723F" w14:paraId="76229100" w14:textId="77777777">
      <w:pPr>
        <w:rPr>
          <w:b/>
          <w:bCs/>
          <w:i/>
          <w:iCs/>
          <w:sz w:val="23"/>
          <w:szCs w:val="23"/>
        </w:rPr>
      </w:pPr>
    </w:p>
    <w:p w:rsidRPr="0002723F" w:rsidR="0002723F" w:rsidP="00736204" w:rsidRDefault="0002723F" w14:paraId="46656E5D" w14:textId="37709C22">
      <w:pPr>
        <w:rPr>
          <w:b/>
          <w:bCs/>
          <w:i/>
          <w:iCs/>
          <w:sz w:val="23"/>
          <w:szCs w:val="23"/>
        </w:rPr>
      </w:pPr>
      <w:r w:rsidRPr="0002723F">
        <w:rPr>
          <w:b/>
          <w:bCs/>
          <w:i/>
          <w:iCs/>
          <w:sz w:val="23"/>
          <w:szCs w:val="23"/>
        </w:rPr>
        <w:lastRenderedPageBreak/>
        <w:t xml:space="preserve">Germany’s </w:t>
      </w:r>
      <w:r>
        <w:rPr>
          <w:b/>
          <w:bCs/>
          <w:i/>
          <w:iCs/>
          <w:sz w:val="23"/>
          <w:szCs w:val="23"/>
        </w:rPr>
        <w:t>economic and fiscal</w:t>
      </w:r>
      <w:r w:rsidRPr="0002723F">
        <w:rPr>
          <w:b/>
          <w:bCs/>
          <w:i/>
          <w:iCs/>
          <w:sz w:val="23"/>
          <w:szCs w:val="23"/>
        </w:rPr>
        <w:t xml:space="preserve"> situation</w:t>
      </w:r>
    </w:p>
    <w:p w:rsidRPr="00F601A5" w:rsidR="00736204" w:rsidP="00736204" w:rsidRDefault="00736204" w14:paraId="3D1466FD" w14:textId="31D7FF2F">
      <w:pPr>
        <w:rPr>
          <w:sz w:val="23"/>
          <w:szCs w:val="23"/>
        </w:rPr>
      </w:pPr>
      <w:r w:rsidRPr="00736204">
        <w:rPr>
          <w:sz w:val="23"/>
          <w:szCs w:val="23"/>
        </w:rPr>
        <w:t>Germany faces mounting challenges as it navigates a period of economic stagnation and industrial decline. These challenges are compounded by the structural constraints of its fiscal policies and increasing competition from China. This briefing explores the roots of these issues, highlights emerging opportunities, and outlines policy recommendations to ensure Germany’s economic resilience and leadership within Europe.</w:t>
      </w:r>
    </w:p>
    <w:p w:rsidRPr="00F601A5" w:rsidR="004E1D97" w:rsidP="00736204" w:rsidRDefault="004E1D97" w14:paraId="3139F4F1" w14:textId="4D9DCFCC">
      <w:pPr>
        <w:rPr>
          <w:sz w:val="23"/>
          <w:szCs w:val="23"/>
        </w:rPr>
      </w:pPr>
      <w:r w:rsidRPr="00F601A5">
        <w:rPr>
          <w:sz w:val="23"/>
          <w:szCs w:val="23"/>
        </w:rPr>
        <w:drawing>
          <wp:inline distT="0" distB="0" distL="0" distR="0" wp14:anchorId="3A39932F" wp14:editId="40B1CCC0">
            <wp:extent cx="5423647" cy="3290047"/>
            <wp:effectExtent l="0" t="0" r="12065" b="12065"/>
            <wp:docPr id="1363125082" name="Chart 1">
              <a:extLst xmlns:a="http://schemas.openxmlformats.org/drawingml/2006/main">
                <a:ext uri="{FF2B5EF4-FFF2-40B4-BE49-F238E27FC236}">
                  <a16:creationId xmlns:a16="http://schemas.microsoft.com/office/drawing/2014/main" id="{7AC1478F-FB23-404F-8726-A6DA525A2F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736204" w:rsidR="004E1D97" w:rsidP="00736204" w:rsidRDefault="004E1D97" w14:paraId="71D3C219" w14:textId="318448DA">
      <w:pPr>
        <w:rPr>
          <w:i/>
          <w:iCs/>
          <w:sz w:val="23"/>
          <w:szCs w:val="23"/>
        </w:rPr>
      </w:pPr>
      <w:r w:rsidRPr="00F601A5">
        <w:rPr>
          <w:i/>
          <w:iCs/>
          <w:sz w:val="23"/>
          <w:szCs w:val="23"/>
        </w:rPr>
        <w:t>Source: CER analysis of Eurostat</w:t>
      </w:r>
    </w:p>
    <w:p w:rsidRPr="00736204" w:rsidR="00736204" w:rsidP="00736204" w:rsidRDefault="00736204" w14:paraId="52BFCED3" w14:textId="56BB1485">
      <w:pPr>
        <w:rPr>
          <w:sz w:val="23"/>
          <w:szCs w:val="23"/>
        </w:rPr>
      </w:pPr>
      <w:r w:rsidRPr="00736204">
        <w:rPr>
          <w:sz w:val="23"/>
          <w:szCs w:val="23"/>
        </w:rPr>
        <w:t xml:space="preserve">Germany’s industrial production has been in decline for over five years, exacerbating fears of </w:t>
      </w:r>
      <w:proofErr w:type="spellStart"/>
      <w:r w:rsidRPr="00736204">
        <w:rPr>
          <w:sz w:val="23"/>
          <w:szCs w:val="23"/>
        </w:rPr>
        <w:t>deindustrialisation</w:t>
      </w:r>
      <w:proofErr w:type="spellEnd"/>
      <w:r w:rsidRPr="00736204">
        <w:rPr>
          <w:sz w:val="23"/>
          <w:szCs w:val="23"/>
        </w:rPr>
        <w:t xml:space="preserve">. Manufacturing accounts for around 20% of GDP and 5.5 million jobs, making this decline existential for the economy. While Germany’s export-driven model historically thrived, the dynamics have shifted. During the 2010s, Germany’s industrial strength was </w:t>
      </w:r>
      <w:hyperlink w:history="1" r:id="rId8">
        <w:r w:rsidRPr="00736204">
          <w:rPr>
            <w:rStyle w:val="Hyperlink"/>
            <w:sz w:val="23"/>
            <w:szCs w:val="23"/>
          </w:rPr>
          <w:t>underpinned</w:t>
        </w:r>
      </w:hyperlink>
      <w:r w:rsidRPr="00736204">
        <w:rPr>
          <w:sz w:val="23"/>
          <w:szCs w:val="23"/>
        </w:rPr>
        <w:t xml:space="preserve"> by high demand for its exports, particularly in chemicals, machinery, and cars</w:t>
      </w:r>
      <w:r w:rsidRPr="00F601A5" w:rsidR="00E00072">
        <w:rPr>
          <w:sz w:val="23"/>
          <w:szCs w:val="23"/>
        </w:rPr>
        <w:t xml:space="preserve"> – which still make up 40% of the country’s exports (about 15% of German GDP)</w:t>
      </w:r>
      <w:r w:rsidRPr="00736204">
        <w:rPr>
          <w:sz w:val="23"/>
          <w:szCs w:val="23"/>
        </w:rPr>
        <w:t>. The country’s surpluses were bolstered by a policy of restrained wages and tight budgets, which kept its products competitive globally. However, this model relied heavily on external demand, notably from China and the US.</w:t>
      </w:r>
    </w:p>
    <w:p w:rsidRPr="00736204" w:rsidR="00736204" w:rsidP="00736204" w:rsidRDefault="00736204" w14:paraId="236E6978" w14:textId="77777777">
      <w:pPr>
        <w:rPr>
          <w:sz w:val="23"/>
          <w:szCs w:val="23"/>
        </w:rPr>
      </w:pPr>
      <w:r w:rsidRPr="00736204">
        <w:rPr>
          <w:sz w:val="23"/>
          <w:szCs w:val="23"/>
        </w:rPr>
        <w:t xml:space="preserve">After the 2008 financial crisis, China’s massive fiscal stimulus absorbed German exports, particularly in industrial sectors aligned with China’s infrastructure boom. Germany outsourced much of the spending needed for recovery to Chinese and American fiscal policies. Yet this reliance on external demand created vulnerabilities. China’s recent shift back to export-led growth, coupled with its industrial subsidies and innovation, has intensified </w:t>
      </w:r>
      <w:r w:rsidRPr="00736204">
        <w:rPr>
          <w:sz w:val="23"/>
          <w:szCs w:val="23"/>
        </w:rPr>
        <w:lastRenderedPageBreak/>
        <w:t>competition. China’s growing dominance in global manufacturing is now a direct threat to Germany’s industrial base, particularly in automotive and engineering.</w:t>
      </w:r>
    </w:p>
    <w:p w:rsidRPr="00F601A5" w:rsidR="00736204" w:rsidP="00736204" w:rsidRDefault="00736204" w14:paraId="5DD0DAE3" w14:textId="6A74F7C1">
      <w:pPr>
        <w:rPr>
          <w:sz w:val="23"/>
          <w:szCs w:val="23"/>
        </w:rPr>
      </w:pPr>
      <w:r w:rsidRPr="00736204">
        <w:rPr>
          <w:sz w:val="23"/>
          <w:szCs w:val="23"/>
        </w:rPr>
        <w:t xml:space="preserve">The scale of the current “China shock” </w:t>
      </w:r>
      <w:hyperlink w:history="1" r:id="rId9">
        <w:r w:rsidRPr="00736204">
          <w:rPr>
            <w:rStyle w:val="Hyperlink"/>
            <w:sz w:val="23"/>
            <w:szCs w:val="23"/>
          </w:rPr>
          <w:t>dwarfs</w:t>
        </w:r>
      </w:hyperlink>
      <w:r w:rsidRPr="00736204">
        <w:rPr>
          <w:sz w:val="23"/>
          <w:szCs w:val="23"/>
        </w:rPr>
        <w:t xml:space="preserve"> that of the early 2000s. When China joined the World Trade Organization (WTO) in 2001, its exports surged, but they were largely concentrated in consumer electronics and household goods—areas peripheral to Germany’s industrial core. Today, China’s trade surplus in manufactured goods stands at 10% of its GDP. The Chinese economy, valued at $18 trillion and accounting for over a third of global manufacturing, is now cutting into Germany’s export opportunities. China has also become the world’s largest car exporter, with vehicle exports soaring to over six million annually within just four years. Unlike the 2000s, Germany’s key sectors now face direct competition from Chinese state-backed firms in saturated markets.</w:t>
      </w:r>
    </w:p>
    <w:p w:rsidRPr="00F601A5" w:rsidR="004E1D97" w:rsidP="00736204" w:rsidRDefault="004E1D97" w14:paraId="0118B68A" w14:textId="18FAD608">
      <w:pPr>
        <w:rPr>
          <w:sz w:val="23"/>
          <w:szCs w:val="23"/>
        </w:rPr>
      </w:pPr>
      <w:r w:rsidRPr="00F601A5">
        <w:rPr>
          <w:sz w:val="23"/>
          <w:szCs w:val="23"/>
        </w:rPr>
        <w:drawing>
          <wp:inline distT="0" distB="0" distL="0" distR="0" wp14:anchorId="69F1AFEB" wp14:editId="39060050">
            <wp:extent cx="6158753" cy="3749451"/>
            <wp:effectExtent l="0" t="0" r="13970" b="10160"/>
            <wp:docPr id="1400703740" name="Chart 1">
              <a:extLst xmlns:a="http://schemas.openxmlformats.org/drawingml/2006/main">
                <a:ext uri="{FF2B5EF4-FFF2-40B4-BE49-F238E27FC236}">
                  <a16:creationId xmlns:a16="http://schemas.microsoft.com/office/drawing/2014/main" id="{E8302535-00D8-1245-B206-737721BE2E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F601A5" w:rsidR="004E1D97" w:rsidP="00736204" w:rsidRDefault="004E1D97" w14:paraId="662EF4FB" w14:textId="088944DB">
      <w:pPr>
        <w:rPr>
          <w:i/>
          <w:iCs/>
          <w:sz w:val="23"/>
          <w:szCs w:val="23"/>
        </w:rPr>
      </w:pPr>
      <w:r w:rsidRPr="00F601A5">
        <w:rPr>
          <w:i/>
          <w:iCs/>
          <w:sz w:val="23"/>
          <w:szCs w:val="23"/>
        </w:rPr>
        <w:t>Source</w:t>
      </w:r>
      <w:r w:rsidRPr="004E1D97">
        <w:rPr>
          <w:i/>
          <w:iCs/>
          <w:sz w:val="23"/>
          <w:szCs w:val="23"/>
        </w:rPr>
        <w:t xml:space="preserve">: Sander Tordoir und Brad </w:t>
      </w:r>
      <w:proofErr w:type="spellStart"/>
      <w:r w:rsidRPr="004E1D97">
        <w:rPr>
          <w:i/>
          <w:iCs/>
          <w:sz w:val="23"/>
          <w:szCs w:val="23"/>
        </w:rPr>
        <w:t>Setser</w:t>
      </w:r>
      <w:proofErr w:type="spellEnd"/>
      <w:r w:rsidRPr="004E1D97">
        <w:rPr>
          <w:i/>
          <w:iCs/>
          <w:sz w:val="23"/>
          <w:szCs w:val="23"/>
        </w:rPr>
        <w:t>, Centre for European Reform Policy Brief: "The Second China Shock and the Future of German Industry" (</w:t>
      </w:r>
      <w:r w:rsidRPr="00F601A5">
        <w:rPr>
          <w:i/>
          <w:iCs/>
          <w:sz w:val="23"/>
          <w:szCs w:val="23"/>
        </w:rPr>
        <w:t>forthcoming</w:t>
      </w:r>
      <w:r w:rsidRPr="004E1D97">
        <w:rPr>
          <w:i/>
          <w:iCs/>
          <w:sz w:val="23"/>
          <w:szCs w:val="23"/>
        </w:rPr>
        <w:t>).</w:t>
      </w:r>
    </w:p>
    <w:p w:rsidRPr="00F601A5" w:rsidR="004E1D97" w:rsidP="00736204" w:rsidRDefault="004E1D97" w14:paraId="6B8181AD" w14:textId="2BF09925">
      <w:pPr>
        <w:rPr>
          <w:sz w:val="23"/>
          <w:szCs w:val="23"/>
        </w:rPr>
      </w:pPr>
      <w:r w:rsidRPr="00F601A5">
        <w:rPr>
          <w:sz w:val="23"/>
          <w:szCs w:val="23"/>
        </w:rPr>
        <w:t xml:space="preserve">Domestic demand, meanwhile, has been weak. </w:t>
      </w:r>
      <w:r w:rsidRPr="00F601A5">
        <w:rPr>
          <w:sz w:val="23"/>
          <w:szCs w:val="23"/>
        </w:rPr>
        <w:t xml:space="preserve">As of the second quarter of 2024, German households </w:t>
      </w:r>
      <w:hyperlink w:history="1" r:id="rId11">
        <w:r w:rsidRPr="00F601A5">
          <w:rPr>
            <w:rStyle w:val="Hyperlink"/>
            <w:sz w:val="23"/>
            <w:szCs w:val="23"/>
          </w:rPr>
          <w:t>had</w:t>
        </w:r>
      </w:hyperlink>
      <w:r w:rsidRPr="00F601A5">
        <w:rPr>
          <w:sz w:val="23"/>
          <w:szCs w:val="23"/>
        </w:rPr>
        <w:t xml:space="preserve"> a gross saving rate of approximately 21.23% of their disposable income, significantly higher than the eurozone average of 15.7%.</w:t>
      </w:r>
      <w:r w:rsidRPr="00F601A5">
        <w:rPr>
          <w:sz w:val="23"/>
          <w:szCs w:val="23"/>
        </w:rPr>
        <w:t xml:space="preserve"> German households are saving into a year-long stagnation. </w:t>
      </w:r>
      <w:r w:rsidRPr="00F601A5" w:rsidR="000A60E5">
        <w:rPr>
          <w:sz w:val="23"/>
          <w:szCs w:val="23"/>
        </w:rPr>
        <w:t>According to Bloomberg economics research, h</w:t>
      </w:r>
      <w:r w:rsidRPr="00F601A5" w:rsidR="000A60E5">
        <w:rPr>
          <w:sz w:val="23"/>
          <w:szCs w:val="23"/>
        </w:rPr>
        <w:t xml:space="preserve">igh energy costs and slumping exports have made German households €2,500 </w:t>
      </w:r>
      <w:hyperlink w:history="1" r:id="rId12">
        <w:r w:rsidRPr="00F601A5" w:rsidR="000A60E5">
          <w:rPr>
            <w:rStyle w:val="Hyperlink"/>
            <w:sz w:val="23"/>
            <w:szCs w:val="23"/>
          </w:rPr>
          <w:t>poorer</w:t>
        </w:r>
      </w:hyperlink>
      <w:r w:rsidRPr="00F601A5" w:rsidR="000A60E5">
        <w:rPr>
          <w:sz w:val="23"/>
          <w:szCs w:val="23"/>
        </w:rPr>
        <w:t xml:space="preserve"> and the decline threatens to become irreversible.</w:t>
      </w:r>
    </w:p>
    <w:p w:rsidRPr="00F601A5" w:rsidR="00E00072" w:rsidP="00736204" w:rsidRDefault="00E00072" w14:paraId="017E9AA4" w14:textId="50D47B69">
      <w:pPr>
        <w:rPr>
          <w:sz w:val="23"/>
          <w:szCs w:val="23"/>
        </w:rPr>
      </w:pPr>
      <w:r w:rsidRPr="00E00072">
        <w:rPr>
          <w:sz w:val="23"/>
          <w:szCs w:val="23"/>
        </w:rPr>
        <w:lastRenderedPageBreak/>
        <w:t xml:space="preserve">Germany's public investment ratio has consistently </w:t>
      </w:r>
      <w:hyperlink w:history="1" r:id="rId13">
        <w:r w:rsidRPr="00F601A5">
          <w:rPr>
            <w:rStyle w:val="Hyperlink"/>
            <w:sz w:val="23"/>
            <w:szCs w:val="23"/>
          </w:rPr>
          <w:t>lagged</w:t>
        </w:r>
      </w:hyperlink>
      <w:r w:rsidRPr="00E00072">
        <w:rPr>
          <w:sz w:val="23"/>
          <w:szCs w:val="23"/>
        </w:rPr>
        <w:t xml:space="preserve"> both OECD and EU averages over the past two decades. From 2000 to 2022, Germany's average public investment ratio was 2.2% of GDP, compared to the EU average of 3.2% of GDP</w:t>
      </w:r>
      <w:r w:rsidRPr="00F601A5">
        <w:rPr>
          <w:sz w:val="23"/>
          <w:szCs w:val="23"/>
        </w:rPr>
        <w:t xml:space="preserve">. </w:t>
      </w:r>
      <w:r w:rsidRPr="00E00072">
        <w:rPr>
          <w:sz w:val="23"/>
          <w:szCs w:val="23"/>
        </w:rPr>
        <w:t xml:space="preserve">Germany's public investment has been the second lowest in the OECD at 1.5% of GDP, with net public investment being </w:t>
      </w:r>
      <w:hyperlink w:history="1" r:id="rId14">
        <w:r w:rsidRPr="00E00072">
          <w:rPr>
            <w:rStyle w:val="Hyperlink"/>
            <w:sz w:val="23"/>
            <w:szCs w:val="23"/>
          </w:rPr>
          <w:t>negative</w:t>
        </w:r>
      </w:hyperlink>
      <w:r w:rsidRPr="00E00072">
        <w:rPr>
          <w:sz w:val="23"/>
          <w:szCs w:val="23"/>
        </w:rPr>
        <w:t xml:space="preserve"> since 2003</w:t>
      </w:r>
      <w:r w:rsidRPr="00F601A5">
        <w:rPr>
          <w:sz w:val="23"/>
          <w:szCs w:val="23"/>
        </w:rPr>
        <w:t xml:space="preserve">. </w:t>
      </w:r>
      <w:r w:rsidRPr="00E00072">
        <w:rPr>
          <w:sz w:val="23"/>
          <w:szCs w:val="23"/>
        </w:rPr>
        <w:t>This persistent underinvestment in public infrastructure compared to European and OECD peers has raised concerns about its long-term impact on Germany's growth prospects and competitivenes</w:t>
      </w:r>
      <w:r w:rsidRPr="00F601A5">
        <w:rPr>
          <w:sz w:val="23"/>
          <w:szCs w:val="23"/>
        </w:rPr>
        <w:t xml:space="preserve">s. </w:t>
      </w:r>
    </w:p>
    <w:p w:rsidRPr="00F601A5" w:rsidR="000A60E5" w:rsidP="00736204" w:rsidRDefault="000A60E5" w14:paraId="6932B6E8" w14:textId="4FF13D7A">
      <w:pPr>
        <w:rPr>
          <w:sz w:val="23"/>
          <w:szCs w:val="23"/>
        </w:rPr>
      </w:pPr>
      <w:r w:rsidRPr="00F601A5">
        <w:rPr>
          <w:noProof/>
          <w:sz w:val="23"/>
          <w:szCs w:val="23"/>
        </w:rPr>
        <w:drawing>
          <wp:inline distT="0" distB="0" distL="0" distR="0" wp14:anchorId="74D05ABE" wp14:editId="78361AAA">
            <wp:extent cx="4701360" cy="4598894"/>
            <wp:effectExtent l="0" t="0" r="0" b="0"/>
            <wp:docPr id="245172676" name="Picture 1" descr="A graph of the country's economic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72676" name="Picture 1" descr="A graph of the country's economic growth&#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707929" cy="4605319"/>
                    </a:xfrm>
                    <a:prstGeom prst="rect">
                      <a:avLst/>
                    </a:prstGeom>
                  </pic:spPr>
                </pic:pic>
              </a:graphicData>
            </a:graphic>
          </wp:inline>
        </w:drawing>
      </w:r>
    </w:p>
    <w:p w:rsidRPr="00F601A5" w:rsidR="000A60E5" w:rsidP="00736204" w:rsidRDefault="000A60E5" w14:paraId="65C2E5A6" w14:textId="2BC350DA">
      <w:pPr>
        <w:rPr>
          <w:i/>
          <w:iCs/>
          <w:sz w:val="23"/>
          <w:szCs w:val="23"/>
        </w:rPr>
      </w:pPr>
      <w:r w:rsidRPr="00F601A5">
        <w:rPr>
          <w:i/>
          <w:iCs/>
          <w:sz w:val="23"/>
          <w:szCs w:val="23"/>
        </w:rPr>
        <w:t xml:space="preserve">Source: IMF </w:t>
      </w:r>
      <w:hyperlink w:history="1" r:id="rId16">
        <w:r w:rsidRPr="00F601A5">
          <w:rPr>
            <w:rStyle w:val="Hyperlink"/>
            <w:i/>
            <w:iCs/>
            <w:sz w:val="23"/>
            <w:szCs w:val="23"/>
          </w:rPr>
          <w:t>Blog</w:t>
        </w:r>
      </w:hyperlink>
      <w:r w:rsidRPr="00F601A5">
        <w:rPr>
          <w:i/>
          <w:iCs/>
          <w:sz w:val="23"/>
          <w:szCs w:val="23"/>
        </w:rPr>
        <w:t xml:space="preserve">. </w:t>
      </w:r>
    </w:p>
    <w:p w:rsidRPr="00736204" w:rsidR="00736204" w:rsidP="00736204" w:rsidRDefault="00736204" w14:paraId="306A1C72" w14:textId="0A3A14D4">
      <w:pPr>
        <w:rPr>
          <w:sz w:val="23"/>
          <w:szCs w:val="23"/>
        </w:rPr>
      </w:pPr>
      <w:r w:rsidRPr="00736204">
        <w:rPr>
          <w:sz w:val="23"/>
          <w:szCs w:val="23"/>
        </w:rPr>
        <w:t>Germany’s fiscal framework, particularly the "</w:t>
      </w:r>
      <w:proofErr w:type="spellStart"/>
      <w:r w:rsidRPr="00736204">
        <w:rPr>
          <w:sz w:val="23"/>
          <w:szCs w:val="23"/>
        </w:rPr>
        <w:t>Schuldenbremse</w:t>
      </w:r>
      <w:proofErr w:type="spellEnd"/>
      <w:r w:rsidRPr="00736204">
        <w:rPr>
          <w:sz w:val="23"/>
          <w:szCs w:val="23"/>
        </w:rPr>
        <w:t xml:space="preserve">" (debt brake), has compounded these challenges. Introduced in 2009 to enforce fiscal discipline, the debt brake limits structural annual deficits to 0.35% of GDP. While it </w:t>
      </w:r>
      <w:proofErr w:type="spellStart"/>
      <w:r w:rsidRPr="00736204">
        <w:rPr>
          <w:sz w:val="23"/>
          <w:szCs w:val="23"/>
        </w:rPr>
        <w:t>stabilised</w:t>
      </w:r>
      <w:proofErr w:type="spellEnd"/>
      <w:r w:rsidRPr="00736204">
        <w:rPr>
          <w:sz w:val="23"/>
          <w:szCs w:val="23"/>
        </w:rPr>
        <w:t xml:space="preserve"> public debt, it also entrenched underinvestment in critical areas such as infrastructure, </w:t>
      </w:r>
      <w:proofErr w:type="spellStart"/>
      <w:r w:rsidRPr="00736204">
        <w:rPr>
          <w:sz w:val="23"/>
          <w:szCs w:val="23"/>
        </w:rPr>
        <w:t>digitalisation</w:t>
      </w:r>
      <w:proofErr w:type="spellEnd"/>
      <w:r w:rsidRPr="00736204">
        <w:rPr>
          <w:sz w:val="23"/>
          <w:szCs w:val="23"/>
        </w:rPr>
        <w:t xml:space="preserve">, and education. Net </w:t>
      </w:r>
      <w:hyperlink w:history="1" r:id="rId17">
        <w:r w:rsidRPr="00736204">
          <w:rPr>
            <w:rStyle w:val="Hyperlink"/>
            <w:sz w:val="23"/>
            <w:szCs w:val="23"/>
          </w:rPr>
          <w:t>spending</w:t>
        </w:r>
      </w:hyperlink>
      <w:r w:rsidRPr="00736204">
        <w:rPr>
          <w:sz w:val="23"/>
          <w:szCs w:val="23"/>
        </w:rPr>
        <w:t xml:space="preserve"> on higher education, for instance, grew by less than 1% in inflation-adjusted terms between 2010 and 2018, compared to 6% in the Netherlands and 15% in the US. Germany’s public investment gap is now </w:t>
      </w:r>
      <w:hyperlink w:history="1" r:id="rId18">
        <w:r w:rsidRPr="00736204">
          <w:rPr>
            <w:rStyle w:val="Hyperlink"/>
            <w:sz w:val="23"/>
            <w:szCs w:val="23"/>
          </w:rPr>
          <w:t>estimated</w:t>
        </w:r>
      </w:hyperlink>
      <w:r w:rsidRPr="00736204">
        <w:rPr>
          <w:sz w:val="23"/>
          <w:szCs w:val="23"/>
        </w:rPr>
        <w:t xml:space="preserve"> at €600 billion, or roughly 15% of GDP. </w:t>
      </w:r>
      <w:r w:rsidRPr="00736204">
        <w:rPr>
          <w:sz w:val="23"/>
          <w:szCs w:val="23"/>
        </w:rPr>
        <w:lastRenderedPageBreak/>
        <w:t xml:space="preserve">Addressing NATO’s 2% </w:t>
      </w:r>
      <w:proofErr w:type="spellStart"/>
      <w:r w:rsidRPr="00736204">
        <w:rPr>
          <w:sz w:val="23"/>
          <w:szCs w:val="23"/>
        </w:rPr>
        <w:t>defence</w:t>
      </w:r>
      <w:proofErr w:type="spellEnd"/>
      <w:r w:rsidRPr="00736204">
        <w:rPr>
          <w:sz w:val="23"/>
          <w:szCs w:val="23"/>
        </w:rPr>
        <w:t xml:space="preserve"> spending target alone requires an additional €30 billion annually.</w:t>
      </w:r>
      <w:r w:rsidRPr="00F601A5" w:rsidR="004E1D97">
        <w:rPr>
          <w:sz w:val="23"/>
          <w:szCs w:val="23"/>
        </w:rPr>
        <w:t xml:space="preserve"> </w:t>
      </w:r>
    </w:p>
    <w:p w:rsidRPr="00736204" w:rsidR="00736204" w:rsidP="00736204" w:rsidRDefault="00736204" w14:paraId="71D1FD0E" w14:textId="0D3BAB3C">
      <w:pPr>
        <w:rPr>
          <w:sz w:val="23"/>
          <w:szCs w:val="23"/>
        </w:rPr>
      </w:pPr>
      <w:r w:rsidRPr="00736204">
        <w:rPr>
          <w:sz w:val="23"/>
          <w:szCs w:val="23"/>
        </w:rPr>
        <w:t xml:space="preserve">Recent analyses challenge the perception that the EU’s fiscal rules are overly restrictive. While Germany has yet to submit a fiscal-structural plan, </w:t>
      </w:r>
      <w:hyperlink w:history="1" r:id="rId19">
        <w:r w:rsidRPr="00736204">
          <w:rPr>
            <w:rStyle w:val="Hyperlink"/>
            <w:sz w:val="23"/>
            <w:szCs w:val="23"/>
          </w:rPr>
          <w:t>studies</w:t>
        </w:r>
      </w:hyperlink>
      <w:r w:rsidRPr="00736204">
        <w:rPr>
          <w:sz w:val="23"/>
          <w:szCs w:val="23"/>
        </w:rPr>
        <w:t xml:space="preserve"> indicate that the EU’s updated Stability and Growth Pact provides significantly more flexibility than the national debt brake. Specifically, Germany could access up to 1.15% of GDP annually in additional structural borrowing—approximately €48 billion—without breaching EU rules. This flexibility hinges on using debt to finance growth-enhancing investments, such as infrastructure upgrades, </w:t>
      </w:r>
      <w:proofErr w:type="spellStart"/>
      <w:r w:rsidRPr="00736204">
        <w:rPr>
          <w:sz w:val="23"/>
          <w:szCs w:val="23"/>
        </w:rPr>
        <w:t>digitalisation</w:t>
      </w:r>
      <w:proofErr w:type="spellEnd"/>
      <w:r w:rsidRPr="00736204">
        <w:rPr>
          <w:sz w:val="23"/>
          <w:szCs w:val="23"/>
        </w:rPr>
        <w:t xml:space="preserve">, and education. Notably, the rules </w:t>
      </w:r>
      <w:proofErr w:type="spellStart"/>
      <w:r w:rsidRPr="00736204">
        <w:rPr>
          <w:sz w:val="23"/>
          <w:szCs w:val="23"/>
        </w:rPr>
        <w:t>emphasise</w:t>
      </w:r>
      <w:proofErr w:type="spellEnd"/>
      <w:r w:rsidRPr="00736204">
        <w:rPr>
          <w:sz w:val="23"/>
          <w:szCs w:val="23"/>
        </w:rPr>
        <w:t xml:space="preserve"> the importance of coupling borrowing with structural reforms to improve growth potential. These provisions refute claims that EU rules are more restrictive than the </w:t>
      </w:r>
      <w:proofErr w:type="spellStart"/>
      <w:r w:rsidRPr="00736204">
        <w:rPr>
          <w:sz w:val="23"/>
          <w:szCs w:val="23"/>
        </w:rPr>
        <w:t>Schuldenbremse</w:t>
      </w:r>
      <w:proofErr w:type="spellEnd"/>
      <w:r w:rsidRPr="00736204">
        <w:rPr>
          <w:sz w:val="23"/>
          <w:szCs w:val="23"/>
        </w:rPr>
        <w:t xml:space="preserve"> and underscore the need for a comprehensive reform of Germany’s fiscal framework.</w:t>
      </w:r>
    </w:p>
    <w:p w:rsidRPr="00736204" w:rsidR="00736204" w:rsidP="00736204" w:rsidRDefault="00736204" w14:paraId="1FE5F268" w14:textId="04D20D16">
      <w:pPr>
        <w:rPr>
          <w:sz w:val="23"/>
          <w:szCs w:val="23"/>
        </w:rPr>
      </w:pPr>
      <w:r w:rsidRPr="00736204">
        <w:rPr>
          <w:sz w:val="23"/>
          <w:szCs w:val="23"/>
        </w:rPr>
        <w:t xml:space="preserve">Germany’s fiscal outlook demonstrates significant shifts in the coming years. According to IMF </w:t>
      </w:r>
      <w:hyperlink w:history="1" r:id="rId20">
        <w:r w:rsidRPr="00736204">
          <w:rPr>
            <w:rStyle w:val="Hyperlink"/>
            <w:sz w:val="23"/>
            <w:szCs w:val="23"/>
          </w:rPr>
          <w:t>projections</w:t>
        </w:r>
      </w:hyperlink>
      <w:r w:rsidRPr="00736204">
        <w:rPr>
          <w:sz w:val="23"/>
          <w:szCs w:val="23"/>
        </w:rPr>
        <w:t xml:space="preserve">, Germany’s fiscal deficit is expected to shrink from 2.4% of GDP in 2023 to 1.7% in 2024, driven by the phase-out of temporary energy relief measures and tight fiscal policies. By 2025, the deficit is forecasted to narrow further to 1.3% of GDP. Public debt, currently at 63.6% of GDP, is projected to </w:t>
      </w:r>
      <w:proofErr w:type="spellStart"/>
      <w:r w:rsidRPr="00736204">
        <w:rPr>
          <w:sz w:val="23"/>
          <w:szCs w:val="23"/>
        </w:rPr>
        <w:t>stabilise</w:t>
      </w:r>
      <w:proofErr w:type="spellEnd"/>
      <w:r w:rsidRPr="00736204">
        <w:rPr>
          <w:sz w:val="23"/>
          <w:szCs w:val="23"/>
        </w:rPr>
        <w:t xml:space="preserve"> and then decline to below 60% by 2028, as nominal GDP growth and tighter fiscal policies improve debt dynamics. However, the tight adherence to the debt brake rule, requiring structural deficits to remain below 0.35% of GDP, leaves limited room for maneuver unless reforms are implemented.</w:t>
      </w:r>
      <w:r w:rsidRPr="00F601A5" w:rsidR="00E00072">
        <w:rPr>
          <w:sz w:val="23"/>
          <w:szCs w:val="23"/>
        </w:rPr>
        <w:t xml:space="preserve"> </w:t>
      </w:r>
    </w:p>
    <w:p w:rsidRPr="00736204" w:rsidR="00736204" w:rsidP="00736204" w:rsidRDefault="00736204" w14:paraId="53913E0C" w14:textId="77777777">
      <w:pPr>
        <w:rPr>
          <w:sz w:val="23"/>
          <w:szCs w:val="23"/>
        </w:rPr>
      </w:pPr>
      <w:r w:rsidRPr="00736204">
        <w:rPr>
          <w:sz w:val="23"/>
          <w:szCs w:val="23"/>
        </w:rPr>
        <w:t>To contextualize this trajectory, it is critical to examine Germany’s fiscal performance in comparison to its European peers. France, for instance, has consistently maintained a higher debt-to-GDP ratio, currently exceeding 110%, while adopting looser fiscal policies to support domestic demand. Meanwhile, Germany’s conservative fiscal stance has curbed internal consumption and public investment, compounding the stagnation of its economy. This disparity highlights the tension between Germany’s commitment to fiscal discipline and the broader need for growth-oriented policies in the EU. Without recalibrating its approach, Germany risks undermining not only its own economic prospects but also the stability of the European single market.</w:t>
      </w:r>
    </w:p>
    <w:p w:rsidRPr="00736204" w:rsidR="00736204" w:rsidP="00736204" w:rsidRDefault="00736204" w14:paraId="06062A08" w14:textId="77777777">
      <w:pPr>
        <w:rPr>
          <w:sz w:val="23"/>
          <w:szCs w:val="23"/>
        </w:rPr>
      </w:pPr>
      <w:r w:rsidRPr="00736204">
        <w:rPr>
          <w:sz w:val="23"/>
          <w:szCs w:val="23"/>
        </w:rPr>
        <w:t xml:space="preserve">The updated Stability and Growth Pact introduces a multi-year expenditure path monitored through a fiscal-structural plan submitted by member-states. This plan must detail how expenditure aligns with debt sustainability and investment needs. Unlike the </w:t>
      </w:r>
      <w:proofErr w:type="spellStart"/>
      <w:r w:rsidRPr="00736204">
        <w:rPr>
          <w:sz w:val="23"/>
          <w:szCs w:val="23"/>
        </w:rPr>
        <w:t>Schuldenbremse</w:t>
      </w:r>
      <w:proofErr w:type="spellEnd"/>
      <w:r w:rsidRPr="00736204">
        <w:rPr>
          <w:sz w:val="23"/>
          <w:szCs w:val="23"/>
        </w:rPr>
        <w:t xml:space="preserve">, which rigidly limits structural deficits, the EU framework incorporates flexibility for investments that enhance growth potential, particularly in member-states with debt levels below 60% of GDP. Germany, with a debt level hovering around 63% and projected to decline further, is well-positioned to benefit from this framework. Furthermore, the Pact’s debt safeguard ensures gradual debt reduction over a four-to-seven-year adjustment period, allowing for higher </w:t>
      </w:r>
      <w:r w:rsidRPr="00736204">
        <w:rPr>
          <w:sz w:val="23"/>
          <w:szCs w:val="23"/>
        </w:rPr>
        <w:lastRenderedPageBreak/>
        <w:t>nominal expenditures tied to reforms and productivity-enhancing investments. This provides Germany with the opportunity to reform its fiscal policies without undermining European commitments.</w:t>
      </w:r>
    </w:p>
    <w:p w:rsidRPr="00736204" w:rsidR="00736204" w:rsidP="00736204" w:rsidRDefault="00736204" w14:paraId="358715F3" w14:textId="77777777">
      <w:pPr>
        <w:rPr>
          <w:sz w:val="23"/>
          <w:szCs w:val="23"/>
        </w:rPr>
      </w:pPr>
      <w:r w:rsidRPr="00736204">
        <w:rPr>
          <w:sz w:val="23"/>
          <w:szCs w:val="23"/>
        </w:rPr>
        <w:t xml:space="preserve">The Stability and Growth Pact also introduces a "deficit safeguard" that permits structural deficits up to 1.5% of GDP, far exceeding the 0.35% cap imposed by the </w:t>
      </w:r>
      <w:proofErr w:type="spellStart"/>
      <w:r w:rsidRPr="00736204">
        <w:rPr>
          <w:sz w:val="23"/>
          <w:szCs w:val="23"/>
        </w:rPr>
        <w:t>Schuldenbremse</w:t>
      </w:r>
      <w:proofErr w:type="spellEnd"/>
      <w:r w:rsidRPr="00736204">
        <w:rPr>
          <w:sz w:val="23"/>
          <w:szCs w:val="23"/>
        </w:rPr>
        <w:t xml:space="preserve">. This translates into significant fiscal space—approximately €48 billion annually—for debt-financed investments in areas such as infrastructure, green technologies, and </w:t>
      </w:r>
      <w:proofErr w:type="spellStart"/>
      <w:r w:rsidRPr="00736204">
        <w:rPr>
          <w:sz w:val="23"/>
          <w:szCs w:val="23"/>
        </w:rPr>
        <w:t>digitalisation</w:t>
      </w:r>
      <w:proofErr w:type="spellEnd"/>
      <w:r w:rsidRPr="00736204">
        <w:rPr>
          <w:sz w:val="23"/>
          <w:szCs w:val="23"/>
        </w:rPr>
        <w:t>. However, the effective use of this space depends on Germany’s ability to implement an ambitious reform agenda addressing its structural economic challenges. Without such reforms, the EU rules’ flexibility could be constrained, limiting their transformative potential.</w:t>
      </w:r>
    </w:p>
    <w:p w:rsidR="00736204" w:rsidP="00736204" w:rsidRDefault="00736204" w14:paraId="1A61E917" w14:textId="77777777">
      <w:pPr>
        <w:rPr>
          <w:sz w:val="23"/>
          <w:szCs w:val="23"/>
        </w:rPr>
      </w:pPr>
      <w:r w:rsidRPr="00736204">
        <w:rPr>
          <w:sz w:val="23"/>
          <w:szCs w:val="23"/>
        </w:rPr>
        <w:t xml:space="preserve">The International Monetary Fund (IMF) has also weighed in on Germany’s fiscal policies, urging the government to make full use of the flexibility allowed under existing rules. The IMF highlighted the urgent need to increase public investment in areas like transport, energy, and digital infrastructure. These investments, the IMF argues, would not only address structural bottlenecks but also support long-term growth, productivity, and external rebalancing. Additionally, the IMF recommends reforms to the </w:t>
      </w:r>
      <w:proofErr w:type="spellStart"/>
      <w:r w:rsidRPr="00736204">
        <w:rPr>
          <w:sz w:val="23"/>
          <w:szCs w:val="23"/>
        </w:rPr>
        <w:t>Schuldenbremse</w:t>
      </w:r>
      <w:proofErr w:type="spellEnd"/>
      <w:r w:rsidRPr="00736204">
        <w:rPr>
          <w:sz w:val="23"/>
          <w:szCs w:val="23"/>
        </w:rPr>
        <w:t xml:space="preserve"> that would allow for a moderate easing of fiscal constraints without </w:t>
      </w:r>
      <w:proofErr w:type="spellStart"/>
      <w:r w:rsidRPr="00736204">
        <w:rPr>
          <w:sz w:val="23"/>
          <w:szCs w:val="23"/>
        </w:rPr>
        <w:t>jeopardising</w:t>
      </w:r>
      <w:proofErr w:type="spellEnd"/>
      <w:r w:rsidRPr="00736204">
        <w:rPr>
          <w:sz w:val="23"/>
          <w:szCs w:val="23"/>
        </w:rPr>
        <w:t xml:space="preserve"> debt sustainability. For instance, linking pension increases to inflation instead of wages and reducing environmentally harmful subsidies could generate significant fiscal room for investment. Such measures, paired with streamlined public procurement processes, could enhance Germany’s capacity to deploy funds efficiently and effectively.</w:t>
      </w:r>
    </w:p>
    <w:p w:rsidRPr="00F601A5" w:rsidR="00F601A5" w:rsidP="00F601A5" w:rsidRDefault="00F601A5" w14:paraId="3E9FDE84" w14:textId="77777777">
      <w:pPr>
        <w:rPr>
          <w:sz w:val="23"/>
          <w:szCs w:val="23"/>
        </w:rPr>
      </w:pPr>
      <w:r w:rsidRPr="00F601A5">
        <w:rPr>
          <w:noProof/>
          <w:sz w:val="23"/>
          <w:szCs w:val="23"/>
        </w:rPr>
        <w:drawing>
          <wp:inline distT="0" distB="0" distL="0" distR="0" wp14:anchorId="23F215ED" wp14:editId="5974D2BF">
            <wp:extent cx="6257365" cy="2949388"/>
            <wp:effectExtent l="0" t="0" r="16510" b="10160"/>
            <wp:docPr id="1873768208" name="Chart 1">
              <a:extLst xmlns:a="http://schemas.openxmlformats.org/drawingml/2006/main">
                <a:ext uri="{FF2B5EF4-FFF2-40B4-BE49-F238E27FC236}">
                  <a16:creationId xmlns:a16="http://schemas.microsoft.com/office/drawing/2014/main" id="{0B6A2C1E-8B39-7F48-BD51-04325FD0E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736204" w:rsidR="00F601A5" w:rsidP="00F601A5" w:rsidRDefault="00F601A5" w14:paraId="16285283" w14:textId="77777777">
      <w:pPr>
        <w:rPr>
          <w:i/>
          <w:iCs/>
          <w:sz w:val="23"/>
          <w:szCs w:val="23"/>
        </w:rPr>
      </w:pPr>
      <w:r w:rsidRPr="00F601A5">
        <w:rPr>
          <w:i/>
          <w:iCs/>
          <w:sz w:val="23"/>
          <w:szCs w:val="23"/>
        </w:rPr>
        <w:t>Source</w:t>
      </w:r>
      <w:r w:rsidRPr="004E1D97">
        <w:rPr>
          <w:i/>
          <w:iCs/>
          <w:sz w:val="23"/>
          <w:szCs w:val="23"/>
        </w:rPr>
        <w:t xml:space="preserve">: Sander Tordoir und Brad </w:t>
      </w:r>
      <w:proofErr w:type="spellStart"/>
      <w:r w:rsidRPr="004E1D97">
        <w:rPr>
          <w:i/>
          <w:iCs/>
          <w:sz w:val="23"/>
          <w:szCs w:val="23"/>
        </w:rPr>
        <w:t>Setser</w:t>
      </w:r>
      <w:proofErr w:type="spellEnd"/>
      <w:r w:rsidRPr="004E1D97">
        <w:rPr>
          <w:i/>
          <w:iCs/>
          <w:sz w:val="23"/>
          <w:szCs w:val="23"/>
        </w:rPr>
        <w:t>, Centre for European Reform Policy Brief: "The Second China Shock and the Future of German Industry" (</w:t>
      </w:r>
      <w:r w:rsidRPr="00F601A5">
        <w:rPr>
          <w:i/>
          <w:iCs/>
          <w:sz w:val="23"/>
          <w:szCs w:val="23"/>
        </w:rPr>
        <w:t>forthcoming</w:t>
      </w:r>
      <w:r w:rsidRPr="004E1D97">
        <w:rPr>
          <w:i/>
          <w:iCs/>
          <w:sz w:val="23"/>
          <w:szCs w:val="23"/>
        </w:rPr>
        <w:t>).</w:t>
      </w:r>
    </w:p>
    <w:p w:rsidRPr="00736204" w:rsidR="00F601A5" w:rsidP="00736204" w:rsidRDefault="00F601A5" w14:paraId="4712FDD0" w14:textId="77777777">
      <w:pPr>
        <w:rPr>
          <w:sz w:val="23"/>
          <w:szCs w:val="23"/>
        </w:rPr>
      </w:pPr>
    </w:p>
    <w:p w:rsidRPr="00F601A5" w:rsidR="00736204" w:rsidP="00736204" w:rsidRDefault="00736204" w14:paraId="3937DAB7" w14:textId="77777777">
      <w:pPr>
        <w:rPr>
          <w:sz w:val="23"/>
          <w:szCs w:val="23"/>
        </w:rPr>
      </w:pPr>
      <w:r w:rsidRPr="00736204">
        <w:rPr>
          <w:sz w:val="23"/>
          <w:szCs w:val="23"/>
        </w:rPr>
        <w:t>Despite these challenges, Germany retains a comparative advantage in green industries, where it leads globally in low-carbon technology patents. Exports in 200 key green technologies account for 4% of GDP, outpacing all other G7 economies. The EU’s single market also continues to deliver growth, with intra-EU goods trade rising by over 30% since the pandemic. However, these advantages are under threat. China’s dominance in green technologies and its shrinking imports risk suppressing German firms’ profitability and innovation. Without sufficient profits to reinvest, these firms may fall behind the technological frontier.</w:t>
      </w:r>
    </w:p>
    <w:p w:rsidRPr="00736204" w:rsidR="00736204" w:rsidP="00736204" w:rsidRDefault="00736204" w14:paraId="2ECE83A3" w14:textId="06F5ECC8">
      <w:pPr>
        <w:rPr>
          <w:sz w:val="23"/>
          <w:szCs w:val="23"/>
        </w:rPr>
      </w:pPr>
      <w:r w:rsidRPr="00736204">
        <w:rPr>
          <w:sz w:val="23"/>
          <w:szCs w:val="23"/>
        </w:rPr>
        <w:t xml:space="preserve">Germany’s fiscal policy reform must also address broader macroeconomic vulnerabilities. Strategic trade measures are essential to counter China’s unfair trade practices and to strengthen Germany’s position in global markets. This includes advocating for WTO-compliant tariffs on </w:t>
      </w:r>
      <w:proofErr w:type="spellStart"/>
      <w:r w:rsidRPr="00736204">
        <w:rPr>
          <w:sz w:val="23"/>
          <w:szCs w:val="23"/>
        </w:rPr>
        <w:t>subsidised</w:t>
      </w:r>
      <w:proofErr w:type="spellEnd"/>
      <w:r w:rsidRPr="00736204">
        <w:rPr>
          <w:sz w:val="23"/>
          <w:szCs w:val="23"/>
        </w:rPr>
        <w:t xml:space="preserve"> Chinese exports, such as electric vehicles, while protecting viable EU sectors. Aligning with international partners, particularly within the EU, is crucial for mounting an effective response.</w:t>
      </w:r>
      <w:r w:rsidRPr="00F601A5" w:rsidR="003B5730">
        <w:rPr>
          <w:sz w:val="23"/>
          <w:szCs w:val="23"/>
        </w:rPr>
        <w:t xml:space="preserve"> </w:t>
      </w:r>
    </w:p>
    <w:p w:rsidRPr="00736204" w:rsidR="00736204" w:rsidP="00736204" w:rsidRDefault="00736204" w14:paraId="439CBFEF" w14:textId="23897938">
      <w:pPr>
        <w:rPr>
          <w:sz w:val="23"/>
          <w:szCs w:val="23"/>
        </w:rPr>
      </w:pPr>
      <w:r w:rsidRPr="00736204">
        <w:rPr>
          <w:sz w:val="23"/>
          <w:szCs w:val="23"/>
        </w:rPr>
        <w:t xml:space="preserve">The potential for a unified EU industrial policy offers another avenue for addressing these challenges. </w:t>
      </w:r>
      <w:r w:rsidRPr="00F601A5" w:rsidR="003B5730">
        <w:rPr>
          <w:sz w:val="23"/>
          <w:szCs w:val="23"/>
        </w:rPr>
        <w:t xml:space="preserve">The EU can rely on carbon taxes, regulation, and its own large domestic market. It does not need to replicate the expensive inflation reduction act, which is about 0.4% of US GDP a year. </w:t>
      </w:r>
      <w:r w:rsidRPr="00736204">
        <w:rPr>
          <w:sz w:val="23"/>
          <w:szCs w:val="23"/>
        </w:rPr>
        <w:t xml:space="preserve">By earmarking tariff revenues from trade </w:t>
      </w:r>
      <w:proofErr w:type="spellStart"/>
      <w:r w:rsidRPr="00736204">
        <w:rPr>
          <w:sz w:val="23"/>
          <w:szCs w:val="23"/>
        </w:rPr>
        <w:t>defence</w:t>
      </w:r>
      <w:proofErr w:type="spellEnd"/>
      <w:r w:rsidRPr="00736204">
        <w:rPr>
          <w:sz w:val="23"/>
          <w:szCs w:val="23"/>
        </w:rPr>
        <w:t xml:space="preserve"> measures against China, the EU could fund a common industrial strategy. Such an approach would help avoid fragmented subsidy policies that disproportionately benefit larger economies like Germany. Moreover, integrating “buy-European” and environmental conditions into subsidy schemes could counter China’s local content requirements and foster a more competitive European industrial base.</w:t>
      </w:r>
    </w:p>
    <w:p w:rsidRPr="00736204" w:rsidR="00736204" w:rsidP="00736204" w:rsidRDefault="00736204" w14:paraId="6F7C04BF" w14:textId="77777777">
      <w:pPr>
        <w:rPr>
          <w:sz w:val="23"/>
          <w:szCs w:val="23"/>
        </w:rPr>
      </w:pPr>
      <w:r w:rsidRPr="00736204">
        <w:rPr>
          <w:sz w:val="23"/>
          <w:szCs w:val="23"/>
        </w:rPr>
        <w:t xml:space="preserve">The stakes are high. Germany’s low debt levels and strong industrial legacy provide a unique opportunity to act decisively. Yet this window is narrowing. To secure its economic future, Germany must </w:t>
      </w:r>
      <w:proofErr w:type="spellStart"/>
      <w:r w:rsidRPr="00736204">
        <w:rPr>
          <w:sz w:val="23"/>
          <w:szCs w:val="23"/>
        </w:rPr>
        <w:t>prioritise</w:t>
      </w:r>
      <w:proofErr w:type="spellEnd"/>
      <w:r w:rsidRPr="00736204">
        <w:rPr>
          <w:sz w:val="23"/>
          <w:szCs w:val="23"/>
        </w:rPr>
        <w:t xml:space="preserve"> domestic resilience and EU-wide coordination over short-term gains. Successfully navigating the China shock and </w:t>
      </w:r>
      <w:proofErr w:type="spellStart"/>
      <w:r w:rsidRPr="00736204">
        <w:rPr>
          <w:sz w:val="23"/>
          <w:szCs w:val="23"/>
        </w:rPr>
        <w:t>revitalising</w:t>
      </w:r>
      <w:proofErr w:type="spellEnd"/>
      <w:r w:rsidRPr="00736204">
        <w:rPr>
          <w:sz w:val="23"/>
          <w:szCs w:val="23"/>
        </w:rPr>
        <w:t xml:space="preserve"> its industrial base depend on addressing internal constraints, leveraging new fiscal flexibility, and fostering sustainable growth within the EU framework. The EU’s evolving fiscal rules could become a crucial ally in this effort, enabling Germany to align its fiscal and industrial strategies while maintaining its leadership within Europe. As Henry Kissinger once remarked, Germany is “too big for Europe and too small for the world.” Coordinated action within the EU is not just desirable but essential for securing Germany’s long-term economic resilience.</w:t>
      </w:r>
    </w:p>
    <w:p w:rsidRPr="00F601A5" w:rsidR="00736204" w:rsidRDefault="00736204" w14:paraId="03CEF3D3" w14:textId="77777777">
      <w:pPr>
        <w:rPr>
          <w:sz w:val="23"/>
          <w:szCs w:val="23"/>
        </w:rPr>
      </w:pPr>
    </w:p>
    <w:sectPr w:rsidRPr="00F601A5" w:rsidR="00736204">
      <w:headerReference w:type="default" r:id="rId2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B6E3F" w14:textId="77777777" w:rsidR="00956914" w:rsidRDefault="00956914" w:rsidP="00F601A5">
      <w:pPr>
        <w:spacing w:after="0" w:line="240" w:lineRule="auto"/>
      </w:pPr>
      <w:r>
        <w:separator/>
      </w:r>
    </w:p>
  </w:endnote>
  <w:endnote w:type="continuationSeparator" w:id="0">
    <w:p w14:paraId="45F0DEAD" w14:textId="77777777" w:rsidR="00956914" w:rsidRDefault="00956914" w:rsidP="00F6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62033" w14:textId="77777777" w:rsidR="00956914" w:rsidRDefault="00956914" w:rsidP="00F601A5">
      <w:pPr>
        <w:spacing w:after="0" w:line="240" w:lineRule="auto"/>
      </w:pPr>
      <w:r>
        <w:separator/>
      </w:r>
    </w:p>
  </w:footnote>
  <w:footnote w:type="continuationSeparator" w:id="0">
    <w:p w14:paraId="57CDD014" w14:textId="77777777" w:rsidR="00956914" w:rsidRDefault="00956914" w:rsidP="00F60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1F61" w14:textId="5D0F181A" w:rsidR="00F601A5" w:rsidRDefault="00F601A5" w:rsidP="00F601A5">
    <w:pPr>
      <w:jc w:val="center"/>
      <w:rPr>
        <w:b/>
        <w:bCs/>
      </w:rPr>
    </w:pPr>
    <w:r>
      <w:rPr>
        <w:b/>
        <w:bCs/>
      </w:rPr>
      <w:t>Sander Tordoir</w:t>
    </w:r>
    <w:r>
      <w:rPr>
        <w:b/>
        <w:bCs/>
      </w:rPr>
      <w:tab/>
    </w:r>
    <w:r>
      <w:rPr>
        <w:b/>
        <w:bCs/>
      </w:rPr>
      <w:tab/>
      <w:t>Dutch Parliament briefing</w:t>
    </w:r>
    <w:r>
      <w:rPr>
        <w:b/>
        <w:bCs/>
      </w:rPr>
      <w:tab/>
    </w:r>
    <w:r>
      <w:rPr>
        <w:b/>
        <w:bCs/>
      </w:rPr>
      <w:tab/>
    </w:r>
    <w:r>
      <w:rPr>
        <w:b/>
        <w:bCs/>
      </w:rPr>
      <w:tab/>
    </w:r>
    <w:r>
      <w:rPr>
        <w:b/>
        <w:bCs/>
      </w:rPr>
      <w:t>18 December 2024</w:t>
    </w:r>
  </w:p>
  <w:p w14:paraId="3E554F57" w14:textId="77777777" w:rsidR="00F601A5" w:rsidRDefault="00F60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E99"/>
    <w:multiLevelType w:val="hybridMultilevel"/>
    <w:tmpl w:val="5240E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04"/>
    <w:rsid w:val="0002723F"/>
    <w:rsid w:val="0009274B"/>
    <w:rsid w:val="000A60E5"/>
    <w:rsid w:val="000C3A4D"/>
    <w:rsid w:val="003B5730"/>
    <w:rsid w:val="004E1D97"/>
    <w:rsid w:val="00510C32"/>
    <w:rsid w:val="00736204"/>
    <w:rsid w:val="00956914"/>
    <w:rsid w:val="009A0EDB"/>
    <w:rsid w:val="009B5098"/>
    <w:rsid w:val="00E00072"/>
    <w:rsid w:val="00F6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71C72"/>
  <w15:chartTrackingRefBased/>
  <w15:docId w15:val="{EF6FECF2-A6A9-FD4C-AD68-0F644398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204"/>
    <w:rPr>
      <w:rFonts w:eastAsiaTheme="majorEastAsia" w:cstheme="majorBidi"/>
      <w:color w:val="272727" w:themeColor="text1" w:themeTint="D8"/>
    </w:rPr>
  </w:style>
  <w:style w:type="paragraph" w:styleId="Title">
    <w:name w:val="Title"/>
    <w:basedOn w:val="Normal"/>
    <w:next w:val="Normal"/>
    <w:link w:val="TitleChar"/>
    <w:uiPriority w:val="10"/>
    <w:qFormat/>
    <w:rsid w:val="00736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204"/>
    <w:pPr>
      <w:spacing w:before="160"/>
      <w:jc w:val="center"/>
    </w:pPr>
    <w:rPr>
      <w:i/>
      <w:iCs/>
      <w:color w:val="404040" w:themeColor="text1" w:themeTint="BF"/>
    </w:rPr>
  </w:style>
  <w:style w:type="character" w:customStyle="1" w:styleId="QuoteChar">
    <w:name w:val="Quote Char"/>
    <w:basedOn w:val="DefaultParagraphFont"/>
    <w:link w:val="Quote"/>
    <w:uiPriority w:val="29"/>
    <w:rsid w:val="00736204"/>
    <w:rPr>
      <w:i/>
      <w:iCs/>
      <w:color w:val="404040" w:themeColor="text1" w:themeTint="BF"/>
    </w:rPr>
  </w:style>
  <w:style w:type="paragraph" w:styleId="ListParagraph">
    <w:name w:val="List Paragraph"/>
    <w:basedOn w:val="Normal"/>
    <w:uiPriority w:val="34"/>
    <w:qFormat/>
    <w:rsid w:val="00736204"/>
    <w:pPr>
      <w:ind w:left="720"/>
      <w:contextualSpacing/>
    </w:pPr>
  </w:style>
  <w:style w:type="character" w:styleId="IntenseEmphasis">
    <w:name w:val="Intense Emphasis"/>
    <w:basedOn w:val="DefaultParagraphFont"/>
    <w:uiPriority w:val="21"/>
    <w:qFormat/>
    <w:rsid w:val="00736204"/>
    <w:rPr>
      <w:i/>
      <w:iCs/>
      <w:color w:val="0F4761" w:themeColor="accent1" w:themeShade="BF"/>
    </w:rPr>
  </w:style>
  <w:style w:type="paragraph" w:styleId="IntenseQuote">
    <w:name w:val="Intense Quote"/>
    <w:basedOn w:val="Normal"/>
    <w:next w:val="Normal"/>
    <w:link w:val="IntenseQuoteChar"/>
    <w:uiPriority w:val="30"/>
    <w:qFormat/>
    <w:rsid w:val="00736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204"/>
    <w:rPr>
      <w:i/>
      <w:iCs/>
      <w:color w:val="0F4761" w:themeColor="accent1" w:themeShade="BF"/>
    </w:rPr>
  </w:style>
  <w:style w:type="character" w:styleId="IntenseReference">
    <w:name w:val="Intense Reference"/>
    <w:basedOn w:val="DefaultParagraphFont"/>
    <w:uiPriority w:val="32"/>
    <w:qFormat/>
    <w:rsid w:val="00736204"/>
    <w:rPr>
      <w:b/>
      <w:bCs/>
      <w:smallCaps/>
      <w:color w:val="0F4761" w:themeColor="accent1" w:themeShade="BF"/>
      <w:spacing w:val="5"/>
    </w:rPr>
  </w:style>
  <w:style w:type="character" w:styleId="Hyperlink">
    <w:name w:val="Hyperlink"/>
    <w:basedOn w:val="DefaultParagraphFont"/>
    <w:uiPriority w:val="99"/>
    <w:unhideWhenUsed/>
    <w:rsid w:val="004E1D97"/>
    <w:rPr>
      <w:color w:val="467886" w:themeColor="hyperlink"/>
      <w:u w:val="single"/>
    </w:rPr>
  </w:style>
  <w:style w:type="character" w:styleId="UnresolvedMention">
    <w:name w:val="Unresolved Mention"/>
    <w:basedOn w:val="DefaultParagraphFont"/>
    <w:uiPriority w:val="99"/>
    <w:semiHidden/>
    <w:unhideWhenUsed/>
    <w:rsid w:val="004E1D97"/>
    <w:rPr>
      <w:color w:val="605E5C"/>
      <w:shd w:val="clear" w:color="auto" w:fill="E1DFDD"/>
    </w:rPr>
  </w:style>
  <w:style w:type="character" w:styleId="FollowedHyperlink">
    <w:name w:val="FollowedHyperlink"/>
    <w:basedOn w:val="DefaultParagraphFont"/>
    <w:uiPriority w:val="99"/>
    <w:semiHidden/>
    <w:unhideWhenUsed/>
    <w:rsid w:val="00E00072"/>
    <w:rPr>
      <w:color w:val="96607D" w:themeColor="followedHyperlink"/>
      <w:u w:val="single"/>
    </w:rPr>
  </w:style>
  <w:style w:type="paragraph" w:styleId="Header">
    <w:name w:val="header"/>
    <w:basedOn w:val="Normal"/>
    <w:link w:val="HeaderChar"/>
    <w:uiPriority w:val="99"/>
    <w:unhideWhenUsed/>
    <w:rsid w:val="00F6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1A5"/>
  </w:style>
  <w:style w:type="paragraph" w:styleId="Footer">
    <w:name w:val="footer"/>
    <w:basedOn w:val="Normal"/>
    <w:link w:val="FooterChar"/>
    <w:uiPriority w:val="99"/>
    <w:unhideWhenUsed/>
    <w:rsid w:val="00F6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9632">
      <w:bodyDiv w:val="1"/>
      <w:marLeft w:val="0"/>
      <w:marRight w:val="0"/>
      <w:marTop w:val="0"/>
      <w:marBottom w:val="0"/>
      <w:divBdr>
        <w:top w:val="none" w:sz="0" w:space="0" w:color="auto"/>
        <w:left w:val="none" w:sz="0" w:space="0" w:color="auto"/>
        <w:bottom w:val="none" w:sz="0" w:space="0" w:color="auto"/>
        <w:right w:val="none" w:sz="0" w:space="0" w:color="auto"/>
      </w:divBdr>
    </w:div>
    <w:div w:id="443697026">
      <w:bodyDiv w:val="1"/>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single" w:sz="2" w:space="0" w:color="E5E7EB"/>
            <w:left w:val="single" w:sz="2" w:space="0" w:color="E5E7EB"/>
            <w:bottom w:val="single" w:sz="2" w:space="0" w:color="E5E7EB"/>
            <w:right w:val="single" w:sz="2" w:space="0" w:color="E5E7EB"/>
          </w:divBdr>
          <w:divsChild>
            <w:div w:id="1273709034">
              <w:marLeft w:val="0"/>
              <w:marRight w:val="0"/>
              <w:marTop w:val="0"/>
              <w:marBottom w:val="0"/>
              <w:divBdr>
                <w:top w:val="single" w:sz="2" w:space="0" w:color="auto"/>
                <w:left w:val="single" w:sz="2" w:space="0" w:color="auto"/>
                <w:bottom w:val="single" w:sz="2" w:space="0" w:color="auto"/>
                <w:right w:val="single" w:sz="2" w:space="0" w:color="auto"/>
              </w:divBdr>
              <w:divsChild>
                <w:div w:id="760298075">
                  <w:marLeft w:val="0"/>
                  <w:marRight w:val="0"/>
                  <w:marTop w:val="0"/>
                  <w:marBottom w:val="0"/>
                  <w:divBdr>
                    <w:top w:val="single" w:sz="2" w:space="0" w:color="auto"/>
                    <w:left w:val="single" w:sz="2" w:space="0" w:color="auto"/>
                    <w:bottom w:val="single" w:sz="2" w:space="0" w:color="auto"/>
                    <w:right w:val="single" w:sz="2" w:space="0" w:color="auto"/>
                  </w:divBdr>
                  <w:divsChild>
                    <w:div w:id="699548648">
                      <w:marLeft w:val="0"/>
                      <w:marRight w:val="0"/>
                      <w:marTop w:val="0"/>
                      <w:marBottom w:val="0"/>
                      <w:divBdr>
                        <w:top w:val="single" w:sz="2" w:space="0" w:color="E5E7EB"/>
                        <w:left w:val="single" w:sz="2" w:space="0" w:color="E5E7EB"/>
                        <w:bottom w:val="single" w:sz="2" w:space="0" w:color="E5E7EB"/>
                        <w:right w:val="single" w:sz="2" w:space="0" w:color="E5E7EB"/>
                      </w:divBdr>
                      <w:divsChild>
                        <w:div w:id="1871337406">
                          <w:marLeft w:val="0"/>
                          <w:marRight w:val="0"/>
                          <w:marTop w:val="0"/>
                          <w:marBottom w:val="0"/>
                          <w:divBdr>
                            <w:top w:val="single" w:sz="2" w:space="0" w:color="E5E7EB"/>
                            <w:left w:val="single" w:sz="2" w:space="0" w:color="E5E7EB"/>
                            <w:bottom w:val="single" w:sz="2" w:space="0" w:color="E5E7EB"/>
                            <w:right w:val="single" w:sz="2" w:space="0" w:color="E5E7EB"/>
                          </w:divBdr>
                          <w:divsChild>
                            <w:div w:id="1644578033">
                              <w:marLeft w:val="0"/>
                              <w:marRight w:val="0"/>
                              <w:marTop w:val="0"/>
                              <w:marBottom w:val="0"/>
                              <w:divBdr>
                                <w:top w:val="single" w:sz="2" w:space="0" w:color="E5E7EB"/>
                                <w:left w:val="single" w:sz="2" w:space="0" w:color="E5E7EB"/>
                                <w:bottom w:val="single" w:sz="2" w:space="0" w:color="E5E7EB"/>
                                <w:right w:val="single" w:sz="2" w:space="0" w:color="E5E7EB"/>
                              </w:divBdr>
                              <w:divsChild>
                                <w:div w:id="1377926572">
                                  <w:marLeft w:val="0"/>
                                  <w:marRight w:val="0"/>
                                  <w:marTop w:val="0"/>
                                  <w:marBottom w:val="0"/>
                                  <w:divBdr>
                                    <w:top w:val="single" w:sz="2" w:space="0" w:color="E5E7EB"/>
                                    <w:left w:val="single" w:sz="2" w:space="0" w:color="E5E7EB"/>
                                    <w:bottom w:val="single" w:sz="2" w:space="0" w:color="E5E7EB"/>
                                    <w:right w:val="single" w:sz="2" w:space="0" w:color="E5E7EB"/>
                                  </w:divBdr>
                                  <w:divsChild>
                                    <w:div w:id="522088930">
                                      <w:marLeft w:val="0"/>
                                      <w:marRight w:val="0"/>
                                      <w:marTop w:val="0"/>
                                      <w:marBottom w:val="0"/>
                                      <w:divBdr>
                                        <w:top w:val="single" w:sz="2" w:space="0" w:color="auto"/>
                                        <w:left w:val="single" w:sz="2" w:space="4" w:color="auto"/>
                                        <w:bottom w:val="single" w:sz="2" w:space="0" w:color="auto"/>
                                        <w:right w:val="single" w:sz="2" w:space="4" w:color="auto"/>
                                      </w:divBdr>
                                    </w:div>
                                    <w:div w:id="201595623">
                                      <w:marLeft w:val="0"/>
                                      <w:marRight w:val="0"/>
                                      <w:marTop w:val="0"/>
                                      <w:marBottom w:val="0"/>
                                      <w:divBdr>
                                        <w:top w:val="single" w:sz="2" w:space="0" w:color="auto"/>
                                        <w:left w:val="single" w:sz="2" w:space="4" w:color="auto"/>
                                        <w:bottom w:val="single" w:sz="2" w:space="0" w:color="auto"/>
                                        <w:right w:val="single" w:sz="2" w:space="4" w:color="auto"/>
                                      </w:divBdr>
                                    </w:div>
                                    <w:div w:id="677194987">
                                      <w:marLeft w:val="0"/>
                                      <w:marRight w:val="0"/>
                                      <w:marTop w:val="0"/>
                                      <w:marBottom w:val="0"/>
                                      <w:divBdr>
                                        <w:top w:val="single" w:sz="2" w:space="0" w:color="auto"/>
                                        <w:left w:val="single" w:sz="2" w:space="4" w:color="auto"/>
                                        <w:bottom w:val="single" w:sz="2" w:space="0" w:color="auto"/>
                                        <w:right w:val="single" w:sz="2" w:space="4" w:color="auto"/>
                                      </w:divBdr>
                                    </w:div>
                                    <w:div w:id="1315065999">
                                      <w:marLeft w:val="0"/>
                                      <w:marRight w:val="0"/>
                                      <w:marTop w:val="0"/>
                                      <w:marBottom w:val="0"/>
                                      <w:divBdr>
                                        <w:top w:val="single" w:sz="2" w:space="0" w:color="auto"/>
                                        <w:left w:val="single" w:sz="2" w:space="4" w:color="auto"/>
                                        <w:bottom w:val="single" w:sz="2" w:space="0" w:color="auto"/>
                                        <w:right w:val="single" w:sz="2" w:space="4" w:color="auto"/>
                                      </w:divBdr>
                                    </w:div>
                                    <w:div w:id="1283805041">
                                      <w:marLeft w:val="0"/>
                                      <w:marRight w:val="0"/>
                                      <w:marTop w:val="0"/>
                                      <w:marBottom w:val="0"/>
                                      <w:divBdr>
                                        <w:top w:val="single" w:sz="2" w:space="0" w:color="auto"/>
                                        <w:left w:val="single" w:sz="2" w:space="4" w:color="auto"/>
                                        <w:bottom w:val="single" w:sz="2" w:space="0" w:color="auto"/>
                                        <w:right w:val="single" w:sz="2" w:space="4" w:color="auto"/>
                                      </w:divBdr>
                                    </w:div>
                                    <w:div w:id="748817305">
                                      <w:marLeft w:val="0"/>
                                      <w:marRight w:val="0"/>
                                      <w:marTop w:val="0"/>
                                      <w:marBottom w:val="0"/>
                                      <w:divBdr>
                                        <w:top w:val="single" w:sz="2" w:space="0" w:color="auto"/>
                                        <w:left w:val="single" w:sz="2" w:space="4" w:color="auto"/>
                                        <w:bottom w:val="single" w:sz="2" w:space="0" w:color="auto"/>
                                        <w:right w:val="single" w:sz="2" w:space="4" w:color="auto"/>
                                      </w:divBdr>
                                    </w:div>
                                    <w:div w:id="335499542">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Child>
                        </w:div>
                      </w:divsChild>
                    </w:div>
                  </w:divsChild>
                </w:div>
              </w:divsChild>
            </w:div>
          </w:divsChild>
        </w:div>
      </w:divsChild>
    </w:div>
    <w:div w:id="720439898">
      <w:bodyDiv w:val="1"/>
      <w:marLeft w:val="0"/>
      <w:marRight w:val="0"/>
      <w:marTop w:val="0"/>
      <w:marBottom w:val="0"/>
      <w:divBdr>
        <w:top w:val="none" w:sz="0" w:space="0" w:color="auto"/>
        <w:left w:val="none" w:sz="0" w:space="0" w:color="auto"/>
        <w:bottom w:val="none" w:sz="0" w:space="0" w:color="auto"/>
        <w:right w:val="none" w:sz="0" w:space="0" w:color="auto"/>
      </w:divBdr>
    </w:div>
    <w:div w:id="1761443562">
      <w:bodyDiv w:val="1"/>
      <w:marLeft w:val="0"/>
      <w:marRight w:val="0"/>
      <w:marTop w:val="0"/>
      <w:marBottom w:val="0"/>
      <w:divBdr>
        <w:top w:val="none" w:sz="0" w:space="0" w:color="auto"/>
        <w:left w:val="none" w:sz="0" w:space="0" w:color="auto"/>
        <w:bottom w:val="none" w:sz="0" w:space="0" w:color="auto"/>
        <w:right w:val="none" w:sz="0" w:space="0" w:color="auto"/>
      </w:divBdr>
    </w:div>
    <w:div w:id="2032141401">
      <w:bodyDiv w:val="1"/>
      <w:marLeft w:val="0"/>
      <w:marRight w:val="0"/>
      <w:marTop w:val="0"/>
      <w:marBottom w:val="0"/>
      <w:divBdr>
        <w:top w:val="none" w:sz="0" w:space="0" w:color="auto"/>
        <w:left w:val="none" w:sz="0" w:space="0" w:color="auto"/>
        <w:bottom w:val="none" w:sz="0" w:space="0" w:color="auto"/>
        <w:right w:val="none" w:sz="0" w:space="0" w:color="auto"/>
      </w:divBdr>
      <w:divsChild>
        <w:div w:id="387803650">
          <w:marLeft w:val="0"/>
          <w:marRight w:val="0"/>
          <w:marTop w:val="0"/>
          <w:marBottom w:val="0"/>
          <w:divBdr>
            <w:top w:val="single" w:sz="2" w:space="0" w:color="E5E7EB"/>
            <w:left w:val="single" w:sz="2" w:space="0" w:color="E5E7EB"/>
            <w:bottom w:val="single" w:sz="2" w:space="0" w:color="E5E7EB"/>
            <w:right w:val="single" w:sz="2" w:space="0" w:color="E5E7EB"/>
          </w:divBdr>
          <w:divsChild>
            <w:div w:id="491992949">
              <w:marLeft w:val="0"/>
              <w:marRight w:val="0"/>
              <w:marTop w:val="0"/>
              <w:marBottom w:val="0"/>
              <w:divBdr>
                <w:top w:val="single" w:sz="2" w:space="0" w:color="auto"/>
                <w:left w:val="single" w:sz="2" w:space="0" w:color="auto"/>
                <w:bottom w:val="single" w:sz="2" w:space="0" w:color="auto"/>
                <w:right w:val="single" w:sz="2" w:space="0" w:color="auto"/>
              </w:divBdr>
              <w:divsChild>
                <w:div w:id="2135437419">
                  <w:marLeft w:val="0"/>
                  <w:marRight w:val="0"/>
                  <w:marTop w:val="0"/>
                  <w:marBottom w:val="0"/>
                  <w:divBdr>
                    <w:top w:val="single" w:sz="2" w:space="0" w:color="auto"/>
                    <w:left w:val="single" w:sz="2" w:space="0" w:color="auto"/>
                    <w:bottom w:val="single" w:sz="2" w:space="0" w:color="auto"/>
                    <w:right w:val="single" w:sz="2" w:space="0" w:color="auto"/>
                  </w:divBdr>
                  <w:divsChild>
                    <w:div w:id="1500316695">
                      <w:marLeft w:val="0"/>
                      <w:marRight w:val="0"/>
                      <w:marTop w:val="0"/>
                      <w:marBottom w:val="0"/>
                      <w:divBdr>
                        <w:top w:val="single" w:sz="2" w:space="0" w:color="E5E7EB"/>
                        <w:left w:val="single" w:sz="2" w:space="0" w:color="E5E7EB"/>
                        <w:bottom w:val="single" w:sz="2" w:space="0" w:color="E5E7EB"/>
                        <w:right w:val="single" w:sz="2" w:space="0" w:color="E5E7EB"/>
                      </w:divBdr>
                      <w:divsChild>
                        <w:div w:id="1861431445">
                          <w:marLeft w:val="0"/>
                          <w:marRight w:val="0"/>
                          <w:marTop w:val="0"/>
                          <w:marBottom w:val="0"/>
                          <w:divBdr>
                            <w:top w:val="single" w:sz="2" w:space="0" w:color="E5E7EB"/>
                            <w:left w:val="single" w:sz="2" w:space="0" w:color="E5E7EB"/>
                            <w:bottom w:val="single" w:sz="2" w:space="0" w:color="E5E7EB"/>
                            <w:right w:val="single" w:sz="2" w:space="0" w:color="E5E7EB"/>
                          </w:divBdr>
                          <w:divsChild>
                            <w:div w:id="1134713001">
                              <w:marLeft w:val="0"/>
                              <w:marRight w:val="0"/>
                              <w:marTop w:val="0"/>
                              <w:marBottom w:val="0"/>
                              <w:divBdr>
                                <w:top w:val="single" w:sz="2" w:space="0" w:color="E5E7EB"/>
                                <w:left w:val="single" w:sz="2" w:space="0" w:color="E5E7EB"/>
                                <w:bottom w:val="single" w:sz="2" w:space="0" w:color="E5E7EB"/>
                                <w:right w:val="single" w:sz="2" w:space="0" w:color="E5E7EB"/>
                              </w:divBdr>
                              <w:divsChild>
                                <w:div w:id="330450430">
                                  <w:marLeft w:val="0"/>
                                  <w:marRight w:val="0"/>
                                  <w:marTop w:val="0"/>
                                  <w:marBottom w:val="0"/>
                                  <w:divBdr>
                                    <w:top w:val="single" w:sz="2" w:space="0" w:color="E5E7EB"/>
                                    <w:left w:val="single" w:sz="2" w:space="0" w:color="E5E7EB"/>
                                    <w:bottom w:val="single" w:sz="2" w:space="0" w:color="E5E7EB"/>
                                    <w:right w:val="single" w:sz="2" w:space="0" w:color="E5E7EB"/>
                                  </w:divBdr>
                                  <w:divsChild>
                                    <w:div w:id="956251312">
                                      <w:marLeft w:val="0"/>
                                      <w:marRight w:val="0"/>
                                      <w:marTop w:val="0"/>
                                      <w:marBottom w:val="0"/>
                                      <w:divBdr>
                                        <w:top w:val="single" w:sz="2" w:space="0" w:color="auto"/>
                                        <w:left w:val="single" w:sz="2" w:space="4" w:color="auto"/>
                                        <w:bottom w:val="single" w:sz="2" w:space="0" w:color="auto"/>
                                        <w:right w:val="single" w:sz="2" w:space="4" w:color="auto"/>
                                      </w:divBdr>
                                    </w:div>
                                    <w:div w:id="456875044">
                                      <w:marLeft w:val="0"/>
                                      <w:marRight w:val="0"/>
                                      <w:marTop w:val="0"/>
                                      <w:marBottom w:val="0"/>
                                      <w:divBdr>
                                        <w:top w:val="single" w:sz="2" w:space="0" w:color="auto"/>
                                        <w:left w:val="single" w:sz="2" w:space="4" w:color="auto"/>
                                        <w:bottom w:val="single" w:sz="2" w:space="0" w:color="auto"/>
                                        <w:right w:val="single" w:sz="2" w:space="4" w:color="auto"/>
                                      </w:divBdr>
                                    </w:div>
                                    <w:div w:id="1557544141">
                                      <w:marLeft w:val="0"/>
                                      <w:marRight w:val="0"/>
                                      <w:marTop w:val="0"/>
                                      <w:marBottom w:val="0"/>
                                      <w:divBdr>
                                        <w:top w:val="single" w:sz="2" w:space="0" w:color="auto"/>
                                        <w:left w:val="single" w:sz="2" w:space="4" w:color="auto"/>
                                        <w:bottom w:val="single" w:sz="2" w:space="0" w:color="auto"/>
                                        <w:right w:val="single" w:sz="2" w:space="4" w:color="auto"/>
                                      </w:divBdr>
                                    </w:div>
                                    <w:div w:id="661081219">
                                      <w:marLeft w:val="0"/>
                                      <w:marRight w:val="0"/>
                                      <w:marTop w:val="0"/>
                                      <w:marBottom w:val="0"/>
                                      <w:divBdr>
                                        <w:top w:val="single" w:sz="2" w:space="0" w:color="auto"/>
                                        <w:left w:val="single" w:sz="2" w:space="4" w:color="auto"/>
                                        <w:bottom w:val="single" w:sz="2" w:space="0" w:color="auto"/>
                                        <w:right w:val="single" w:sz="2" w:space="4" w:color="auto"/>
                                      </w:divBdr>
                                    </w:div>
                                    <w:div w:id="1199733263">
                                      <w:marLeft w:val="0"/>
                                      <w:marRight w:val="0"/>
                                      <w:marTop w:val="0"/>
                                      <w:marBottom w:val="0"/>
                                      <w:divBdr>
                                        <w:top w:val="single" w:sz="2" w:space="0" w:color="auto"/>
                                        <w:left w:val="single" w:sz="2" w:space="4" w:color="auto"/>
                                        <w:bottom w:val="single" w:sz="2" w:space="0" w:color="auto"/>
                                        <w:right w:val="single" w:sz="2" w:space="4" w:color="auto"/>
                                      </w:divBdr>
                                    </w:div>
                                    <w:div w:id="2120636139">
                                      <w:marLeft w:val="0"/>
                                      <w:marRight w:val="0"/>
                                      <w:marTop w:val="0"/>
                                      <w:marBottom w:val="0"/>
                                      <w:divBdr>
                                        <w:top w:val="single" w:sz="2" w:space="0" w:color="auto"/>
                                        <w:left w:val="single" w:sz="2" w:space="4" w:color="auto"/>
                                        <w:bottom w:val="single" w:sz="2" w:space="0" w:color="auto"/>
                                        <w:right w:val="single" w:sz="2" w:space="4" w:color="auto"/>
                                      </w:divBdr>
                                    </w:div>
                                    <w:div w:id="2142531652">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eu/insights/germany-needs-new-growth-model" TargetMode="External"/><Relationship Id="rId13" Type="http://schemas.openxmlformats.org/officeDocument/2006/relationships/hyperlink" Target="https://economy-finance.ec.europa.eu/document/download/0826d6c6-4c97-44be-8b9e-1a0b5c4361c8_en?filename=SWD_2024_605_1_EN_Germany.pdf" TargetMode="External"/><Relationship Id="rId18" Type="http://schemas.openxmlformats.org/officeDocument/2006/relationships/hyperlink" Target="https://think.ing.com/articles/schuldenbremse/" TargetMode="Externa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chart" Target="charts/chart1.xml"/><Relationship Id="rId12" Type="http://schemas.openxmlformats.org/officeDocument/2006/relationships/hyperlink" Target="https://www.bloomberg.com/news/features/2024-12-15/germany-is-unraveling-and-the-decline-threatens-to-become-irreversible" TargetMode="External"/><Relationship Id="rId17" Type="http://schemas.openxmlformats.org/officeDocument/2006/relationships/hyperlink" Target="https://nces.ed.gov/programs/coe/indicator/cmd/education-expenditures-by-country" TargetMode="External"/><Relationship Id="rId2" Type="http://schemas.openxmlformats.org/officeDocument/2006/relationships/styles" Target="styles.xml"/><Relationship Id="rId16" Type="http://schemas.openxmlformats.org/officeDocument/2006/relationships/hyperlink" Target="https://www.imf.org/en/News/Articles/2024/03/27/germanys-real-challenges-are-aging-underinvestment-and-too-much-red-tape" TargetMode="External"/><Relationship Id="rId20" Type="http://schemas.openxmlformats.org/officeDocument/2006/relationships/hyperlink" Target="https://www.imf.org/en/Publications/CR/Issues/2024/07/17/Germany-2024-Article-IV-Consultation-Press-Release-Staff-Report-and-Statement-by-the-5520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forum.org/stories/2024/10/europe-saving-rate-euro-eurozone-growth-eu/?utm_source=chatgp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delorscentre.eu/de/publikationen/detail/publication/wieso-die-eu-fiskalregeln-spielraum-fuer-eine-reform-der-schuldenbremse-lassen" TargetMode="External"/><Relationship Id="rId4" Type="http://schemas.openxmlformats.org/officeDocument/2006/relationships/webSettings" Target="webSettings.xml"/><Relationship Id="rId9" Type="http://schemas.openxmlformats.org/officeDocument/2006/relationships/hyperlink" Target="https://www.politico.eu/article/chinese-exports-europe-united-states-xi-jinping-joe-biden-tariffs-cleantech-electric-vehicles-derisk-trade/" TargetMode="External"/><Relationship Id="rId14" Type="http://schemas.openxmlformats.org/officeDocument/2006/relationships/hyperlink" Target="https://www.kfw.de/PDF/Download-Center/Konzernthemen/Research/PDF-Dokumente-Fokus-Volkswirtschaft/Fokus-englische-Dateien/Fokus-2024-EN/Focus-No.-461-May-2024-German-location.pdf"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andertordoir\Documents\PB%20Brad%20Sander%20\for%20Kate%20Data%20PB%20SanderBrad_check_20141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andertordoir/Documents/PB%20Brad%20Sander%20/for%20Kate%20Data%20PB%20SanderBrad_check_20141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andertordoir/Documents/PB%20Brad%20Sander%20/for%20Kate%20Data%20PB%20SanderBrad_check_201412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German industrial production</a:t>
            </a:r>
            <a:r>
              <a:rPr lang="en-US" b="1" baseline="0"/>
              <a:t> is in decline, also compared to European peers </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 1 industrial production'!$A$41</c:f>
              <c:strCache>
                <c:ptCount val="1"/>
                <c:pt idx="0">
                  <c:v>European Union - 27 countries (from 2020)</c:v>
                </c:pt>
              </c:strCache>
            </c:strRef>
          </c:tx>
          <c:spPr>
            <a:ln w="28575" cap="rnd">
              <a:solidFill>
                <a:schemeClr val="accent1"/>
              </a:solidFill>
              <a:round/>
            </a:ln>
            <a:effectLst/>
          </c:spPr>
          <c:marker>
            <c:symbol val="none"/>
          </c:marker>
          <c:dLbls>
            <c:dLbl>
              <c:idx val="9"/>
              <c:layout>
                <c:manualLayout>
                  <c:x val="-1.6819386679135283E-16"/>
                  <c:y val="1.615798922800718E-2"/>
                </c:manualLayout>
              </c:layout>
              <c:tx>
                <c:rich>
                  <a:bodyPr/>
                  <a:lstStyle/>
                  <a:p>
                    <a:fld id="{6624CC6F-988F-1D47-B374-FD6FD4274516}" type="SERIESNAME">
                      <a:rPr lang="en-US"/>
                      <a:pPr/>
                      <a:t>[SERIES NAME]</a:t>
                    </a:fld>
                    <a:endParaRPr lang="en-US"/>
                  </a:p>
                </c:rich>
              </c:tx>
              <c:dLblPos val="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E7E-A749-8920-84AC0DA2E1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1 industrial production'!$C$24:$L$24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'Chart 1 industrial production'!$C$41:$L$41</c:f>
              <c:numCache>
                <c:formatCode>0.00</c:formatCode>
                <c:ptCount val="10"/>
                <c:pt idx="0">
                  <c:v>100</c:v>
                </c:pt>
                <c:pt idx="1">
                  <c:v>102.60000000000001</c:v>
                </c:pt>
                <c:pt idx="2">
                  <c:v>104.3442</c:v>
                </c:pt>
                <c:pt idx="3">
                  <c:v>107.5788702</c:v>
                </c:pt>
                <c:pt idx="4">
                  <c:v>108.8698166424</c:v>
                </c:pt>
                <c:pt idx="5">
                  <c:v>108.325467559188</c:v>
                </c:pt>
                <c:pt idx="6">
                  <c:v>100.30938295980808</c:v>
                </c:pt>
                <c:pt idx="7">
                  <c:v>109.43753680915061</c:v>
                </c:pt>
                <c:pt idx="8">
                  <c:v>112.61122537661598</c:v>
                </c:pt>
                <c:pt idx="9">
                  <c:v>110.58422331983689</c:v>
                </c:pt>
              </c:numCache>
            </c:numRef>
          </c:val>
          <c:smooth val="0"/>
          <c:extLst>
            <c:ext xmlns:c16="http://schemas.microsoft.com/office/drawing/2014/chart" uri="{C3380CC4-5D6E-409C-BE32-E72D297353CC}">
              <c16:uniqueId val="{00000001-0E7E-A749-8920-84AC0DA2E11A}"/>
            </c:ext>
          </c:extLst>
        </c:ser>
        <c:ser>
          <c:idx val="1"/>
          <c:order val="1"/>
          <c:tx>
            <c:strRef>
              <c:f>'Chart 1 industrial production'!$A$42</c:f>
              <c:strCache>
                <c:ptCount val="1"/>
                <c:pt idx="0">
                  <c:v>Germany</c:v>
                </c:pt>
              </c:strCache>
            </c:strRef>
          </c:tx>
          <c:spPr>
            <a:ln w="28575" cap="rnd">
              <a:solidFill>
                <a:schemeClr val="tx1"/>
              </a:solidFill>
              <a:round/>
            </a:ln>
            <a:effectLst/>
          </c:spPr>
          <c:marker>
            <c:symbol val="none"/>
          </c:marker>
          <c:dLbls>
            <c:dLbl>
              <c:idx val="9"/>
              <c:layout>
                <c:manualLayout>
                  <c:x val="-1.1467896121449173E-3"/>
                  <c:y val="2.6929982046678635E-2"/>
                </c:manualLayout>
              </c:layout>
              <c:tx>
                <c:rich>
                  <a:bodyPr/>
                  <a:lstStyle/>
                  <a:p>
                    <a:fld id="{589AFCD5-1135-4044-8617-EF0A908B599F}" type="SERIESNAME">
                      <a:rPr lang="en-US"/>
                      <a:pPr/>
                      <a:t>[SERIES NAME]</a:t>
                    </a:fld>
                    <a:endParaRPr lang="en-US"/>
                  </a:p>
                </c:rich>
              </c:tx>
              <c:dLblPos val="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E7E-A749-8920-84AC0DA2E1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1 industrial production'!$C$24:$L$24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'Chart 1 industrial production'!$C$42:$L$42</c:f>
              <c:numCache>
                <c:formatCode>0.00</c:formatCode>
                <c:ptCount val="10"/>
                <c:pt idx="0">
                  <c:v>100</c:v>
                </c:pt>
                <c:pt idx="1">
                  <c:v>100.89999999999999</c:v>
                </c:pt>
                <c:pt idx="2">
                  <c:v>101.70719999999999</c:v>
                </c:pt>
                <c:pt idx="3">
                  <c:v>104.96183039999998</c:v>
                </c:pt>
                <c:pt idx="4">
                  <c:v>105.90648687359997</c:v>
                </c:pt>
                <c:pt idx="5">
                  <c:v>102.51747929364477</c:v>
                </c:pt>
                <c:pt idx="6">
                  <c:v>92.675801281454881</c:v>
                </c:pt>
                <c:pt idx="7">
                  <c:v>96.938888140401815</c:v>
                </c:pt>
                <c:pt idx="8">
                  <c:v>96.648071475980615</c:v>
                </c:pt>
                <c:pt idx="9">
                  <c:v>94.811758117936975</c:v>
                </c:pt>
              </c:numCache>
            </c:numRef>
          </c:val>
          <c:smooth val="0"/>
          <c:extLst>
            <c:ext xmlns:c16="http://schemas.microsoft.com/office/drawing/2014/chart" uri="{C3380CC4-5D6E-409C-BE32-E72D297353CC}">
              <c16:uniqueId val="{00000003-0E7E-A749-8920-84AC0DA2E11A}"/>
            </c:ext>
          </c:extLst>
        </c:ser>
        <c:ser>
          <c:idx val="2"/>
          <c:order val="2"/>
          <c:tx>
            <c:strRef>
              <c:f>'Chart 1 industrial production'!$A$43</c:f>
              <c:strCache>
                <c:ptCount val="1"/>
                <c:pt idx="0">
                  <c:v>Spain</c:v>
                </c:pt>
              </c:strCache>
            </c:strRef>
          </c:tx>
          <c:spPr>
            <a:ln w="28575" cap="rnd">
              <a:solidFill>
                <a:srgbClr val="C00000"/>
              </a:solidFill>
              <a:round/>
            </a:ln>
            <a:effectLst/>
          </c:spPr>
          <c:marker>
            <c:symbol val="none"/>
          </c:marker>
          <c:dLbls>
            <c:dLbl>
              <c:idx val="9"/>
              <c:tx>
                <c:rich>
                  <a:bodyPr/>
                  <a:lstStyle/>
                  <a:p>
                    <a:fld id="{3F3D1B7F-A294-E847-9140-C8D2EFB18AEB}" type="SERIESNAME">
                      <a:rPr lang="en-US"/>
                      <a:pPr/>
                      <a:t>[SERIES NAME]</a:t>
                    </a:fld>
                    <a:endParaRPr lang="en-US"/>
                  </a:p>
                </c:rich>
              </c:tx>
              <c:dLblPos val="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E7E-A749-8920-84AC0DA2E1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1 industrial production'!$C$24:$L$24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'Chart 1 industrial production'!$C$43:$L$43</c:f>
              <c:numCache>
                <c:formatCode>0.00</c:formatCode>
                <c:ptCount val="10"/>
                <c:pt idx="0">
                  <c:v>100</c:v>
                </c:pt>
                <c:pt idx="1">
                  <c:v>103.4</c:v>
                </c:pt>
                <c:pt idx="2">
                  <c:v>105.0544</c:v>
                </c:pt>
                <c:pt idx="3">
                  <c:v>108.20603200000001</c:v>
                </c:pt>
                <c:pt idx="4">
                  <c:v>108.963474224</c:v>
                </c:pt>
                <c:pt idx="5">
                  <c:v>109.399328120896</c:v>
                </c:pt>
                <c:pt idx="6">
                  <c:v>99.006391949410883</c:v>
                </c:pt>
                <c:pt idx="7">
                  <c:v>106.4318713456167</c:v>
                </c:pt>
                <c:pt idx="8">
                  <c:v>109.09266812925711</c:v>
                </c:pt>
                <c:pt idx="9">
                  <c:v>107.34718543918899</c:v>
                </c:pt>
              </c:numCache>
            </c:numRef>
          </c:val>
          <c:smooth val="0"/>
          <c:extLst>
            <c:ext xmlns:c16="http://schemas.microsoft.com/office/drawing/2014/chart" uri="{C3380CC4-5D6E-409C-BE32-E72D297353CC}">
              <c16:uniqueId val="{00000005-0E7E-A749-8920-84AC0DA2E11A}"/>
            </c:ext>
          </c:extLst>
        </c:ser>
        <c:ser>
          <c:idx val="3"/>
          <c:order val="3"/>
          <c:tx>
            <c:strRef>
              <c:f>'Chart 1 industrial production'!$A$44</c:f>
              <c:strCache>
                <c:ptCount val="1"/>
                <c:pt idx="0">
                  <c:v>France</c:v>
                </c:pt>
              </c:strCache>
            </c:strRef>
          </c:tx>
          <c:spPr>
            <a:ln w="28575" cap="rnd">
              <a:solidFill>
                <a:schemeClr val="accent4"/>
              </a:solidFill>
              <a:round/>
            </a:ln>
            <a:effectLst/>
          </c:spPr>
          <c:marker>
            <c:symbol val="none"/>
          </c:marker>
          <c:dLbls>
            <c:dLbl>
              <c:idx val="9"/>
              <c:tx>
                <c:rich>
                  <a:bodyPr/>
                  <a:lstStyle/>
                  <a:p>
                    <a:fld id="{36F5882B-4197-7E4B-BE33-35E7BA8D103F}" type="SERIESNAME">
                      <a:rPr lang="en-US"/>
                      <a:pPr/>
                      <a:t>[SERIES NAME]</a:t>
                    </a:fld>
                    <a:r>
                      <a:rPr lang="en-US" baseline="0"/>
                      <a:t> </a:t>
                    </a:r>
                  </a:p>
                </c:rich>
              </c:tx>
              <c:dLblPos val="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E7E-A749-8920-84AC0DA2E1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1 industrial production'!$C$24:$L$24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'Chart 1 industrial production'!$C$44:$L$44</c:f>
              <c:numCache>
                <c:formatCode>0.00</c:formatCode>
                <c:ptCount val="10"/>
                <c:pt idx="0">
                  <c:v>100</c:v>
                </c:pt>
                <c:pt idx="1">
                  <c:v>101.4</c:v>
                </c:pt>
                <c:pt idx="2">
                  <c:v>101.907</c:v>
                </c:pt>
                <c:pt idx="3">
                  <c:v>104.352768</c:v>
                </c:pt>
                <c:pt idx="4">
                  <c:v>105.187590144</c:v>
                </c:pt>
                <c:pt idx="5">
                  <c:v>105.71352809471999</c:v>
                </c:pt>
                <c:pt idx="6">
                  <c:v>94.085040004300794</c:v>
                </c:pt>
                <c:pt idx="7">
                  <c:v>99.259717204537338</c:v>
                </c:pt>
                <c:pt idx="8">
                  <c:v>99.259717204537338</c:v>
                </c:pt>
                <c:pt idx="9">
                  <c:v>100.05379494217364</c:v>
                </c:pt>
              </c:numCache>
            </c:numRef>
          </c:val>
          <c:smooth val="0"/>
          <c:extLst>
            <c:ext xmlns:c16="http://schemas.microsoft.com/office/drawing/2014/chart" uri="{C3380CC4-5D6E-409C-BE32-E72D297353CC}">
              <c16:uniqueId val="{00000007-0E7E-A749-8920-84AC0DA2E11A}"/>
            </c:ext>
          </c:extLst>
        </c:ser>
        <c:ser>
          <c:idx val="4"/>
          <c:order val="4"/>
          <c:tx>
            <c:strRef>
              <c:f>'Chart 1 industrial production'!$A$45</c:f>
              <c:strCache>
                <c:ptCount val="1"/>
                <c:pt idx="0">
                  <c:v>Italy</c:v>
                </c:pt>
              </c:strCache>
            </c:strRef>
          </c:tx>
          <c:spPr>
            <a:ln w="28575" cap="rnd">
              <a:solidFill>
                <a:schemeClr val="accent6">
                  <a:lumMod val="75000"/>
                </a:schemeClr>
              </a:solidFill>
              <a:round/>
            </a:ln>
            <a:effectLst/>
          </c:spPr>
          <c:marker>
            <c:symbol val="none"/>
          </c:marker>
          <c:dLbls>
            <c:dLbl>
              <c:idx val="9"/>
              <c:tx>
                <c:rich>
                  <a:bodyPr/>
                  <a:lstStyle/>
                  <a:p>
                    <a:fld id="{8903511F-1181-504D-A4C0-0140CA1E7800}" type="SERIESNAME">
                      <a:rPr lang="en-US"/>
                      <a:pPr/>
                      <a:t>[SERIES NAME]</a:t>
                    </a:fld>
                    <a:endParaRPr lang="en-US"/>
                  </a:p>
                </c:rich>
              </c:tx>
              <c:dLblPos val="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0E7E-A749-8920-84AC0DA2E1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1 industrial production'!$C$24:$L$24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'Chart 1 industrial production'!$C$45:$L$45</c:f>
              <c:numCache>
                <c:formatCode>0.00</c:formatCode>
                <c:ptCount val="10"/>
                <c:pt idx="0">
                  <c:v>100</c:v>
                </c:pt>
                <c:pt idx="1">
                  <c:v>101.2</c:v>
                </c:pt>
                <c:pt idx="2">
                  <c:v>103.1228</c:v>
                </c:pt>
                <c:pt idx="3">
                  <c:v>106.8352208</c:v>
                </c:pt>
                <c:pt idx="4">
                  <c:v>107.79673778719999</c:v>
                </c:pt>
                <c:pt idx="5">
                  <c:v>106.61097367154079</c:v>
                </c:pt>
                <c:pt idx="6">
                  <c:v>94.457322672985143</c:v>
                </c:pt>
                <c:pt idx="7">
                  <c:v>105.98111603908931</c:v>
                </c:pt>
                <c:pt idx="8">
                  <c:v>106.29905938720657</c:v>
                </c:pt>
                <c:pt idx="9">
                  <c:v>104.17307819946244</c:v>
                </c:pt>
              </c:numCache>
            </c:numRef>
          </c:val>
          <c:smooth val="0"/>
          <c:extLst>
            <c:ext xmlns:c16="http://schemas.microsoft.com/office/drawing/2014/chart" uri="{C3380CC4-5D6E-409C-BE32-E72D297353CC}">
              <c16:uniqueId val="{00000009-0E7E-A749-8920-84AC0DA2E11A}"/>
            </c:ext>
          </c:extLst>
        </c:ser>
        <c:dLbls>
          <c:showLegendKey val="0"/>
          <c:showVal val="0"/>
          <c:showCatName val="0"/>
          <c:showSerName val="0"/>
          <c:showPercent val="0"/>
          <c:showBubbleSize val="0"/>
        </c:dLbls>
        <c:smooth val="0"/>
        <c:axId val="1171914784"/>
        <c:axId val="1460422944"/>
      </c:lineChart>
      <c:catAx>
        <c:axId val="117191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0422944"/>
        <c:crosses val="autoZero"/>
        <c:auto val="1"/>
        <c:lblAlgn val="ctr"/>
        <c:lblOffset val="100"/>
        <c:noMultiLvlLbl val="0"/>
      </c:catAx>
      <c:valAx>
        <c:axId val="1460422944"/>
        <c:scaling>
          <c:orientation val="minMax"/>
          <c:max val="115"/>
          <c:min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Industrial</a:t>
                </a:r>
                <a:r>
                  <a:rPr lang="en-US" baseline="0"/>
                  <a:t> production (2014=100)</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914784"/>
        <c:crosses val="autoZero"/>
        <c:crossBetween val="between"/>
        <c:majorUnit val="5"/>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Exports</a:t>
            </a:r>
            <a:r>
              <a:rPr lang="en-US" b="1" baseline="0"/>
              <a:t> and imports of cars, Germany and China</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 6 Cars'!$B$1</c:f>
              <c:strCache>
                <c:ptCount val="1"/>
                <c:pt idx="0">
                  <c:v>German exports (12m sum)</c:v>
                </c:pt>
              </c:strCache>
            </c:strRef>
          </c:tx>
          <c:spPr>
            <a:ln w="28575" cap="rnd">
              <a:solidFill>
                <a:schemeClr val="tx1"/>
              </a:solidFill>
              <a:round/>
            </a:ln>
            <a:effectLst/>
          </c:spPr>
          <c:marker>
            <c:symbol val="none"/>
          </c:marker>
          <c:cat>
            <c:numRef>
              <c:f>'Charts 6 Cars'!$A$2:$A$167</c:f>
              <c:numCache>
                <c:formatCode>mmm\-yy</c:formatCode>
                <c:ptCount val="166"/>
                <c:pt idx="0">
                  <c:v>40513</c:v>
                </c:pt>
                <c:pt idx="1">
                  <c:v>40544</c:v>
                </c:pt>
                <c:pt idx="2">
                  <c:v>40575</c:v>
                </c:pt>
                <c:pt idx="3">
                  <c:v>40603</c:v>
                </c:pt>
                <c:pt idx="4">
                  <c:v>40634</c:v>
                </c:pt>
                <c:pt idx="5">
                  <c:v>40664</c:v>
                </c:pt>
                <c:pt idx="6">
                  <c:v>40695</c:v>
                </c:pt>
                <c:pt idx="7">
                  <c:v>40725</c:v>
                </c:pt>
                <c:pt idx="8">
                  <c:v>40756</c:v>
                </c:pt>
                <c:pt idx="9">
                  <c:v>40787</c:v>
                </c:pt>
                <c:pt idx="10">
                  <c:v>40817</c:v>
                </c:pt>
                <c:pt idx="11">
                  <c:v>40848</c:v>
                </c:pt>
                <c:pt idx="12">
                  <c:v>40878</c:v>
                </c:pt>
                <c:pt idx="13">
                  <c:v>40909</c:v>
                </c:pt>
                <c:pt idx="14">
                  <c:v>40940</c:v>
                </c:pt>
                <c:pt idx="15">
                  <c:v>40969</c:v>
                </c:pt>
                <c:pt idx="16">
                  <c:v>41000</c:v>
                </c:pt>
                <c:pt idx="17">
                  <c:v>41030</c:v>
                </c:pt>
                <c:pt idx="18">
                  <c:v>41061</c:v>
                </c:pt>
                <c:pt idx="19">
                  <c:v>41091</c:v>
                </c:pt>
                <c:pt idx="20">
                  <c:v>41122</c:v>
                </c:pt>
                <c:pt idx="21">
                  <c:v>41153</c:v>
                </c:pt>
                <c:pt idx="22">
                  <c:v>41183</c:v>
                </c:pt>
                <c:pt idx="23">
                  <c:v>41214</c:v>
                </c:pt>
                <c:pt idx="24">
                  <c:v>41244</c:v>
                </c:pt>
                <c:pt idx="25">
                  <c:v>41275</c:v>
                </c:pt>
                <c:pt idx="26">
                  <c:v>41306</c:v>
                </c:pt>
                <c:pt idx="27">
                  <c:v>41334</c:v>
                </c:pt>
                <c:pt idx="28">
                  <c:v>41365</c:v>
                </c:pt>
                <c:pt idx="29">
                  <c:v>41395</c:v>
                </c:pt>
                <c:pt idx="30">
                  <c:v>41426</c:v>
                </c:pt>
                <c:pt idx="31">
                  <c:v>41456</c:v>
                </c:pt>
                <c:pt idx="32">
                  <c:v>41487</c:v>
                </c:pt>
                <c:pt idx="33">
                  <c:v>41518</c:v>
                </c:pt>
                <c:pt idx="34">
                  <c:v>41548</c:v>
                </c:pt>
                <c:pt idx="35">
                  <c:v>41579</c:v>
                </c:pt>
                <c:pt idx="36">
                  <c:v>41609</c:v>
                </c:pt>
                <c:pt idx="37">
                  <c:v>41640</c:v>
                </c:pt>
                <c:pt idx="38">
                  <c:v>41671</c:v>
                </c:pt>
                <c:pt idx="39">
                  <c:v>41699</c:v>
                </c:pt>
                <c:pt idx="40">
                  <c:v>41730</c:v>
                </c:pt>
                <c:pt idx="41">
                  <c:v>41760</c:v>
                </c:pt>
                <c:pt idx="42">
                  <c:v>41791</c:v>
                </c:pt>
                <c:pt idx="43">
                  <c:v>41821</c:v>
                </c:pt>
                <c:pt idx="44">
                  <c:v>41852</c:v>
                </c:pt>
                <c:pt idx="45">
                  <c:v>41883</c:v>
                </c:pt>
                <c:pt idx="46">
                  <c:v>41913</c:v>
                </c:pt>
                <c:pt idx="47">
                  <c:v>41944</c:v>
                </c:pt>
                <c:pt idx="48">
                  <c:v>41974</c:v>
                </c:pt>
                <c:pt idx="49">
                  <c:v>42005</c:v>
                </c:pt>
                <c:pt idx="50">
                  <c:v>42036</c:v>
                </c:pt>
                <c:pt idx="51">
                  <c:v>42064</c:v>
                </c:pt>
                <c:pt idx="52">
                  <c:v>42095</c:v>
                </c:pt>
                <c:pt idx="53">
                  <c:v>42125</c:v>
                </c:pt>
                <c:pt idx="54">
                  <c:v>42156</c:v>
                </c:pt>
                <c:pt idx="55">
                  <c:v>42186</c:v>
                </c:pt>
                <c:pt idx="56">
                  <c:v>42217</c:v>
                </c:pt>
                <c:pt idx="57">
                  <c:v>42248</c:v>
                </c:pt>
                <c:pt idx="58">
                  <c:v>42278</c:v>
                </c:pt>
                <c:pt idx="59">
                  <c:v>42309</c:v>
                </c:pt>
                <c:pt idx="60">
                  <c:v>42339</c:v>
                </c:pt>
                <c:pt idx="61">
                  <c:v>42370</c:v>
                </c:pt>
                <c:pt idx="62">
                  <c:v>42401</c:v>
                </c:pt>
                <c:pt idx="63">
                  <c:v>42430</c:v>
                </c:pt>
                <c:pt idx="64">
                  <c:v>42461</c:v>
                </c:pt>
                <c:pt idx="65">
                  <c:v>42491</c:v>
                </c:pt>
                <c:pt idx="66">
                  <c:v>42522</c:v>
                </c:pt>
                <c:pt idx="67">
                  <c:v>42552</c:v>
                </c:pt>
                <c:pt idx="68">
                  <c:v>42583</c:v>
                </c:pt>
                <c:pt idx="69">
                  <c:v>42614</c:v>
                </c:pt>
                <c:pt idx="70">
                  <c:v>42644</c:v>
                </c:pt>
                <c:pt idx="71">
                  <c:v>42675</c:v>
                </c:pt>
                <c:pt idx="72">
                  <c:v>42705</c:v>
                </c:pt>
                <c:pt idx="73">
                  <c:v>42736</c:v>
                </c:pt>
                <c:pt idx="74">
                  <c:v>42767</c:v>
                </c:pt>
                <c:pt idx="75">
                  <c:v>42795</c:v>
                </c:pt>
                <c:pt idx="76">
                  <c:v>42826</c:v>
                </c:pt>
                <c:pt idx="77">
                  <c:v>42856</c:v>
                </c:pt>
                <c:pt idx="78">
                  <c:v>42887</c:v>
                </c:pt>
                <c:pt idx="79">
                  <c:v>42917</c:v>
                </c:pt>
                <c:pt idx="80">
                  <c:v>42948</c:v>
                </c:pt>
                <c:pt idx="81">
                  <c:v>42979</c:v>
                </c:pt>
                <c:pt idx="82">
                  <c:v>43009</c:v>
                </c:pt>
                <c:pt idx="83">
                  <c:v>43040</c:v>
                </c:pt>
                <c:pt idx="84">
                  <c:v>43070</c:v>
                </c:pt>
                <c:pt idx="85">
                  <c:v>43101</c:v>
                </c:pt>
                <c:pt idx="86">
                  <c:v>43132</c:v>
                </c:pt>
                <c:pt idx="87">
                  <c:v>43160</c:v>
                </c:pt>
                <c:pt idx="88">
                  <c:v>43191</c:v>
                </c:pt>
                <c:pt idx="89">
                  <c:v>43221</c:v>
                </c:pt>
                <c:pt idx="90">
                  <c:v>43252</c:v>
                </c:pt>
                <c:pt idx="91">
                  <c:v>43282</c:v>
                </c:pt>
                <c:pt idx="92">
                  <c:v>43313</c:v>
                </c:pt>
                <c:pt idx="93">
                  <c:v>43344</c:v>
                </c:pt>
                <c:pt idx="94">
                  <c:v>43374</c:v>
                </c:pt>
                <c:pt idx="95">
                  <c:v>43405</c:v>
                </c:pt>
                <c:pt idx="96">
                  <c:v>43435</c:v>
                </c:pt>
                <c:pt idx="97">
                  <c:v>43466</c:v>
                </c:pt>
                <c:pt idx="98">
                  <c:v>43497</c:v>
                </c:pt>
                <c:pt idx="99">
                  <c:v>43525</c:v>
                </c:pt>
                <c:pt idx="100">
                  <c:v>43556</c:v>
                </c:pt>
                <c:pt idx="101">
                  <c:v>43586</c:v>
                </c:pt>
                <c:pt idx="102">
                  <c:v>43617</c:v>
                </c:pt>
                <c:pt idx="103">
                  <c:v>43647</c:v>
                </c:pt>
                <c:pt idx="104">
                  <c:v>43678</c:v>
                </c:pt>
                <c:pt idx="105">
                  <c:v>43709</c:v>
                </c:pt>
                <c:pt idx="106">
                  <c:v>43739</c:v>
                </c:pt>
                <c:pt idx="107">
                  <c:v>43770</c:v>
                </c:pt>
                <c:pt idx="108">
                  <c:v>43800</c:v>
                </c:pt>
                <c:pt idx="109">
                  <c:v>43831</c:v>
                </c:pt>
                <c:pt idx="110">
                  <c:v>43862</c:v>
                </c:pt>
                <c:pt idx="111">
                  <c:v>43891</c:v>
                </c:pt>
                <c:pt idx="112">
                  <c:v>43922</c:v>
                </c:pt>
                <c:pt idx="113">
                  <c:v>43952</c:v>
                </c:pt>
                <c:pt idx="114">
                  <c:v>43983</c:v>
                </c:pt>
                <c:pt idx="115">
                  <c:v>44013</c:v>
                </c:pt>
                <c:pt idx="116">
                  <c:v>44044</c:v>
                </c:pt>
                <c:pt idx="117">
                  <c:v>44075</c:v>
                </c:pt>
                <c:pt idx="118">
                  <c:v>44105</c:v>
                </c:pt>
                <c:pt idx="119">
                  <c:v>44136</c:v>
                </c:pt>
                <c:pt idx="120">
                  <c:v>44166</c:v>
                </c:pt>
                <c:pt idx="121">
                  <c:v>44197</c:v>
                </c:pt>
                <c:pt idx="122">
                  <c:v>44228</c:v>
                </c:pt>
                <c:pt idx="123">
                  <c:v>44256</c:v>
                </c:pt>
                <c:pt idx="124">
                  <c:v>44287</c:v>
                </c:pt>
                <c:pt idx="125">
                  <c:v>44317</c:v>
                </c:pt>
                <c:pt idx="126">
                  <c:v>44348</c:v>
                </c:pt>
                <c:pt idx="127">
                  <c:v>44378</c:v>
                </c:pt>
                <c:pt idx="128">
                  <c:v>44409</c:v>
                </c:pt>
                <c:pt idx="129">
                  <c:v>44440</c:v>
                </c:pt>
                <c:pt idx="130">
                  <c:v>44470</c:v>
                </c:pt>
                <c:pt idx="131">
                  <c:v>44501</c:v>
                </c:pt>
                <c:pt idx="132">
                  <c:v>44531</c:v>
                </c:pt>
                <c:pt idx="133">
                  <c:v>44562</c:v>
                </c:pt>
                <c:pt idx="134">
                  <c:v>44593</c:v>
                </c:pt>
                <c:pt idx="135">
                  <c:v>44621</c:v>
                </c:pt>
                <c:pt idx="136">
                  <c:v>44652</c:v>
                </c:pt>
                <c:pt idx="137">
                  <c:v>44682</c:v>
                </c:pt>
                <c:pt idx="138">
                  <c:v>44713</c:v>
                </c:pt>
                <c:pt idx="139">
                  <c:v>44743</c:v>
                </c:pt>
                <c:pt idx="140">
                  <c:v>44774</c:v>
                </c:pt>
                <c:pt idx="141">
                  <c:v>44805</c:v>
                </c:pt>
                <c:pt idx="142">
                  <c:v>44835</c:v>
                </c:pt>
                <c:pt idx="143">
                  <c:v>44866</c:v>
                </c:pt>
                <c:pt idx="144">
                  <c:v>44896</c:v>
                </c:pt>
                <c:pt idx="145">
                  <c:v>44927</c:v>
                </c:pt>
                <c:pt idx="146">
                  <c:v>44958</c:v>
                </c:pt>
                <c:pt idx="147">
                  <c:v>44986</c:v>
                </c:pt>
                <c:pt idx="148">
                  <c:v>45017</c:v>
                </c:pt>
                <c:pt idx="149">
                  <c:v>45047</c:v>
                </c:pt>
                <c:pt idx="150">
                  <c:v>45078</c:v>
                </c:pt>
                <c:pt idx="151">
                  <c:v>45108</c:v>
                </c:pt>
                <c:pt idx="152">
                  <c:v>45139</c:v>
                </c:pt>
                <c:pt idx="153">
                  <c:v>45170</c:v>
                </c:pt>
                <c:pt idx="154">
                  <c:v>45200</c:v>
                </c:pt>
                <c:pt idx="155">
                  <c:v>45231</c:v>
                </c:pt>
                <c:pt idx="156">
                  <c:v>45261</c:v>
                </c:pt>
                <c:pt idx="157">
                  <c:v>45292</c:v>
                </c:pt>
                <c:pt idx="158">
                  <c:v>45323</c:v>
                </c:pt>
                <c:pt idx="159">
                  <c:v>45352</c:v>
                </c:pt>
                <c:pt idx="160">
                  <c:v>45383</c:v>
                </c:pt>
                <c:pt idx="161">
                  <c:v>45413</c:v>
                </c:pt>
                <c:pt idx="162">
                  <c:v>45444</c:v>
                </c:pt>
                <c:pt idx="163">
                  <c:v>45474</c:v>
                </c:pt>
                <c:pt idx="164">
                  <c:v>45505</c:v>
                </c:pt>
                <c:pt idx="165">
                  <c:v>45536</c:v>
                </c:pt>
              </c:numCache>
            </c:numRef>
          </c:cat>
          <c:val>
            <c:numRef>
              <c:f>'Charts 6 Cars'!$B$2:$B$167</c:f>
              <c:numCache>
                <c:formatCode>#,##0.00</c:formatCode>
                <c:ptCount val="166"/>
                <c:pt idx="0">
                  <c:v>3.8944709999999998</c:v>
                </c:pt>
                <c:pt idx="1">
                  <c:v>3.9249399999999999</c:v>
                </c:pt>
                <c:pt idx="2">
                  <c:v>3.9790570000000001</c:v>
                </c:pt>
                <c:pt idx="3">
                  <c:v>4.0175359999999998</c:v>
                </c:pt>
                <c:pt idx="4">
                  <c:v>4.0410300000000001</c:v>
                </c:pt>
                <c:pt idx="5">
                  <c:v>4.1241539999999999</c:v>
                </c:pt>
                <c:pt idx="6">
                  <c:v>4.0971890000000002</c:v>
                </c:pt>
                <c:pt idx="7">
                  <c:v>4.1426530000000001</c:v>
                </c:pt>
                <c:pt idx="8">
                  <c:v>4.1857239999999996</c:v>
                </c:pt>
                <c:pt idx="9">
                  <c:v>4.2051319999999999</c:v>
                </c:pt>
                <c:pt idx="10">
                  <c:v>4.2217549999999999</c:v>
                </c:pt>
                <c:pt idx="11">
                  <c:v>4.2354669999999999</c:v>
                </c:pt>
                <c:pt idx="12">
                  <c:v>4.2370070000000002</c:v>
                </c:pt>
                <c:pt idx="13">
                  <c:v>4.2696290000000001</c:v>
                </c:pt>
                <c:pt idx="14">
                  <c:v>4.2864950000000004</c:v>
                </c:pt>
                <c:pt idx="15">
                  <c:v>4.2686970000000004</c:v>
                </c:pt>
                <c:pt idx="16">
                  <c:v>4.2605880000000003</c:v>
                </c:pt>
                <c:pt idx="17">
                  <c:v>4.1965219999999999</c:v>
                </c:pt>
                <c:pt idx="18">
                  <c:v>4.2131340000000002</c:v>
                </c:pt>
                <c:pt idx="19">
                  <c:v>4.2314930000000004</c:v>
                </c:pt>
                <c:pt idx="20">
                  <c:v>4.2248650000000003</c:v>
                </c:pt>
                <c:pt idx="21">
                  <c:v>4.1676609999999998</c:v>
                </c:pt>
                <c:pt idx="22">
                  <c:v>4.1708869999999996</c:v>
                </c:pt>
                <c:pt idx="23">
                  <c:v>4.1342999999999996</c:v>
                </c:pt>
                <c:pt idx="24">
                  <c:v>4.0951639999999996</c:v>
                </c:pt>
                <c:pt idx="25">
                  <c:v>4.0851160000000002</c:v>
                </c:pt>
                <c:pt idx="26">
                  <c:v>4.0631620000000002</c:v>
                </c:pt>
                <c:pt idx="27">
                  <c:v>4.0226139999999999</c:v>
                </c:pt>
                <c:pt idx="28">
                  <c:v>4.0602919999999996</c:v>
                </c:pt>
                <c:pt idx="29">
                  <c:v>4.035183</c:v>
                </c:pt>
                <c:pt idx="30">
                  <c:v>4.0326510000000004</c:v>
                </c:pt>
                <c:pt idx="31">
                  <c:v>4.026211</c:v>
                </c:pt>
                <c:pt idx="32">
                  <c:v>4.0250310000000002</c:v>
                </c:pt>
                <c:pt idx="33">
                  <c:v>4.0695309999999996</c:v>
                </c:pt>
                <c:pt idx="34">
                  <c:v>4.0702910000000001</c:v>
                </c:pt>
                <c:pt idx="35">
                  <c:v>4.0912449999999998</c:v>
                </c:pt>
                <c:pt idx="36">
                  <c:v>4.1064290000000003</c:v>
                </c:pt>
                <c:pt idx="37">
                  <c:v>4.125502</c:v>
                </c:pt>
                <c:pt idx="38">
                  <c:v>4.1526870000000002</c:v>
                </c:pt>
                <c:pt idx="39">
                  <c:v>4.1716439999999997</c:v>
                </c:pt>
                <c:pt idx="40">
                  <c:v>4.1896240000000002</c:v>
                </c:pt>
                <c:pt idx="41">
                  <c:v>4.2395120000000004</c:v>
                </c:pt>
                <c:pt idx="42">
                  <c:v>4.2425069999999998</c:v>
                </c:pt>
                <c:pt idx="43">
                  <c:v>4.3103420000000003</c:v>
                </c:pt>
                <c:pt idx="44">
                  <c:v>4.260281</c:v>
                </c:pt>
                <c:pt idx="45">
                  <c:v>4.2750680000000001</c:v>
                </c:pt>
                <c:pt idx="46">
                  <c:v>4.2966660000000001</c:v>
                </c:pt>
                <c:pt idx="47">
                  <c:v>4.3119059999999996</c:v>
                </c:pt>
                <c:pt idx="48">
                  <c:v>4.3421570000000003</c:v>
                </c:pt>
                <c:pt idx="49">
                  <c:v>4.3425890000000003</c:v>
                </c:pt>
                <c:pt idx="50">
                  <c:v>4.35426</c:v>
                </c:pt>
                <c:pt idx="51">
                  <c:v>4.4138659999999996</c:v>
                </c:pt>
                <c:pt idx="52">
                  <c:v>4.4028460000000003</c:v>
                </c:pt>
                <c:pt idx="53">
                  <c:v>4.3917479999999998</c:v>
                </c:pt>
                <c:pt idx="54">
                  <c:v>4.4631769999999999</c:v>
                </c:pt>
                <c:pt idx="55">
                  <c:v>4.4907170000000001</c:v>
                </c:pt>
                <c:pt idx="56">
                  <c:v>4.5251939999999999</c:v>
                </c:pt>
                <c:pt idx="57">
                  <c:v>4.5701559999999999</c:v>
                </c:pt>
                <c:pt idx="58">
                  <c:v>4.6064309999999997</c:v>
                </c:pt>
                <c:pt idx="59">
                  <c:v>4.642512</c:v>
                </c:pt>
                <c:pt idx="60">
                  <c:v>4.6310960000000003</c:v>
                </c:pt>
                <c:pt idx="61">
                  <c:v>4.6196190000000001</c:v>
                </c:pt>
                <c:pt idx="62">
                  <c:v>4.6462159999999999</c:v>
                </c:pt>
                <c:pt idx="63">
                  <c:v>4.6253039999999999</c:v>
                </c:pt>
                <c:pt idx="64">
                  <c:v>4.6931510000000003</c:v>
                </c:pt>
                <c:pt idx="65">
                  <c:v>4.7110079999999996</c:v>
                </c:pt>
                <c:pt idx="66">
                  <c:v>4.7376659999999999</c:v>
                </c:pt>
                <c:pt idx="67">
                  <c:v>4.6565209999999997</c:v>
                </c:pt>
                <c:pt idx="68">
                  <c:v>4.7250389999999998</c:v>
                </c:pt>
                <c:pt idx="69">
                  <c:v>4.7138350000000004</c:v>
                </c:pt>
                <c:pt idx="70">
                  <c:v>4.6726479999999997</c:v>
                </c:pt>
                <c:pt idx="71">
                  <c:v>4.7032150000000001</c:v>
                </c:pt>
                <c:pt idx="72">
                  <c:v>4.719284</c:v>
                </c:pt>
                <c:pt idx="73">
                  <c:v>4.7540810000000002</c:v>
                </c:pt>
                <c:pt idx="74">
                  <c:v>4.7214309999999999</c:v>
                </c:pt>
                <c:pt idx="75">
                  <c:v>4.7713549999999998</c:v>
                </c:pt>
                <c:pt idx="76">
                  <c:v>4.6970510000000001</c:v>
                </c:pt>
                <c:pt idx="77">
                  <c:v>4.7372439999999996</c:v>
                </c:pt>
                <c:pt idx="78">
                  <c:v>4.6746889999999999</c:v>
                </c:pt>
                <c:pt idx="79">
                  <c:v>4.6597670000000004</c:v>
                </c:pt>
                <c:pt idx="80">
                  <c:v>4.6915019999999998</c:v>
                </c:pt>
                <c:pt idx="81">
                  <c:v>4.6776309999999999</c:v>
                </c:pt>
                <c:pt idx="82">
                  <c:v>4.6948309999999998</c:v>
                </c:pt>
                <c:pt idx="83">
                  <c:v>4.6914379999999998</c:v>
                </c:pt>
                <c:pt idx="84">
                  <c:v>4.6973479999999999</c:v>
                </c:pt>
                <c:pt idx="85">
                  <c:v>4.7113009999999997</c:v>
                </c:pt>
                <c:pt idx="86">
                  <c:v>4.6932029999999996</c:v>
                </c:pt>
                <c:pt idx="87">
                  <c:v>4.6485760000000003</c:v>
                </c:pt>
                <c:pt idx="88">
                  <c:v>4.6886710000000003</c:v>
                </c:pt>
                <c:pt idx="89">
                  <c:v>4.6462130000000004</c:v>
                </c:pt>
                <c:pt idx="90">
                  <c:v>4.6558919999999997</c:v>
                </c:pt>
                <c:pt idx="91">
                  <c:v>4.6511420000000001</c:v>
                </c:pt>
                <c:pt idx="92">
                  <c:v>4.5349519999999997</c:v>
                </c:pt>
                <c:pt idx="93">
                  <c:v>4.446974</c:v>
                </c:pt>
                <c:pt idx="94">
                  <c:v>4.3974900000000003</c:v>
                </c:pt>
                <c:pt idx="95">
                  <c:v>4.3003650000000002</c:v>
                </c:pt>
                <c:pt idx="96">
                  <c:v>4.230823</c:v>
                </c:pt>
                <c:pt idx="97">
                  <c:v>4.1759139999999997</c:v>
                </c:pt>
                <c:pt idx="98">
                  <c:v>4.1598459999999999</c:v>
                </c:pt>
                <c:pt idx="99">
                  <c:v>4.0934679999999997</c:v>
                </c:pt>
                <c:pt idx="100">
                  <c:v>4.0208880000000002</c:v>
                </c:pt>
                <c:pt idx="101">
                  <c:v>4.0052390000000004</c:v>
                </c:pt>
                <c:pt idx="102">
                  <c:v>3.915162</c:v>
                </c:pt>
                <c:pt idx="103">
                  <c:v>3.9013529999999998</c:v>
                </c:pt>
                <c:pt idx="104">
                  <c:v>3.8926569999999998</c:v>
                </c:pt>
                <c:pt idx="105">
                  <c:v>3.9067069999999999</c:v>
                </c:pt>
                <c:pt idx="106">
                  <c:v>3.8978470000000001</c:v>
                </c:pt>
                <c:pt idx="107">
                  <c:v>3.8733680000000001</c:v>
                </c:pt>
                <c:pt idx="108">
                  <c:v>3.8650720000000001</c:v>
                </c:pt>
                <c:pt idx="109">
                  <c:v>3.8263389999999999</c:v>
                </c:pt>
                <c:pt idx="110">
                  <c:v>3.7757710000000002</c:v>
                </c:pt>
                <c:pt idx="111">
                  <c:v>3.6905329999999998</c:v>
                </c:pt>
                <c:pt idx="112">
                  <c:v>3.3905449999999999</c:v>
                </c:pt>
                <c:pt idx="113">
                  <c:v>3.146944</c:v>
                </c:pt>
                <c:pt idx="114">
                  <c:v>3.0852309999999998</c:v>
                </c:pt>
                <c:pt idx="115">
                  <c:v>3.0246209999999998</c:v>
                </c:pt>
                <c:pt idx="116">
                  <c:v>2.9753850000000002</c:v>
                </c:pt>
                <c:pt idx="117">
                  <c:v>2.9524330000000001</c:v>
                </c:pt>
                <c:pt idx="118">
                  <c:v>2.9758100000000001</c:v>
                </c:pt>
                <c:pt idx="119">
                  <c:v>2.9823550000000001</c:v>
                </c:pt>
                <c:pt idx="120">
                  <c:v>3.0046930000000001</c:v>
                </c:pt>
                <c:pt idx="121">
                  <c:v>2.9330280000000002</c:v>
                </c:pt>
                <c:pt idx="122">
                  <c:v>2.9020079999999999</c:v>
                </c:pt>
                <c:pt idx="123">
                  <c:v>2.97634</c:v>
                </c:pt>
                <c:pt idx="124">
                  <c:v>3.2138279999999999</c:v>
                </c:pt>
                <c:pt idx="125">
                  <c:v>3.3141379999999998</c:v>
                </c:pt>
                <c:pt idx="126">
                  <c:v>3.3076400000000001</c:v>
                </c:pt>
                <c:pt idx="127">
                  <c:v>3.2586200000000001</c:v>
                </c:pt>
                <c:pt idx="128">
                  <c:v>3.1779809999999999</c:v>
                </c:pt>
                <c:pt idx="129">
                  <c:v>3.0561020000000001</c:v>
                </c:pt>
                <c:pt idx="130">
                  <c:v>2.9297939999999998</c:v>
                </c:pt>
                <c:pt idx="131">
                  <c:v>2.8576589999999999</c:v>
                </c:pt>
                <c:pt idx="132">
                  <c:v>2.8001239999999998</c:v>
                </c:pt>
                <c:pt idx="133">
                  <c:v>2.8024979999999999</c:v>
                </c:pt>
                <c:pt idx="134">
                  <c:v>2.7966630000000001</c:v>
                </c:pt>
                <c:pt idx="135">
                  <c:v>2.6874799999999999</c:v>
                </c:pt>
                <c:pt idx="136">
                  <c:v>2.6420379999999999</c:v>
                </c:pt>
                <c:pt idx="137">
                  <c:v>2.7096589999999998</c:v>
                </c:pt>
                <c:pt idx="138">
                  <c:v>2.7625700000000002</c:v>
                </c:pt>
                <c:pt idx="139">
                  <c:v>2.7776640000000001</c:v>
                </c:pt>
                <c:pt idx="140">
                  <c:v>2.865583</c:v>
                </c:pt>
                <c:pt idx="141">
                  <c:v>2.9772400000000001</c:v>
                </c:pt>
                <c:pt idx="142">
                  <c:v>3.015463</c:v>
                </c:pt>
                <c:pt idx="143">
                  <c:v>3.0639780000000001</c:v>
                </c:pt>
                <c:pt idx="144">
                  <c:v>3.103008</c:v>
                </c:pt>
                <c:pt idx="145">
                  <c:v>3.1444359999999998</c:v>
                </c:pt>
                <c:pt idx="146">
                  <c:v>3.1898580000000001</c:v>
                </c:pt>
                <c:pt idx="147">
                  <c:v>3.2753869999999998</c:v>
                </c:pt>
                <c:pt idx="148">
                  <c:v>3.3246310000000001</c:v>
                </c:pt>
                <c:pt idx="149">
                  <c:v>3.3586670000000001</c:v>
                </c:pt>
                <c:pt idx="150">
                  <c:v>3.391616</c:v>
                </c:pt>
                <c:pt idx="151">
                  <c:v>3.4235039999999999</c:v>
                </c:pt>
                <c:pt idx="152">
                  <c:v>3.4538989999999998</c:v>
                </c:pt>
                <c:pt idx="153">
                  <c:v>3.4330790000000002</c:v>
                </c:pt>
                <c:pt idx="154">
                  <c:v>3.4517039999999999</c:v>
                </c:pt>
                <c:pt idx="155">
                  <c:v>3.474332</c:v>
                </c:pt>
                <c:pt idx="156">
                  <c:v>3.4638089999999999</c:v>
                </c:pt>
                <c:pt idx="157">
                  <c:v>3.457179</c:v>
                </c:pt>
                <c:pt idx="158">
                  <c:v>3.4396209999999998</c:v>
                </c:pt>
                <c:pt idx="159">
                  <c:v>3.4279269999999999</c:v>
                </c:pt>
                <c:pt idx="160">
                  <c:v>3.465716</c:v>
                </c:pt>
                <c:pt idx="161">
                  <c:v>3.452766</c:v>
                </c:pt>
                <c:pt idx="162">
                  <c:v>3.4254790000000002</c:v>
                </c:pt>
                <c:pt idx="163">
                  <c:v>3.447263</c:v>
                </c:pt>
                <c:pt idx="164">
                  <c:v>3.489147</c:v>
                </c:pt>
                <c:pt idx="165">
                  <c:v>3.5149810000000001</c:v>
                </c:pt>
              </c:numCache>
            </c:numRef>
          </c:val>
          <c:smooth val="0"/>
          <c:extLst>
            <c:ext xmlns:c16="http://schemas.microsoft.com/office/drawing/2014/chart" uri="{C3380CC4-5D6E-409C-BE32-E72D297353CC}">
              <c16:uniqueId val="{00000000-0E3E-AF46-A5E2-E80BD2F83402}"/>
            </c:ext>
          </c:extLst>
        </c:ser>
        <c:ser>
          <c:idx val="1"/>
          <c:order val="1"/>
          <c:tx>
            <c:strRef>
              <c:f>'Charts 6 Cars'!$C$1</c:f>
              <c:strCache>
                <c:ptCount val="1"/>
                <c:pt idx="0">
                  <c:v>German imports (12m sum)</c:v>
                </c:pt>
              </c:strCache>
            </c:strRef>
          </c:tx>
          <c:spPr>
            <a:ln w="38100" cap="rnd">
              <a:solidFill>
                <a:schemeClr val="tx1"/>
              </a:solidFill>
              <a:prstDash val="sysDot"/>
              <a:round/>
            </a:ln>
            <a:effectLst/>
          </c:spPr>
          <c:marker>
            <c:symbol val="none"/>
          </c:marker>
          <c:cat>
            <c:numRef>
              <c:f>'Charts 6 Cars'!$A$2:$A$167</c:f>
              <c:numCache>
                <c:formatCode>mmm\-yy</c:formatCode>
                <c:ptCount val="166"/>
                <c:pt idx="0">
                  <c:v>40513</c:v>
                </c:pt>
                <c:pt idx="1">
                  <c:v>40544</c:v>
                </c:pt>
                <c:pt idx="2">
                  <c:v>40575</c:v>
                </c:pt>
                <c:pt idx="3">
                  <c:v>40603</c:v>
                </c:pt>
                <c:pt idx="4">
                  <c:v>40634</c:v>
                </c:pt>
                <c:pt idx="5">
                  <c:v>40664</c:v>
                </c:pt>
                <c:pt idx="6">
                  <c:v>40695</c:v>
                </c:pt>
                <c:pt idx="7">
                  <c:v>40725</c:v>
                </c:pt>
                <c:pt idx="8">
                  <c:v>40756</c:v>
                </c:pt>
                <c:pt idx="9">
                  <c:v>40787</c:v>
                </c:pt>
                <c:pt idx="10">
                  <c:v>40817</c:v>
                </c:pt>
                <c:pt idx="11">
                  <c:v>40848</c:v>
                </c:pt>
                <c:pt idx="12">
                  <c:v>40878</c:v>
                </c:pt>
                <c:pt idx="13">
                  <c:v>40909</c:v>
                </c:pt>
                <c:pt idx="14">
                  <c:v>40940</c:v>
                </c:pt>
                <c:pt idx="15">
                  <c:v>40969</c:v>
                </c:pt>
                <c:pt idx="16">
                  <c:v>41000</c:v>
                </c:pt>
                <c:pt idx="17">
                  <c:v>41030</c:v>
                </c:pt>
                <c:pt idx="18">
                  <c:v>41061</c:v>
                </c:pt>
                <c:pt idx="19">
                  <c:v>41091</c:v>
                </c:pt>
                <c:pt idx="20">
                  <c:v>41122</c:v>
                </c:pt>
                <c:pt idx="21">
                  <c:v>41153</c:v>
                </c:pt>
                <c:pt idx="22">
                  <c:v>41183</c:v>
                </c:pt>
                <c:pt idx="23">
                  <c:v>41214</c:v>
                </c:pt>
                <c:pt idx="24">
                  <c:v>41244</c:v>
                </c:pt>
                <c:pt idx="25">
                  <c:v>41275</c:v>
                </c:pt>
                <c:pt idx="26">
                  <c:v>41306</c:v>
                </c:pt>
                <c:pt idx="27">
                  <c:v>41334</c:v>
                </c:pt>
                <c:pt idx="28">
                  <c:v>41365</c:v>
                </c:pt>
                <c:pt idx="29">
                  <c:v>41395</c:v>
                </c:pt>
                <c:pt idx="30">
                  <c:v>41426</c:v>
                </c:pt>
                <c:pt idx="31">
                  <c:v>41456</c:v>
                </c:pt>
                <c:pt idx="32">
                  <c:v>41487</c:v>
                </c:pt>
                <c:pt idx="33">
                  <c:v>41518</c:v>
                </c:pt>
                <c:pt idx="34">
                  <c:v>41548</c:v>
                </c:pt>
                <c:pt idx="35">
                  <c:v>41579</c:v>
                </c:pt>
                <c:pt idx="36">
                  <c:v>41609</c:v>
                </c:pt>
                <c:pt idx="37">
                  <c:v>41640</c:v>
                </c:pt>
                <c:pt idx="38">
                  <c:v>41671</c:v>
                </c:pt>
                <c:pt idx="39">
                  <c:v>41699</c:v>
                </c:pt>
                <c:pt idx="40">
                  <c:v>41730</c:v>
                </c:pt>
                <c:pt idx="41">
                  <c:v>41760</c:v>
                </c:pt>
                <c:pt idx="42">
                  <c:v>41791</c:v>
                </c:pt>
                <c:pt idx="43">
                  <c:v>41821</c:v>
                </c:pt>
                <c:pt idx="44">
                  <c:v>41852</c:v>
                </c:pt>
                <c:pt idx="45">
                  <c:v>41883</c:v>
                </c:pt>
                <c:pt idx="46">
                  <c:v>41913</c:v>
                </c:pt>
                <c:pt idx="47">
                  <c:v>41944</c:v>
                </c:pt>
                <c:pt idx="48">
                  <c:v>41974</c:v>
                </c:pt>
                <c:pt idx="49">
                  <c:v>42005</c:v>
                </c:pt>
                <c:pt idx="50">
                  <c:v>42036</c:v>
                </c:pt>
                <c:pt idx="51">
                  <c:v>42064</c:v>
                </c:pt>
                <c:pt idx="52">
                  <c:v>42095</c:v>
                </c:pt>
                <c:pt idx="53">
                  <c:v>42125</c:v>
                </c:pt>
                <c:pt idx="54">
                  <c:v>42156</c:v>
                </c:pt>
                <c:pt idx="55">
                  <c:v>42186</c:v>
                </c:pt>
                <c:pt idx="56">
                  <c:v>42217</c:v>
                </c:pt>
                <c:pt idx="57">
                  <c:v>42248</c:v>
                </c:pt>
                <c:pt idx="58">
                  <c:v>42278</c:v>
                </c:pt>
                <c:pt idx="59">
                  <c:v>42309</c:v>
                </c:pt>
                <c:pt idx="60">
                  <c:v>42339</c:v>
                </c:pt>
                <c:pt idx="61">
                  <c:v>42370</c:v>
                </c:pt>
                <c:pt idx="62">
                  <c:v>42401</c:v>
                </c:pt>
                <c:pt idx="63">
                  <c:v>42430</c:v>
                </c:pt>
                <c:pt idx="64">
                  <c:v>42461</c:v>
                </c:pt>
                <c:pt idx="65">
                  <c:v>42491</c:v>
                </c:pt>
                <c:pt idx="66">
                  <c:v>42522</c:v>
                </c:pt>
                <c:pt idx="67">
                  <c:v>42552</c:v>
                </c:pt>
                <c:pt idx="68">
                  <c:v>42583</c:v>
                </c:pt>
                <c:pt idx="69">
                  <c:v>42614</c:v>
                </c:pt>
                <c:pt idx="70">
                  <c:v>42644</c:v>
                </c:pt>
                <c:pt idx="71">
                  <c:v>42675</c:v>
                </c:pt>
                <c:pt idx="72">
                  <c:v>42705</c:v>
                </c:pt>
                <c:pt idx="73">
                  <c:v>42736</c:v>
                </c:pt>
                <c:pt idx="74">
                  <c:v>42767</c:v>
                </c:pt>
                <c:pt idx="75">
                  <c:v>42795</c:v>
                </c:pt>
                <c:pt idx="76">
                  <c:v>42826</c:v>
                </c:pt>
                <c:pt idx="77">
                  <c:v>42856</c:v>
                </c:pt>
                <c:pt idx="78">
                  <c:v>42887</c:v>
                </c:pt>
                <c:pt idx="79">
                  <c:v>42917</c:v>
                </c:pt>
                <c:pt idx="80">
                  <c:v>42948</c:v>
                </c:pt>
                <c:pt idx="81">
                  <c:v>42979</c:v>
                </c:pt>
                <c:pt idx="82">
                  <c:v>43009</c:v>
                </c:pt>
                <c:pt idx="83">
                  <c:v>43040</c:v>
                </c:pt>
                <c:pt idx="84">
                  <c:v>43070</c:v>
                </c:pt>
                <c:pt idx="85">
                  <c:v>43101</c:v>
                </c:pt>
                <c:pt idx="86">
                  <c:v>43132</c:v>
                </c:pt>
                <c:pt idx="87">
                  <c:v>43160</c:v>
                </c:pt>
                <c:pt idx="88">
                  <c:v>43191</c:v>
                </c:pt>
                <c:pt idx="89">
                  <c:v>43221</c:v>
                </c:pt>
                <c:pt idx="90">
                  <c:v>43252</c:v>
                </c:pt>
                <c:pt idx="91">
                  <c:v>43282</c:v>
                </c:pt>
                <c:pt idx="92">
                  <c:v>43313</c:v>
                </c:pt>
                <c:pt idx="93">
                  <c:v>43344</c:v>
                </c:pt>
                <c:pt idx="94">
                  <c:v>43374</c:v>
                </c:pt>
                <c:pt idx="95">
                  <c:v>43405</c:v>
                </c:pt>
                <c:pt idx="96">
                  <c:v>43435</c:v>
                </c:pt>
                <c:pt idx="97">
                  <c:v>43466</c:v>
                </c:pt>
                <c:pt idx="98">
                  <c:v>43497</c:v>
                </c:pt>
                <c:pt idx="99">
                  <c:v>43525</c:v>
                </c:pt>
                <c:pt idx="100">
                  <c:v>43556</c:v>
                </c:pt>
                <c:pt idx="101">
                  <c:v>43586</c:v>
                </c:pt>
                <c:pt idx="102">
                  <c:v>43617</c:v>
                </c:pt>
                <c:pt idx="103">
                  <c:v>43647</c:v>
                </c:pt>
                <c:pt idx="104">
                  <c:v>43678</c:v>
                </c:pt>
                <c:pt idx="105">
                  <c:v>43709</c:v>
                </c:pt>
                <c:pt idx="106">
                  <c:v>43739</c:v>
                </c:pt>
                <c:pt idx="107">
                  <c:v>43770</c:v>
                </c:pt>
                <c:pt idx="108">
                  <c:v>43800</c:v>
                </c:pt>
                <c:pt idx="109">
                  <c:v>43831</c:v>
                </c:pt>
                <c:pt idx="110">
                  <c:v>43862</c:v>
                </c:pt>
                <c:pt idx="111">
                  <c:v>43891</c:v>
                </c:pt>
                <c:pt idx="112">
                  <c:v>43922</c:v>
                </c:pt>
                <c:pt idx="113">
                  <c:v>43952</c:v>
                </c:pt>
                <c:pt idx="114">
                  <c:v>43983</c:v>
                </c:pt>
                <c:pt idx="115">
                  <c:v>44013</c:v>
                </c:pt>
                <c:pt idx="116">
                  <c:v>44044</c:v>
                </c:pt>
                <c:pt idx="117">
                  <c:v>44075</c:v>
                </c:pt>
                <c:pt idx="118">
                  <c:v>44105</c:v>
                </c:pt>
                <c:pt idx="119">
                  <c:v>44136</c:v>
                </c:pt>
                <c:pt idx="120">
                  <c:v>44166</c:v>
                </c:pt>
                <c:pt idx="121">
                  <c:v>44197</c:v>
                </c:pt>
                <c:pt idx="122">
                  <c:v>44228</c:v>
                </c:pt>
                <c:pt idx="123">
                  <c:v>44256</c:v>
                </c:pt>
                <c:pt idx="124">
                  <c:v>44287</c:v>
                </c:pt>
                <c:pt idx="125">
                  <c:v>44317</c:v>
                </c:pt>
                <c:pt idx="126">
                  <c:v>44348</c:v>
                </c:pt>
                <c:pt idx="127">
                  <c:v>44378</c:v>
                </c:pt>
                <c:pt idx="128">
                  <c:v>44409</c:v>
                </c:pt>
                <c:pt idx="129">
                  <c:v>44440</c:v>
                </c:pt>
                <c:pt idx="130">
                  <c:v>44470</c:v>
                </c:pt>
                <c:pt idx="131">
                  <c:v>44501</c:v>
                </c:pt>
                <c:pt idx="132">
                  <c:v>44531</c:v>
                </c:pt>
                <c:pt idx="133">
                  <c:v>44562</c:v>
                </c:pt>
                <c:pt idx="134">
                  <c:v>44593</c:v>
                </c:pt>
                <c:pt idx="135">
                  <c:v>44621</c:v>
                </c:pt>
                <c:pt idx="136">
                  <c:v>44652</c:v>
                </c:pt>
                <c:pt idx="137">
                  <c:v>44682</c:v>
                </c:pt>
                <c:pt idx="138">
                  <c:v>44713</c:v>
                </c:pt>
                <c:pt idx="139">
                  <c:v>44743</c:v>
                </c:pt>
                <c:pt idx="140">
                  <c:v>44774</c:v>
                </c:pt>
                <c:pt idx="141">
                  <c:v>44805</c:v>
                </c:pt>
                <c:pt idx="142">
                  <c:v>44835</c:v>
                </c:pt>
                <c:pt idx="143">
                  <c:v>44866</c:v>
                </c:pt>
                <c:pt idx="144">
                  <c:v>44896</c:v>
                </c:pt>
                <c:pt idx="145">
                  <c:v>44927</c:v>
                </c:pt>
                <c:pt idx="146">
                  <c:v>44958</c:v>
                </c:pt>
                <c:pt idx="147">
                  <c:v>44986</c:v>
                </c:pt>
                <c:pt idx="148">
                  <c:v>45017</c:v>
                </c:pt>
                <c:pt idx="149">
                  <c:v>45047</c:v>
                </c:pt>
                <c:pt idx="150">
                  <c:v>45078</c:v>
                </c:pt>
                <c:pt idx="151">
                  <c:v>45108</c:v>
                </c:pt>
                <c:pt idx="152">
                  <c:v>45139</c:v>
                </c:pt>
                <c:pt idx="153">
                  <c:v>45170</c:v>
                </c:pt>
                <c:pt idx="154">
                  <c:v>45200</c:v>
                </c:pt>
                <c:pt idx="155">
                  <c:v>45231</c:v>
                </c:pt>
                <c:pt idx="156">
                  <c:v>45261</c:v>
                </c:pt>
                <c:pt idx="157">
                  <c:v>45292</c:v>
                </c:pt>
                <c:pt idx="158">
                  <c:v>45323</c:v>
                </c:pt>
                <c:pt idx="159">
                  <c:v>45352</c:v>
                </c:pt>
                <c:pt idx="160">
                  <c:v>45383</c:v>
                </c:pt>
                <c:pt idx="161">
                  <c:v>45413</c:v>
                </c:pt>
                <c:pt idx="162">
                  <c:v>45444</c:v>
                </c:pt>
                <c:pt idx="163">
                  <c:v>45474</c:v>
                </c:pt>
                <c:pt idx="164">
                  <c:v>45505</c:v>
                </c:pt>
                <c:pt idx="165">
                  <c:v>45536</c:v>
                </c:pt>
              </c:numCache>
            </c:numRef>
          </c:cat>
          <c:val>
            <c:numRef>
              <c:f>'Charts 6 Cars'!$C$2:$C$167</c:f>
              <c:numCache>
                <c:formatCode>#,##0.00</c:formatCode>
                <c:ptCount val="166"/>
                <c:pt idx="0">
                  <c:v>1.8525720000000001</c:v>
                </c:pt>
                <c:pt idx="1">
                  <c:v>1.8823939999999999</c:v>
                </c:pt>
                <c:pt idx="2">
                  <c:v>1.925222</c:v>
                </c:pt>
                <c:pt idx="3">
                  <c:v>1.974286</c:v>
                </c:pt>
                <c:pt idx="4">
                  <c:v>1.9841599999999999</c:v>
                </c:pt>
                <c:pt idx="5">
                  <c:v>2.016197</c:v>
                </c:pt>
                <c:pt idx="6">
                  <c:v>2.0345749999999998</c:v>
                </c:pt>
                <c:pt idx="7">
                  <c:v>2.054554</c:v>
                </c:pt>
                <c:pt idx="8">
                  <c:v>2.0467580000000001</c:v>
                </c:pt>
                <c:pt idx="9">
                  <c:v>2.0643150000000001</c:v>
                </c:pt>
                <c:pt idx="10">
                  <c:v>2.0668259999999998</c:v>
                </c:pt>
                <c:pt idx="11">
                  <c:v>2.070236</c:v>
                </c:pt>
                <c:pt idx="12">
                  <c:v>2.0666350000000002</c:v>
                </c:pt>
                <c:pt idx="13">
                  <c:v>2.0726460000000002</c:v>
                </c:pt>
                <c:pt idx="14">
                  <c:v>2.0898810000000001</c:v>
                </c:pt>
                <c:pt idx="15">
                  <c:v>2.0981320000000001</c:v>
                </c:pt>
                <c:pt idx="16">
                  <c:v>2.099907</c:v>
                </c:pt>
                <c:pt idx="17">
                  <c:v>2.0857839999999999</c:v>
                </c:pt>
                <c:pt idx="18">
                  <c:v>2.0908280000000001</c:v>
                </c:pt>
                <c:pt idx="19">
                  <c:v>2.0838109999999999</c:v>
                </c:pt>
                <c:pt idx="20">
                  <c:v>2.093162</c:v>
                </c:pt>
                <c:pt idx="21">
                  <c:v>2.072273</c:v>
                </c:pt>
                <c:pt idx="22">
                  <c:v>2.0700769999999999</c:v>
                </c:pt>
                <c:pt idx="23">
                  <c:v>2.0532469999999998</c:v>
                </c:pt>
                <c:pt idx="24">
                  <c:v>2.0322770000000001</c:v>
                </c:pt>
                <c:pt idx="25">
                  <c:v>2.0197400000000001</c:v>
                </c:pt>
                <c:pt idx="26">
                  <c:v>1.9893149999999999</c:v>
                </c:pt>
                <c:pt idx="27">
                  <c:v>1.9464140000000001</c:v>
                </c:pt>
                <c:pt idx="28">
                  <c:v>1.948051</c:v>
                </c:pt>
                <c:pt idx="29">
                  <c:v>1.9337139999999999</c:v>
                </c:pt>
                <c:pt idx="30">
                  <c:v>1.909851</c:v>
                </c:pt>
                <c:pt idx="31">
                  <c:v>1.8989579999999999</c:v>
                </c:pt>
                <c:pt idx="32">
                  <c:v>1.8775660000000001</c:v>
                </c:pt>
                <c:pt idx="33">
                  <c:v>1.870873</c:v>
                </c:pt>
                <c:pt idx="34">
                  <c:v>1.871319</c:v>
                </c:pt>
                <c:pt idx="35">
                  <c:v>1.868474</c:v>
                </c:pt>
                <c:pt idx="36">
                  <c:v>1.8816900000000001</c:v>
                </c:pt>
                <c:pt idx="37">
                  <c:v>1.8834569999999999</c:v>
                </c:pt>
                <c:pt idx="38">
                  <c:v>1.901689</c:v>
                </c:pt>
                <c:pt idx="39">
                  <c:v>1.917327</c:v>
                </c:pt>
                <c:pt idx="40">
                  <c:v>1.9278789999999999</c:v>
                </c:pt>
                <c:pt idx="41">
                  <c:v>1.9558310000000001</c:v>
                </c:pt>
                <c:pt idx="42">
                  <c:v>1.983703</c:v>
                </c:pt>
                <c:pt idx="43">
                  <c:v>2.0104060000000001</c:v>
                </c:pt>
                <c:pt idx="44">
                  <c:v>2.0296379999999998</c:v>
                </c:pt>
                <c:pt idx="45">
                  <c:v>2.0503670000000001</c:v>
                </c:pt>
                <c:pt idx="46">
                  <c:v>2.0717919999999999</c:v>
                </c:pt>
                <c:pt idx="47">
                  <c:v>2.0848900000000001</c:v>
                </c:pt>
                <c:pt idx="48">
                  <c:v>2.1160350000000001</c:v>
                </c:pt>
                <c:pt idx="49">
                  <c:v>2.1315569999999999</c:v>
                </c:pt>
                <c:pt idx="50">
                  <c:v>2.146531</c:v>
                </c:pt>
                <c:pt idx="51">
                  <c:v>2.1729059999999998</c:v>
                </c:pt>
                <c:pt idx="52">
                  <c:v>2.1730670000000001</c:v>
                </c:pt>
                <c:pt idx="53">
                  <c:v>2.1803490000000001</c:v>
                </c:pt>
                <c:pt idx="54">
                  <c:v>2.192529</c:v>
                </c:pt>
                <c:pt idx="55">
                  <c:v>2.2166459999999999</c:v>
                </c:pt>
                <c:pt idx="56">
                  <c:v>2.2250100000000002</c:v>
                </c:pt>
                <c:pt idx="57">
                  <c:v>2.2455430000000001</c:v>
                </c:pt>
                <c:pt idx="58">
                  <c:v>2.256561</c:v>
                </c:pt>
                <c:pt idx="59">
                  <c:v>2.2825129999999998</c:v>
                </c:pt>
                <c:pt idx="60">
                  <c:v>2.2918080000000001</c:v>
                </c:pt>
                <c:pt idx="61">
                  <c:v>2.2928959999999998</c:v>
                </c:pt>
                <c:pt idx="62">
                  <c:v>2.3146080000000002</c:v>
                </c:pt>
                <c:pt idx="63">
                  <c:v>2.3073790000000001</c:v>
                </c:pt>
                <c:pt idx="64">
                  <c:v>2.3417539999999999</c:v>
                </c:pt>
                <c:pt idx="65">
                  <c:v>2.3594780000000002</c:v>
                </c:pt>
                <c:pt idx="66">
                  <c:v>2.3823479999999999</c:v>
                </c:pt>
                <c:pt idx="67">
                  <c:v>2.3639320000000001</c:v>
                </c:pt>
                <c:pt idx="68">
                  <c:v>2.3976489999999999</c:v>
                </c:pt>
                <c:pt idx="69">
                  <c:v>2.4200620000000002</c:v>
                </c:pt>
                <c:pt idx="70">
                  <c:v>2.432992</c:v>
                </c:pt>
                <c:pt idx="71">
                  <c:v>2.4623810000000002</c:v>
                </c:pt>
                <c:pt idx="72">
                  <c:v>2.4731589999999999</c:v>
                </c:pt>
                <c:pt idx="73">
                  <c:v>2.5066169999999999</c:v>
                </c:pt>
                <c:pt idx="74">
                  <c:v>2.5192589999999999</c:v>
                </c:pt>
                <c:pt idx="75">
                  <c:v>2.5703580000000001</c:v>
                </c:pt>
                <c:pt idx="76">
                  <c:v>2.5856469999999998</c:v>
                </c:pt>
                <c:pt idx="77">
                  <c:v>2.6265930000000002</c:v>
                </c:pt>
                <c:pt idx="78">
                  <c:v>2.6341060000000001</c:v>
                </c:pt>
                <c:pt idx="79">
                  <c:v>2.6428790000000002</c:v>
                </c:pt>
                <c:pt idx="80">
                  <c:v>2.640692</c:v>
                </c:pt>
                <c:pt idx="81">
                  <c:v>2.6306259999999999</c:v>
                </c:pt>
                <c:pt idx="82">
                  <c:v>2.633222</c:v>
                </c:pt>
                <c:pt idx="83">
                  <c:v>2.645095</c:v>
                </c:pt>
                <c:pt idx="84">
                  <c:v>2.6468479999999999</c:v>
                </c:pt>
                <c:pt idx="85">
                  <c:v>2.661006</c:v>
                </c:pt>
                <c:pt idx="86">
                  <c:v>2.6584319999999999</c:v>
                </c:pt>
                <c:pt idx="87">
                  <c:v>2.6513789999999999</c:v>
                </c:pt>
                <c:pt idx="88">
                  <c:v>2.653435</c:v>
                </c:pt>
                <c:pt idx="89">
                  <c:v>2.6487579999999999</c:v>
                </c:pt>
                <c:pt idx="90">
                  <c:v>2.6848019999999999</c:v>
                </c:pt>
                <c:pt idx="91">
                  <c:v>2.6990829999999999</c:v>
                </c:pt>
                <c:pt idx="92">
                  <c:v>2.7070050000000001</c:v>
                </c:pt>
                <c:pt idx="93">
                  <c:v>2.7075710000000002</c:v>
                </c:pt>
                <c:pt idx="94">
                  <c:v>2.7321110000000002</c:v>
                </c:pt>
                <c:pt idx="95">
                  <c:v>2.7333500000000002</c:v>
                </c:pt>
                <c:pt idx="96">
                  <c:v>2.741428</c:v>
                </c:pt>
                <c:pt idx="97">
                  <c:v>2.7697949999999998</c:v>
                </c:pt>
                <c:pt idx="98">
                  <c:v>2.7898139999999998</c:v>
                </c:pt>
                <c:pt idx="99">
                  <c:v>2.8019829999999999</c:v>
                </c:pt>
                <c:pt idx="100">
                  <c:v>2.8266640000000001</c:v>
                </c:pt>
                <c:pt idx="101">
                  <c:v>2.857567</c:v>
                </c:pt>
                <c:pt idx="102">
                  <c:v>2.8641559999999999</c:v>
                </c:pt>
                <c:pt idx="103">
                  <c:v>2.8850699999999998</c:v>
                </c:pt>
                <c:pt idx="104">
                  <c:v>2.8963369999999999</c:v>
                </c:pt>
                <c:pt idx="105">
                  <c:v>2.9464359999999998</c:v>
                </c:pt>
                <c:pt idx="106">
                  <c:v>2.9679220000000002</c:v>
                </c:pt>
                <c:pt idx="107">
                  <c:v>2.9723660000000001</c:v>
                </c:pt>
                <c:pt idx="108">
                  <c:v>2.9974750000000001</c:v>
                </c:pt>
                <c:pt idx="109">
                  <c:v>2.9843120000000001</c:v>
                </c:pt>
                <c:pt idx="110">
                  <c:v>2.982748</c:v>
                </c:pt>
                <c:pt idx="111">
                  <c:v>2.9271289999999999</c:v>
                </c:pt>
                <c:pt idx="112">
                  <c:v>2.7354569999999998</c:v>
                </c:pt>
                <c:pt idx="113">
                  <c:v>2.5721970000000001</c:v>
                </c:pt>
                <c:pt idx="114">
                  <c:v>2.4966910000000002</c:v>
                </c:pt>
                <c:pt idx="115">
                  <c:v>2.4584519999999999</c:v>
                </c:pt>
                <c:pt idx="116">
                  <c:v>2.4892110000000001</c:v>
                </c:pt>
                <c:pt idx="117">
                  <c:v>2.484632</c:v>
                </c:pt>
                <c:pt idx="118">
                  <c:v>2.4736669999999998</c:v>
                </c:pt>
                <c:pt idx="119">
                  <c:v>2.490634</c:v>
                </c:pt>
                <c:pt idx="120">
                  <c:v>2.4789210000000002</c:v>
                </c:pt>
                <c:pt idx="121">
                  <c:v>2.439184</c:v>
                </c:pt>
                <c:pt idx="122">
                  <c:v>2.4091689999999999</c:v>
                </c:pt>
                <c:pt idx="123">
                  <c:v>2.4494820000000002</c:v>
                </c:pt>
                <c:pt idx="124">
                  <c:v>2.589661</c:v>
                </c:pt>
                <c:pt idx="125">
                  <c:v>2.6623109999999999</c:v>
                </c:pt>
                <c:pt idx="126">
                  <c:v>2.6621709999999998</c:v>
                </c:pt>
                <c:pt idx="127">
                  <c:v>2.6362269999999999</c:v>
                </c:pt>
                <c:pt idx="128">
                  <c:v>2.5316920000000001</c:v>
                </c:pt>
                <c:pt idx="129">
                  <c:v>2.4343650000000001</c:v>
                </c:pt>
                <c:pt idx="130">
                  <c:v>2.3588740000000001</c:v>
                </c:pt>
                <c:pt idx="131">
                  <c:v>2.308783</c:v>
                </c:pt>
                <c:pt idx="132">
                  <c:v>2.281876</c:v>
                </c:pt>
                <c:pt idx="133">
                  <c:v>2.2528609999999998</c:v>
                </c:pt>
                <c:pt idx="134">
                  <c:v>2.247449</c:v>
                </c:pt>
                <c:pt idx="135">
                  <c:v>2.1990850000000002</c:v>
                </c:pt>
                <c:pt idx="136">
                  <c:v>2.1654059999999999</c:v>
                </c:pt>
                <c:pt idx="137">
                  <c:v>2.1843590000000002</c:v>
                </c:pt>
                <c:pt idx="138">
                  <c:v>2.1826300000000001</c:v>
                </c:pt>
                <c:pt idx="139">
                  <c:v>2.17503</c:v>
                </c:pt>
                <c:pt idx="140">
                  <c:v>2.2157659999999999</c:v>
                </c:pt>
                <c:pt idx="141">
                  <c:v>2.260907</c:v>
                </c:pt>
                <c:pt idx="142">
                  <c:v>2.287811</c:v>
                </c:pt>
                <c:pt idx="143">
                  <c:v>2.3155399999999999</c:v>
                </c:pt>
                <c:pt idx="144">
                  <c:v>2.3182480000000001</c:v>
                </c:pt>
                <c:pt idx="145">
                  <c:v>2.3384849999999999</c:v>
                </c:pt>
                <c:pt idx="146">
                  <c:v>2.3485960000000001</c:v>
                </c:pt>
                <c:pt idx="147">
                  <c:v>2.3897659999999998</c:v>
                </c:pt>
                <c:pt idx="148">
                  <c:v>2.3958840000000001</c:v>
                </c:pt>
                <c:pt idx="149">
                  <c:v>2.4045749999999999</c:v>
                </c:pt>
                <c:pt idx="150">
                  <c:v>2.4322059999999999</c:v>
                </c:pt>
                <c:pt idx="151">
                  <c:v>2.4765579999999998</c:v>
                </c:pt>
                <c:pt idx="152">
                  <c:v>2.5126680000000001</c:v>
                </c:pt>
                <c:pt idx="153">
                  <c:v>2.503196</c:v>
                </c:pt>
                <c:pt idx="154">
                  <c:v>2.50406</c:v>
                </c:pt>
                <c:pt idx="155">
                  <c:v>2.4888189999999999</c:v>
                </c:pt>
                <c:pt idx="156">
                  <c:v>2.4603839999999999</c:v>
                </c:pt>
                <c:pt idx="157">
                  <c:v>2.4819770000000001</c:v>
                </c:pt>
                <c:pt idx="158">
                  <c:v>2.4687679999999999</c:v>
                </c:pt>
                <c:pt idx="159">
                  <c:v>2.4350290000000001</c:v>
                </c:pt>
                <c:pt idx="160">
                  <c:v>2.4556049999999998</c:v>
                </c:pt>
                <c:pt idx="161">
                  <c:v>2.4424830000000002</c:v>
                </c:pt>
                <c:pt idx="162">
                  <c:v>2.4030079999999998</c:v>
                </c:pt>
                <c:pt idx="163">
                  <c:v>2.3586049999999998</c:v>
                </c:pt>
                <c:pt idx="164">
                  <c:v>2.3211529999999998</c:v>
                </c:pt>
                <c:pt idx="165">
                  <c:v>2.2951269999999999</c:v>
                </c:pt>
              </c:numCache>
            </c:numRef>
          </c:val>
          <c:smooth val="0"/>
          <c:extLst>
            <c:ext xmlns:c16="http://schemas.microsoft.com/office/drawing/2014/chart" uri="{C3380CC4-5D6E-409C-BE32-E72D297353CC}">
              <c16:uniqueId val="{00000001-0E3E-AF46-A5E2-E80BD2F83402}"/>
            </c:ext>
          </c:extLst>
        </c:ser>
        <c:ser>
          <c:idx val="3"/>
          <c:order val="2"/>
          <c:tx>
            <c:strRef>
              <c:f>'Charts 6 Cars'!$D$1</c:f>
              <c:strCache>
                <c:ptCount val="1"/>
                <c:pt idx="0">
                  <c:v>China exports (12m sum)</c:v>
                </c:pt>
              </c:strCache>
            </c:strRef>
          </c:tx>
          <c:spPr>
            <a:ln w="28575" cap="rnd">
              <a:solidFill>
                <a:srgbClr val="FF0000"/>
              </a:solidFill>
              <a:round/>
            </a:ln>
            <a:effectLst/>
          </c:spPr>
          <c:marker>
            <c:symbol val="none"/>
          </c:marker>
          <c:cat>
            <c:numRef>
              <c:f>'Charts 6 Cars'!$A$2:$A$167</c:f>
              <c:numCache>
                <c:formatCode>mmm\-yy</c:formatCode>
                <c:ptCount val="166"/>
                <c:pt idx="0">
                  <c:v>40513</c:v>
                </c:pt>
                <c:pt idx="1">
                  <c:v>40544</c:v>
                </c:pt>
                <c:pt idx="2">
                  <c:v>40575</c:v>
                </c:pt>
                <c:pt idx="3">
                  <c:v>40603</c:v>
                </c:pt>
                <c:pt idx="4">
                  <c:v>40634</c:v>
                </c:pt>
                <c:pt idx="5">
                  <c:v>40664</c:v>
                </c:pt>
                <c:pt idx="6">
                  <c:v>40695</c:v>
                </c:pt>
                <c:pt idx="7">
                  <c:v>40725</c:v>
                </c:pt>
                <c:pt idx="8">
                  <c:v>40756</c:v>
                </c:pt>
                <c:pt idx="9">
                  <c:v>40787</c:v>
                </c:pt>
                <c:pt idx="10">
                  <c:v>40817</c:v>
                </c:pt>
                <c:pt idx="11">
                  <c:v>40848</c:v>
                </c:pt>
                <c:pt idx="12">
                  <c:v>40878</c:v>
                </c:pt>
                <c:pt idx="13">
                  <c:v>40909</c:v>
                </c:pt>
                <c:pt idx="14">
                  <c:v>40940</c:v>
                </c:pt>
                <c:pt idx="15">
                  <c:v>40969</c:v>
                </c:pt>
                <c:pt idx="16">
                  <c:v>41000</c:v>
                </c:pt>
                <c:pt idx="17">
                  <c:v>41030</c:v>
                </c:pt>
                <c:pt idx="18">
                  <c:v>41061</c:v>
                </c:pt>
                <c:pt idx="19">
                  <c:v>41091</c:v>
                </c:pt>
                <c:pt idx="20">
                  <c:v>41122</c:v>
                </c:pt>
                <c:pt idx="21">
                  <c:v>41153</c:v>
                </c:pt>
                <c:pt idx="22">
                  <c:v>41183</c:v>
                </c:pt>
                <c:pt idx="23">
                  <c:v>41214</c:v>
                </c:pt>
                <c:pt idx="24">
                  <c:v>41244</c:v>
                </c:pt>
                <c:pt idx="25">
                  <c:v>41275</c:v>
                </c:pt>
                <c:pt idx="26">
                  <c:v>41306</c:v>
                </c:pt>
                <c:pt idx="27">
                  <c:v>41334</c:v>
                </c:pt>
                <c:pt idx="28">
                  <c:v>41365</c:v>
                </c:pt>
                <c:pt idx="29">
                  <c:v>41395</c:v>
                </c:pt>
                <c:pt idx="30">
                  <c:v>41426</c:v>
                </c:pt>
                <c:pt idx="31">
                  <c:v>41456</c:v>
                </c:pt>
                <c:pt idx="32">
                  <c:v>41487</c:v>
                </c:pt>
                <c:pt idx="33">
                  <c:v>41518</c:v>
                </c:pt>
                <c:pt idx="34">
                  <c:v>41548</c:v>
                </c:pt>
                <c:pt idx="35">
                  <c:v>41579</c:v>
                </c:pt>
                <c:pt idx="36">
                  <c:v>41609</c:v>
                </c:pt>
                <c:pt idx="37">
                  <c:v>41640</c:v>
                </c:pt>
                <c:pt idx="38">
                  <c:v>41671</c:v>
                </c:pt>
                <c:pt idx="39">
                  <c:v>41699</c:v>
                </c:pt>
                <c:pt idx="40">
                  <c:v>41730</c:v>
                </c:pt>
                <c:pt idx="41">
                  <c:v>41760</c:v>
                </c:pt>
                <c:pt idx="42">
                  <c:v>41791</c:v>
                </c:pt>
                <c:pt idx="43">
                  <c:v>41821</c:v>
                </c:pt>
                <c:pt idx="44">
                  <c:v>41852</c:v>
                </c:pt>
                <c:pt idx="45">
                  <c:v>41883</c:v>
                </c:pt>
                <c:pt idx="46">
                  <c:v>41913</c:v>
                </c:pt>
                <c:pt idx="47">
                  <c:v>41944</c:v>
                </c:pt>
                <c:pt idx="48">
                  <c:v>41974</c:v>
                </c:pt>
                <c:pt idx="49">
                  <c:v>42005</c:v>
                </c:pt>
                <c:pt idx="50">
                  <c:v>42036</c:v>
                </c:pt>
                <c:pt idx="51">
                  <c:v>42064</c:v>
                </c:pt>
                <c:pt idx="52">
                  <c:v>42095</c:v>
                </c:pt>
                <c:pt idx="53">
                  <c:v>42125</c:v>
                </c:pt>
                <c:pt idx="54">
                  <c:v>42156</c:v>
                </c:pt>
                <c:pt idx="55">
                  <c:v>42186</c:v>
                </c:pt>
                <c:pt idx="56">
                  <c:v>42217</c:v>
                </c:pt>
                <c:pt idx="57">
                  <c:v>42248</c:v>
                </c:pt>
                <c:pt idx="58">
                  <c:v>42278</c:v>
                </c:pt>
                <c:pt idx="59">
                  <c:v>42309</c:v>
                </c:pt>
                <c:pt idx="60">
                  <c:v>42339</c:v>
                </c:pt>
                <c:pt idx="61">
                  <c:v>42370</c:v>
                </c:pt>
                <c:pt idx="62">
                  <c:v>42401</c:v>
                </c:pt>
                <c:pt idx="63">
                  <c:v>42430</c:v>
                </c:pt>
                <c:pt idx="64">
                  <c:v>42461</c:v>
                </c:pt>
                <c:pt idx="65">
                  <c:v>42491</c:v>
                </c:pt>
                <c:pt idx="66">
                  <c:v>42522</c:v>
                </c:pt>
                <c:pt idx="67">
                  <c:v>42552</c:v>
                </c:pt>
                <c:pt idx="68">
                  <c:v>42583</c:v>
                </c:pt>
                <c:pt idx="69">
                  <c:v>42614</c:v>
                </c:pt>
                <c:pt idx="70">
                  <c:v>42644</c:v>
                </c:pt>
                <c:pt idx="71">
                  <c:v>42675</c:v>
                </c:pt>
                <c:pt idx="72">
                  <c:v>42705</c:v>
                </c:pt>
                <c:pt idx="73">
                  <c:v>42736</c:v>
                </c:pt>
                <c:pt idx="74">
                  <c:v>42767</c:v>
                </c:pt>
                <c:pt idx="75">
                  <c:v>42795</c:v>
                </c:pt>
                <c:pt idx="76">
                  <c:v>42826</c:v>
                </c:pt>
                <c:pt idx="77">
                  <c:v>42856</c:v>
                </c:pt>
                <c:pt idx="78">
                  <c:v>42887</c:v>
                </c:pt>
                <c:pt idx="79">
                  <c:v>42917</c:v>
                </c:pt>
                <c:pt idx="80">
                  <c:v>42948</c:v>
                </c:pt>
                <c:pt idx="81">
                  <c:v>42979</c:v>
                </c:pt>
                <c:pt idx="82">
                  <c:v>43009</c:v>
                </c:pt>
                <c:pt idx="83">
                  <c:v>43040</c:v>
                </c:pt>
                <c:pt idx="84">
                  <c:v>43070</c:v>
                </c:pt>
                <c:pt idx="85">
                  <c:v>43101</c:v>
                </c:pt>
                <c:pt idx="86">
                  <c:v>43132</c:v>
                </c:pt>
                <c:pt idx="87">
                  <c:v>43160</c:v>
                </c:pt>
                <c:pt idx="88">
                  <c:v>43191</c:v>
                </c:pt>
                <c:pt idx="89">
                  <c:v>43221</c:v>
                </c:pt>
                <c:pt idx="90">
                  <c:v>43252</c:v>
                </c:pt>
                <c:pt idx="91">
                  <c:v>43282</c:v>
                </c:pt>
                <c:pt idx="92">
                  <c:v>43313</c:v>
                </c:pt>
                <c:pt idx="93">
                  <c:v>43344</c:v>
                </c:pt>
                <c:pt idx="94">
                  <c:v>43374</c:v>
                </c:pt>
                <c:pt idx="95">
                  <c:v>43405</c:v>
                </c:pt>
                <c:pt idx="96">
                  <c:v>43435</c:v>
                </c:pt>
                <c:pt idx="97">
                  <c:v>43466</c:v>
                </c:pt>
                <c:pt idx="98">
                  <c:v>43497</c:v>
                </c:pt>
                <c:pt idx="99">
                  <c:v>43525</c:v>
                </c:pt>
                <c:pt idx="100">
                  <c:v>43556</c:v>
                </c:pt>
                <c:pt idx="101">
                  <c:v>43586</c:v>
                </c:pt>
                <c:pt idx="102">
                  <c:v>43617</c:v>
                </c:pt>
                <c:pt idx="103">
                  <c:v>43647</c:v>
                </c:pt>
                <c:pt idx="104">
                  <c:v>43678</c:v>
                </c:pt>
                <c:pt idx="105">
                  <c:v>43709</c:v>
                </c:pt>
                <c:pt idx="106">
                  <c:v>43739</c:v>
                </c:pt>
                <c:pt idx="107">
                  <c:v>43770</c:v>
                </c:pt>
                <c:pt idx="108">
                  <c:v>43800</c:v>
                </c:pt>
                <c:pt idx="109">
                  <c:v>43831</c:v>
                </c:pt>
                <c:pt idx="110">
                  <c:v>43862</c:v>
                </c:pt>
                <c:pt idx="111">
                  <c:v>43891</c:v>
                </c:pt>
                <c:pt idx="112">
                  <c:v>43922</c:v>
                </c:pt>
                <c:pt idx="113">
                  <c:v>43952</c:v>
                </c:pt>
                <c:pt idx="114">
                  <c:v>43983</c:v>
                </c:pt>
                <c:pt idx="115">
                  <c:v>44013</c:v>
                </c:pt>
                <c:pt idx="116">
                  <c:v>44044</c:v>
                </c:pt>
                <c:pt idx="117">
                  <c:v>44075</c:v>
                </c:pt>
                <c:pt idx="118">
                  <c:v>44105</c:v>
                </c:pt>
                <c:pt idx="119">
                  <c:v>44136</c:v>
                </c:pt>
                <c:pt idx="120">
                  <c:v>44166</c:v>
                </c:pt>
                <c:pt idx="121">
                  <c:v>44197</c:v>
                </c:pt>
                <c:pt idx="122">
                  <c:v>44228</c:v>
                </c:pt>
                <c:pt idx="123">
                  <c:v>44256</c:v>
                </c:pt>
                <c:pt idx="124">
                  <c:v>44287</c:v>
                </c:pt>
                <c:pt idx="125">
                  <c:v>44317</c:v>
                </c:pt>
                <c:pt idx="126">
                  <c:v>44348</c:v>
                </c:pt>
                <c:pt idx="127">
                  <c:v>44378</c:v>
                </c:pt>
                <c:pt idx="128">
                  <c:v>44409</c:v>
                </c:pt>
                <c:pt idx="129">
                  <c:v>44440</c:v>
                </c:pt>
                <c:pt idx="130">
                  <c:v>44470</c:v>
                </c:pt>
                <c:pt idx="131">
                  <c:v>44501</c:v>
                </c:pt>
                <c:pt idx="132">
                  <c:v>44531</c:v>
                </c:pt>
                <c:pt idx="133">
                  <c:v>44562</c:v>
                </c:pt>
                <c:pt idx="134">
                  <c:v>44593</c:v>
                </c:pt>
                <c:pt idx="135">
                  <c:v>44621</c:v>
                </c:pt>
                <c:pt idx="136">
                  <c:v>44652</c:v>
                </c:pt>
                <c:pt idx="137">
                  <c:v>44682</c:v>
                </c:pt>
                <c:pt idx="138">
                  <c:v>44713</c:v>
                </c:pt>
                <c:pt idx="139">
                  <c:v>44743</c:v>
                </c:pt>
                <c:pt idx="140">
                  <c:v>44774</c:v>
                </c:pt>
                <c:pt idx="141">
                  <c:v>44805</c:v>
                </c:pt>
                <c:pt idx="142">
                  <c:v>44835</c:v>
                </c:pt>
                <c:pt idx="143">
                  <c:v>44866</c:v>
                </c:pt>
                <c:pt idx="144">
                  <c:v>44896</c:v>
                </c:pt>
                <c:pt idx="145">
                  <c:v>44927</c:v>
                </c:pt>
                <c:pt idx="146">
                  <c:v>44958</c:v>
                </c:pt>
                <c:pt idx="147">
                  <c:v>44986</c:v>
                </c:pt>
                <c:pt idx="148">
                  <c:v>45017</c:v>
                </c:pt>
                <c:pt idx="149">
                  <c:v>45047</c:v>
                </c:pt>
                <c:pt idx="150">
                  <c:v>45078</c:v>
                </c:pt>
                <c:pt idx="151">
                  <c:v>45108</c:v>
                </c:pt>
                <c:pt idx="152">
                  <c:v>45139</c:v>
                </c:pt>
                <c:pt idx="153">
                  <c:v>45170</c:v>
                </c:pt>
                <c:pt idx="154">
                  <c:v>45200</c:v>
                </c:pt>
                <c:pt idx="155">
                  <c:v>45231</c:v>
                </c:pt>
                <c:pt idx="156">
                  <c:v>45261</c:v>
                </c:pt>
                <c:pt idx="157">
                  <c:v>45292</c:v>
                </c:pt>
                <c:pt idx="158">
                  <c:v>45323</c:v>
                </c:pt>
                <c:pt idx="159">
                  <c:v>45352</c:v>
                </c:pt>
                <c:pt idx="160">
                  <c:v>45383</c:v>
                </c:pt>
                <c:pt idx="161">
                  <c:v>45413</c:v>
                </c:pt>
                <c:pt idx="162">
                  <c:v>45444</c:v>
                </c:pt>
                <c:pt idx="163">
                  <c:v>45474</c:v>
                </c:pt>
                <c:pt idx="164">
                  <c:v>45505</c:v>
                </c:pt>
                <c:pt idx="165">
                  <c:v>45536</c:v>
                </c:pt>
              </c:numCache>
            </c:numRef>
          </c:cat>
          <c:val>
            <c:numRef>
              <c:f>'Charts 6 Cars'!$D$2:$D$167</c:f>
              <c:numCache>
                <c:formatCode>0.00</c:formatCode>
                <c:ptCount val="166"/>
                <c:pt idx="0">
                  <c:v>0.64401012876311803</c:v>
                </c:pt>
                <c:pt idx="1">
                  <c:v>0.65076688783891345</c:v>
                </c:pt>
                <c:pt idx="2">
                  <c:v>0.63739583803282029</c:v>
                </c:pt>
                <c:pt idx="3">
                  <c:v>0.64386766041761934</c:v>
                </c:pt>
                <c:pt idx="4">
                  <c:v>0.66028716506630103</c:v>
                </c:pt>
                <c:pt idx="5">
                  <c:v>0.66680268861454051</c:v>
                </c:pt>
                <c:pt idx="6">
                  <c:v>0.69345312757201649</c:v>
                </c:pt>
                <c:pt idx="7">
                  <c:v>0.72958567901234572</c:v>
                </c:pt>
                <c:pt idx="8">
                  <c:v>0.75630925925925918</c:v>
                </c:pt>
                <c:pt idx="9">
                  <c:v>0.7829544444444444</c:v>
                </c:pt>
                <c:pt idx="10">
                  <c:v>0.8078533333333332</c:v>
                </c:pt>
                <c:pt idx="11">
                  <c:v>0.83640999999999999</c:v>
                </c:pt>
                <c:pt idx="12">
                  <c:v>0.85281999999999991</c:v>
                </c:pt>
                <c:pt idx="13">
                  <c:v>0.85233999999999988</c:v>
                </c:pt>
                <c:pt idx="14">
                  <c:v>0.85197999999999996</c:v>
                </c:pt>
                <c:pt idx="15">
                  <c:v>0.86185999999999985</c:v>
                </c:pt>
                <c:pt idx="16">
                  <c:v>0.87174999999999991</c:v>
                </c:pt>
                <c:pt idx="17">
                  <c:v>0.90160000000000007</c:v>
                </c:pt>
                <c:pt idx="18">
                  <c:v>0.90139000000000002</c:v>
                </c:pt>
                <c:pt idx="19">
                  <c:v>0.92132000000000003</c:v>
                </c:pt>
                <c:pt idx="20">
                  <c:v>0.95127000000000006</c:v>
                </c:pt>
                <c:pt idx="21">
                  <c:v>0.97127000000000008</c:v>
                </c:pt>
                <c:pt idx="22">
                  <c:v>0.97126999999999997</c:v>
                </c:pt>
                <c:pt idx="23">
                  <c:v>0.97131999999999996</c:v>
                </c:pt>
                <c:pt idx="24">
                  <c:v>0.98146999999999995</c:v>
                </c:pt>
                <c:pt idx="25">
                  <c:v>1.0016400000000001</c:v>
                </c:pt>
                <c:pt idx="26">
                  <c:v>1.02186</c:v>
                </c:pt>
                <c:pt idx="27">
                  <c:v>1.03207</c:v>
                </c:pt>
                <c:pt idx="28">
                  <c:v>1.0321</c:v>
                </c:pt>
                <c:pt idx="29">
                  <c:v>1.0225299999999999</c:v>
                </c:pt>
                <c:pt idx="30">
                  <c:v>1.0326799999999998</c:v>
                </c:pt>
                <c:pt idx="31">
                  <c:v>1.0027599999999999</c:v>
                </c:pt>
                <c:pt idx="32">
                  <c:v>0.96299999999999997</c:v>
                </c:pt>
                <c:pt idx="33">
                  <c:v>0.93337999999999999</c:v>
                </c:pt>
                <c:pt idx="34">
                  <c:v>0.92374000000000001</c:v>
                </c:pt>
                <c:pt idx="35">
                  <c:v>0.93430000000000002</c:v>
                </c:pt>
                <c:pt idx="36">
                  <c:v>0.92412000000000005</c:v>
                </c:pt>
                <c:pt idx="37">
                  <c:v>0.93079999999999996</c:v>
                </c:pt>
                <c:pt idx="38">
                  <c:v>0.91181999999999996</c:v>
                </c:pt>
                <c:pt idx="39">
                  <c:v>0.90237000000000001</c:v>
                </c:pt>
                <c:pt idx="40">
                  <c:v>0.89880000000000004</c:v>
                </c:pt>
                <c:pt idx="41">
                  <c:v>0.90197000000000005</c:v>
                </c:pt>
                <c:pt idx="42">
                  <c:v>0.88029000000000013</c:v>
                </c:pt>
                <c:pt idx="43">
                  <c:v>0.89005000000000012</c:v>
                </c:pt>
                <c:pt idx="44">
                  <c:v>0.88889000000000007</c:v>
                </c:pt>
                <c:pt idx="45">
                  <c:v>0.90544000000000013</c:v>
                </c:pt>
                <c:pt idx="46">
                  <c:v>0.90819000000000016</c:v>
                </c:pt>
                <c:pt idx="47">
                  <c:v>0.9018400000000002</c:v>
                </c:pt>
                <c:pt idx="48">
                  <c:v>0.91943000000000008</c:v>
                </c:pt>
                <c:pt idx="49">
                  <c:v>0.90428999999999993</c:v>
                </c:pt>
                <c:pt idx="50">
                  <c:v>0.92301999999999995</c:v>
                </c:pt>
                <c:pt idx="51">
                  <c:v>0.90217000000000003</c:v>
                </c:pt>
                <c:pt idx="52">
                  <c:v>0.88557999999999992</c:v>
                </c:pt>
                <c:pt idx="53">
                  <c:v>0.87188999999999994</c:v>
                </c:pt>
                <c:pt idx="54">
                  <c:v>0.86331000000000002</c:v>
                </c:pt>
                <c:pt idx="55">
                  <c:v>0.84333999999999987</c:v>
                </c:pt>
                <c:pt idx="56">
                  <c:v>0.83414999999999995</c:v>
                </c:pt>
                <c:pt idx="57">
                  <c:v>0.81706999999999996</c:v>
                </c:pt>
                <c:pt idx="58">
                  <c:v>0.79379999999999995</c:v>
                </c:pt>
                <c:pt idx="59">
                  <c:v>0.75944</c:v>
                </c:pt>
                <c:pt idx="60">
                  <c:v>0.72175999999999996</c:v>
                </c:pt>
                <c:pt idx="61">
                  <c:v>0.69</c:v>
                </c:pt>
                <c:pt idx="62">
                  <c:v>0.67</c:v>
                </c:pt>
                <c:pt idx="63">
                  <c:v>0.68</c:v>
                </c:pt>
                <c:pt idx="64">
                  <c:v>0.68</c:v>
                </c:pt>
                <c:pt idx="65">
                  <c:v>0.68</c:v>
                </c:pt>
                <c:pt idx="66">
                  <c:v>0.68</c:v>
                </c:pt>
                <c:pt idx="67">
                  <c:v>0.68</c:v>
                </c:pt>
                <c:pt idx="68">
                  <c:v>0.7</c:v>
                </c:pt>
                <c:pt idx="69">
                  <c:v>0.71</c:v>
                </c:pt>
                <c:pt idx="70">
                  <c:v>0.73</c:v>
                </c:pt>
                <c:pt idx="71">
                  <c:v>0.76</c:v>
                </c:pt>
                <c:pt idx="72">
                  <c:v>0.79</c:v>
                </c:pt>
                <c:pt idx="73">
                  <c:v>0.82</c:v>
                </c:pt>
                <c:pt idx="74">
                  <c:v>0.83</c:v>
                </c:pt>
                <c:pt idx="75">
                  <c:v>0.84</c:v>
                </c:pt>
                <c:pt idx="76">
                  <c:v>0.85</c:v>
                </c:pt>
                <c:pt idx="77">
                  <c:v>0.87</c:v>
                </c:pt>
                <c:pt idx="78">
                  <c:v>0.9</c:v>
                </c:pt>
                <c:pt idx="79">
                  <c:v>0.93</c:v>
                </c:pt>
                <c:pt idx="80">
                  <c:v>0.95</c:v>
                </c:pt>
                <c:pt idx="81">
                  <c:v>0.96</c:v>
                </c:pt>
                <c:pt idx="82">
                  <c:v>0.99</c:v>
                </c:pt>
                <c:pt idx="83">
                  <c:v>1.02</c:v>
                </c:pt>
                <c:pt idx="84">
                  <c:v>1.05</c:v>
                </c:pt>
                <c:pt idx="85">
                  <c:v>1.0580000000000001</c:v>
                </c:pt>
                <c:pt idx="86">
                  <c:v>1.0860000000000001</c:v>
                </c:pt>
                <c:pt idx="87">
                  <c:v>1.0900000000000001</c:v>
                </c:pt>
                <c:pt idx="88">
                  <c:v>1.127</c:v>
                </c:pt>
                <c:pt idx="89">
                  <c:v>1.1379999999999999</c:v>
                </c:pt>
                <c:pt idx="90">
                  <c:v>1.234</c:v>
                </c:pt>
                <c:pt idx="91">
                  <c:v>1.2370000000000001</c:v>
                </c:pt>
                <c:pt idx="92">
                  <c:v>1.2569999999999999</c:v>
                </c:pt>
                <c:pt idx="93">
                  <c:v>1.276</c:v>
                </c:pt>
                <c:pt idx="94">
                  <c:v>1.2749999999999999</c:v>
                </c:pt>
                <c:pt idx="95">
                  <c:v>1.25</c:v>
                </c:pt>
                <c:pt idx="96">
                  <c:v>1.3009999999999999</c:v>
                </c:pt>
                <c:pt idx="97">
                  <c:v>1.3140000000000001</c:v>
                </c:pt>
                <c:pt idx="98">
                  <c:v>1.294</c:v>
                </c:pt>
                <c:pt idx="99">
                  <c:v>1.32</c:v>
                </c:pt>
                <c:pt idx="100">
                  <c:v>1.302</c:v>
                </c:pt>
                <c:pt idx="101">
                  <c:v>1.3069999999999999</c:v>
                </c:pt>
                <c:pt idx="102">
                  <c:v>1.24</c:v>
                </c:pt>
                <c:pt idx="103">
                  <c:v>1.2609999999999999</c:v>
                </c:pt>
                <c:pt idx="104">
                  <c:v>1.2509999999999999</c:v>
                </c:pt>
                <c:pt idx="105">
                  <c:v>1.25</c:v>
                </c:pt>
                <c:pt idx="106">
                  <c:v>1.2490000000000001</c:v>
                </c:pt>
                <c:pt idx="107">
                  <c:v>1.2729999999999999</c:v>
                </c:pt>
                <c:pt idx="108">
                  <c:v>1.2210000000000001</c:v>
                </c:pt>
                <c:pt idx="109">
                  <c:v>1.23</c:v>
                </c:pt>
                <c:pt idx="110">
                  <c:v>1.222</c:v>
                </c:pt>
                <c:pt idx="111">
                  <c:v>1.1990000000000001</c:v>
                </c:pt>
                <c:pt idx="112">
                  <c:v>1.2010000000000001</c:v>
                </c:pt>
                <c:pt idx="113">
                  <c:v>1.153</c:v>
                </c:pt>
                <c:pt idx="114">
                  <c:v>1.097</c:v>
                </c:pt>
                <c:pt idx="115">
                  <c:v>1.0529999999999999</c:v>
                </c:pt>
                <c:pt idx="116">
                  <c:v>1.0329999999999999</c:v>
                </c:pt>
                <c:pt idx="117">
                  <c:v>1.0249999999999999</c:v>
                </c:pt>
                <c:pt idx="118">
                  <c:v>1.0469999999999999</c:v>
                </c:pt>
                <c:pt idx="119">
                  <c:v>1.0680000000000001</c:v>
                </c:pt>
                <c:pt idx="120">
                  <c:v>1.089</c:v>
                </c:pt>
                <c:pt idx="121">
                  <c:v>1.14636</c:v>
                </c:pt>
                <c:pt idx="122">
                  <c:v>1.2200000000000002</c:v>
                </c:pt>
                <c:pt idx="123">
                  <c:v>1.292</c:v>
                </c:pt>
                <c:pt idx="124">
                  <c:v>1.3560000000000001</c:v>
                </c:pt>
                <c:pt idx="125">
                  <c:v>1.466</c:v>
                </c:pt>
                <c:pt idx="126">
                  <c:v>1.593</c:v>
                </c:pt>
                <c:pt idx="127">
                  <c:v>1.6830000000000001</c:v>
                </c:pt>
                <c:pt idx="128">
                  <c:v>1.8029999999999999</c:v>
                </c:pt>
                <c:pt idx="129">
                  <c:v>1.877</c:v>
                </c:pt>
                <c:pt idx="130">
                  <c:v>1.9770000000000001</c:v>
                </c:pt>
                <c:pt idx="131">
                  <c:v>2.0670000000000002</c:v>
                </c:pt>
                <c:pt idx="132">
                  <c:v>2.1269999999999998</c:v>
                </c:pt>
                <c:pt idx="133">
                  <c:v>2.2384400000000002</c:v>
                </c:pt>
                <c:pt idx="134">
                  <c:v>2.3260000000000001</c:v>
                </c:pt>
                <c:pt idx="135">
                  <c:v>2.3769999999999998</c:v>
                </c:pt>
                <c:pt idx="136">
                  <c:v>2.3919999999999999</c:v>
                </c:pt>
                <c:pt idx="137">
                  <c:v>2.4510000000000001</c:v>
                </c:pt>
                <c:pt idx="138">
                  <c:v>2.5089999999999999</c:v>
                </c:pt>
                <c:pt idx="139">
                  <c:v>2.609</c:v>
                </c:pt>
                <c:pt idx="140">
                  <c:v>2.7069999999999999</c:v>
                </c:pt>
                <c:pt idx="141">
                  <c:v>2.891</c:v>
                </c:pt>
                <c:pt idx="142">
                  <c:v>3.0209999999999999</c:v>
                </c:pt>
                <c:pt idx="143">
                  <c:v>3.1709999999999998</c:v>
                </c:pt>
                <c:pt idx="144">
                  <c:v>3.319</c:v>
                </c:pt>
                <c:pt idx="145">
                  <c:v>3.4101999999999997</c:v>
                </c:pt>
                <c:pt idx="146">
                  <c:v>3.5190000000000001</c:v>
                </c:pt>
                <c:pt idx="147">
                  <c:v>3.706</c:v>
                </c:pt>
                <c:pt idx="148">
                  <c:v>3.956</c:v>
                </c:pt>
                <c:pt idx="149">
                  <c:v>4.1669999999999998</c:v>
                </c:pt>
                <c:pt idx="150">
                  <c:v>4.3289999999999997</c:v>
                </c:pt>
                <c:pt idx="151">
                  <c:v>4.4969999999999999</c:v>
                </c:pt>
                <c:pt idx="152">
                  <c:v>4.6269999999999998</c:v>
                </c:pt>
                <c:pt idx="153">
                  <c:v>4.7649999999999997</c:v>
                </c:pt>
                <c:pt idx="154">
                  <c:v>4.9420000000000002</c:v>
                </c:pt>
                <c:pt idx="155">
                  <c:v>5.0960000000000001</c:v>
                </c:pt>
                <c:pt idx="156">
                  <c:v>5.2169999999999996</c:v>
                </c:pt>
                <c:pt idx="157">
                  <c:v>5.2969999999999997</c:v>
                </c:pt>
                <c:pt idx="158">
                  <c:v>5.367</c:v>
                </c:pt>
                <c:pt idx="159">
                  <c:v>5.47</c:v>
                </c:pt>
                <c:pt idx="160">
                  <c:v>5.6059999999999999</c:v>
                </c:pt>
                <c:pt idx="161">
                  <c:v>5.7370000000000001</c:v>
                </c:pt>
                <c:pt idx="162">
                  <c:v>5.8129999999999997</c:v>
                </c:pt>
                <c:pt idx="163">
                  <c:v>5.9249999999999998</c:v>
                </c:pt>
                <c:pt idx="164">
                  <c:v>6.0970000000000004</c:v>
                </c:pt>
                <c:pt idx="165">
                  <c:v>6.2110000000000003</c:v>
                </c:pt>
              </c:numCache>
            </c:numRef>
          </c:val>
          <c:smooth val="0"/>
          <c:extLst>
            <c:ext xmlns:c16="http://schemas.microsoft.com/office/drawing/2014/chart" uri="{C3380CC4-5D6E-409C-BE32-E72D297353CC}">
              <c16:uniqueId val="{00000002-0E3E-AF46-A5E2-E80BD2F83402}"/>
            </c:ext>
          </c:extLst>
        </c:ser>
        <c:ser>
          <c:idx val="4"/>
          <c:order val="3"/>
          <c:tx>
            <c:strRef>
              <c:f>'Charts 6 Cars'!$E$1</c:f>
              <c:strCache>
                <c:ptCount val="1"/>
                <c:pt idx="0">
                  <c:v>China imports (12m sum)</c:v>
                </c:pt>
              </c:strCache>
            </c:strRef>
          </c:tx>
          <c:spPr>
            <a:ln w="28575" cap="rnd">
              <a:solidFill>
                <a:srgbClr val="FF0000"/>
              </a:solidFill>
              <a:prstDash val="sysDot"/>
              <a:round/>
            </a:ln>
            <a:effectLst/>
          </c:spPr>
          <c:marker>
            <c:symbol val="none"/>
          </c:marker>
          <c:cat>
            <c:numRef>
              <c:f>'Charts 6 Cars'!$A$2:$A$167</c:f>
              <c:numCache>
                <c:formatCode>mmm\-yy</c:formatCode>
                <c:ptCount val="166"/>
                <c:pt idx="0">
                  <c:v>40513</c:v>
                </c:pt>
                <c:pt idx="1">
                  <c:v>40544</c:v>
                </c:pt>
                <c:pt idx="2">
                  <c:v>40575</c:v>
                </c:pt>
                <c:pt idx="3">
                  <c:v>40603</c:v>
                </c:pt>
                <c:pt idx="4">
                  <c:v>40634</c:v>
                </c:pt>
                <c:pt idx="5">
                  <c:v>40664</c:v>
                </c:pt>
                <c:pt idx="6">
                  <c:v>40695</c:v>
                </c:pt>
                <c:pt idx="7">
                  <c:v>40725</c:v>
                </c:pt>
                <c:pt idx="8">
                  <c:v>40756</c:v>
                </c:pt>
                <c:pt idx="9">
                  <c:v>40787</c:v>
                </c:pt>
                <c:pt idx="10">
                  <c:v>40817</c:v>
                </c:pt>
                <c:pt idx="11">
                  <c:v>40848</c:v>
                </c:pt>
                <c:pt idx="12">
                  <c:v>40878</c:v>
                </c:pt>
                <c:pt idx="13">
                  <c:v>40909</c:v>
                </c:pt>
                <c:pt idx="14">
                  <c:v>40940</c:v>
                </c:pt>
                <c:pt idx="15">
                  <c:v>40969</c:v>
                </c:pt>
                <c:pt idx="16">
                  <c:v>41000</c:v>
                </c:pt>
                <c:pt idx="17">
                  <c:v>41030</c:v>
                </c:pt>
                <c:pt idx="18">
                  <c:v>41061</c:v>
                </c:pt>
                <c:pt idx="19">
                  <c:v>41091</c:v>
                </c:pt>
                <c:pt idx="20">
                  <c:v>41122</c:v>
                </c:pt>
                <c:pt idx="21">
                  <c:v>41153</c:v>
                </c:pt>
                <c:pt idx="22">
                  <c:v>41183</c:v>
                </c:pt>
                <c:pt idx="23">
                  <c:v>41214</c:v>
                </c:pt>
                <c:pt idx="24">
                  <c:v>41244</c:v>
                </c:pt>
                <c:pt idx="25">
                  <c:v>41275</c:v>
                </c:pt>
                <c:pt idx="26">
                  <c:v>41306</c:v>
                </c:pt>
                <c:pt idx="27">
                  <c:v>41334</c:v>
                </c:pt>
                <c:pt idx="28">
                  <c:v>41365</c:v>
                </c:pt>
                <c:pt idx="29">
                  <c:v>41395</c:v>
                </c:pt>
                <c:pt idx="30">
                  <c:v>41426</c:v>
                </c:pt>
                <c:pt idx="31">
                  <c:v>41456</c:v>
                </c:pt>
                <c:pt idx="32">
                  <c:v>41487</c:v>
                </c:pt>
                <c:pt idx="33">
                  <c:v>41518</c:v>
                </c:pt>
                <c:pt idx="34">
                  <c:v>41548</c:v>
                </c:pt>
                <c:pt idx="35">
                  <c:v>41579</c:v>
                </c:pt>
                <c:pt idx="36">
                  <c:v>41609</c:v>
                </c:pt>
                <c:pt idx="37">
                  <c:v>41640</c:v>
                </c:pt>
                <c:pt idx="38">
                  <c:v>41671</c:v>
                </c:pt>
                <c:pt idx="39">
                  <c:v>41699</c:v>
                </c:pt>
                <c:pt idx="40">
                  <c:v>41730</c:v>
                </c:pt>
                <c:pt idx="41">
                  <c:v>41760</c:v>
                </c:pt>
                <c:pt idx="42">
                  <c:v>41791</c:v>
                </c:pt>
                <c:pt idx="43">
                  <c:v>41821</c:v>
                </c:pt>
                <c:pt idx="44">
                  <c:v>41852</c:v>
                </c:pt>
                <c:pt idx="45">
                  <c:v>41883</c:v>
                </c:pt>
                <c:pt idx="46">
                  <c:v>41913</c:v>
                </c:pt>
                <c:pt idx="47">
                  <c:v>41944</c:v>
                </c:pt>
                <c:pt idx="48">
                  <c:v>41974</c:v>
                </c:pt>
                <c:pt idx="49">
                  <c:v>42005</c:v>
                </c:pt>
                <c:pt idx="50">
                  <c:v>42036</c:v>
                </c:pt>
                <c:pt idx="51">
                  <c:v>42064</c:v>
                </c:pt>
                <c:pt idx="52">
                  <c:v>42095</c:v>
                </c:pt>
                <c:pt idx="53">
                  <c:v>42125</c:v>
                </c:pt>
                <c:pt idx="54">
                  <c:v>42156</c:v>
                </c:pt>
                <c:pt idx="55">
                  <c:v>42186</c:v>
                </c:pt>
                <c:pt idx="56">
                  <c:v>42217</c:v>
                </c:pt>
                <c:pt idx="57">
                  <c:v>42248</c:v>
                </c:pt>
                <c:pt idx="58">
                  <c:v>42278</c:v>
                </c:pt>
                <c:pt idx="59">
                  <c:v>42309</c:v>
                </c:pt>
                <c:pt idx="60">
                  <c:v>42339</c:v>
                </c:pt>
                <c:pt idx="61">
                  <c:v>42370</c:v>
                </c:pt>
                <c:pt idx="62">
                  <c:v>42401</c:v>
                </c:pt>
                <c:pt idx="63">
                  <c:v>42430</c:v>
                </c:pt>
                <c:pt idx="64">
                  <c:v>42461</c:v>
                </c:pt>
                <c:pt idx="65">
                  <c:v>42491</c:v>
                </c:pt>
                <c:pt idx="66">
                  <c:v>42522</c:v>
                </c:pt>
                <c:pt idx="67">
                  <c:v>42552</c:v>
                </c:pt>
                <c:pt idx="68">
                  <c:v>42583</c:v>
                </c:pt>
                <c:pt idx="69">
                  <c:v>42614</c:v>
                </c:pt>
                <c:pt idx="70">
                  <c:v>42644</c:v>
                </c:pt>
                <c:pt idx="71">
                  <c:v>42675</c:v>
                </c:pt>
                <c:pt idx="72">
                  <c:v>42705</c:v>
                </c:pt>
                <c:pt idx="73">
                  <c:v>42736</c:v>
                </c:pt>
                <c:pt idx="74">
                  <c:v>42767</c:v>
                </c:pt>
                <c:pt idx="75">
                  <c:v>42795</c:v>
                </c:pt>
                <c:pt idx="76">
                  <c:v>42826</c:v>
                </c:pt>
                <c:pt idx="77">
                  <c:v>42856</c:v>
                </c:pt>
                <c:pt idx="78">
                  <c:v>42887</c:v>
                </c:pt>
                <c:pt idx="79">
                  <c:v>42917</c:v>
                </c:pt>
                <c:pt idx="80">
                  <c:v>42948</c:v>
                </c:pt>
                <c:pt idx="81">
                  <c:v>42979</c:v>
                </c:pt>
                <c:pt idx="82">
                  <c:v>43009</c:v>
                </c:pt>
                <c:pt idx="83">
                  <c:v>43040</c:v>
                </c:pt>
                <c:pt idx="84">
                  <c:v>43070</c:v>
                </c:pt>
                <c:pt idx="85">
                  <c:v>43101</c:v>
                </c:pt>
                <c:pt idx="86">
                  <c:v>43132</c:v>
                </c:pt>
                <c:pt idx="87">
                  <c:v>43160</c:v>
                </c:pt>
                <c:pt idx="88">
                  <c:v>43191</c:v>
                </c:pt>
                <c:pt idx="89">
                  <c:v>43221</c:v>
                </c:pt>
                <c:pt idx="90">
                  <c:v>43252</c:v>
                </c:pt>
                <c:pt idx="91">
                  <c:v>43282</c:v>
                </c:pt>
                <c:pt idx="92">
                  <c:v>43313</c:v>
                </c:pt>
                <c:pt idx="93">
                  <c:v>43344</c:v>
                </c:pt>
                <c:pt idx="94">
                  <c:v>43374</c:v>
                </c:pt>
                <c:pt idx="95">
                  <c:v>43405</c:v>
                </c:pt>
                <c:pt idx="96">
                  <c:v>43435</c:v>
                </c:pt>
                <c:pt idx="97">
                  <c:v>43466</c:v>
                </c:pt>
                <c:pt idx="98">
                  <c:v>43497</c:v>
                </c:pt>
                <c:pt idx="99">
                  <c:v>43525</c:v>
                </c:pt>
                <c:pt idx="100">
                  <c:v>43556</c:v>
                </c:pt>
                <c:pt idx="101">
                  <c:v>43586</c:v>
                </c:pt>
                <c:pt idx="102">
                  <c:v>43617</c:v>
                </c:pt>
                <c:pt idx="103">
                  <c:v>43647</c:v>
                </c:pt>
                <c:pt idx="104">
                  <c:v>43678</c:v>
                </c:pt>
                <c:pt idx="105">
                  <c:v>43709</c:v>
                </c:pt>
                <c:pt idx="106">
                  <c:v>43739</c:v>
                </c:pt>
                <c:pt idx="107">
                  <c:v>43770</c:v>
                </c:pt>
                <c:pt idx="108">
                  <c:v>43800</c:v>
                </c:pt>
                <c:pt idx="109">
                  <c:v>43831</c:v>
                </c:pt>
                <c:pt idx="110">
                  <c:v>43862</c:v>
                </c:pt>
                <c:pt idx="111">
                  <c:v>43891</c:v>
                </c:pt>
                <c:pt idx="112">
                  <c:v>43922</c:v>
                </c:pt>
                <c:pt idx="113">
                  <c:v>43952</c:v>
                </c:pt>
                <c:pt idx="114">
                  <c:v>43983</c:v>
                </c:pt>
                <c:pt idx="115">
                  <c:v>44013</c:v>
                </c:pt>
                <c:pt idx="116">
                  <c:v>44044</c:v>
                </c:pt>
                <c:pt idx="117">
                  <c:v>44075</c:v>
                </c:pt>
                <c:pt idx="118">
                  <c:v>44105</c:v>
                </c:pt>
                <c:pt idx="119">
                  <c:v>44136</c:v>
                </c:pt>
                <c:pt idx="120">
                  <c:v>44166</c:v>
                </c:pt>
                <c:pt idx="121">
                  <c:v>44197</c:v>
                </c:pt>
                <c:pt idx="122">
                  <c:v>44228</c:v>
                </c:pt>
                <c:pt idx="123">
                  <c:v>44256</c:v>
                </c:pt>
                <c:pt idx="124">
                  <c:v>44287</c:v>
                </c:pt>
                <c:pt idx="125">
                  <c:v>44317</c:v>
                </c:pt>
                <c:pt idx="126">
                  <c:v>44348</c:v>
                </c:pt>
                <c:pt idx="127">
                  <c:v>44378</c:v>
                </c:pt>
                <c:pt idx="128">
                  <c:v>44409</c:v>
                </c:pt>
                <c:pt idx="129">
                  <c:v>44440</c:v>
                </c:pt>
                <c:pt idx="130">
                  <c:v>44470</c:v>
                </c:pt>
                <c:pt idx="131">
                  <c:v>44501</c:v>
                </c:pt>
                <c:pt idx="132">
                  <c:v>44531</c:v>
                </c:pt>
                <c:pt idx="133">
                  <c:v>44562</c:v>
                </c:pt>
                <c:pt idx="134">
                  <c:v>44593</c:v>
                </c:pt>
                <c:pt idx="135">
                  <c:v>44621</c:v>
                </c:pt>
                <c:pt idx="136">
                  <c:v>44652</c:v>
                </c:pt>
                <c:pt idx="137">
                  <c:v>44682</c:v>
                </c:pt>
                <c:pt idx="138">
                  <c:v>44713</c:v>
                </c:pt>
                <c:pt idx="139">
                  <c:v>44743</c:v>
                </c:pt>
                <c:pt idx="140">
                  <c:v>44774</c:v>
                </c:pt>
                <c:pt idx="141">
                  <c:v>44805</c:v>
                </c:pt>
                <c:pt idx="142">
                  <c:v>44835</c:v>
                </c:pt>
                <c:pt idx="143">
                  <c:v>44866</c:v>
                </c:pt>
                <c:pt idx="144">
                  <c:v>44896</c:v>
                </c:pt>
                <c:pt idx="145">
                  <c:v>44927</c:v>
                </c:pt>
                <c:pt idx="146">
                  <c:v>44958</c:v>
                </c:pt>
                <c:pt idx="147">
                  <c:v>44986</c:v>
                </c:pt>
                <c:pt idx="148">
                  <c:v>45017</c:v>
                </c:pt>
                <c:pt idx="149">
                  <c:v>45047</c:v>
                </c:pt>
                <c:pt idx="150">
                  <c:v>45078</c:v>
                </c:pt>
                <c:pt idx="151">
                  <c:v>45108</c:v>
                </c:pt>
                <c:pt idx="152">
                  <c:v>45139</c:v>
                </c:pt>
                <c:pt idx="153">
                  <c:v>45170</c:v>
                </c:pt>
                <c:pt idx="154">
                  <c:v>45200</c:v>
                </c:pt>
                <c:pt idx="155">
                  <c:v>45231</c:v>
                </c:pt>
                <c:pt idx="156">
                  <c:v>45261</c:v>
                </c:pt>
                <c:pt idx="157">
                  <c:v>45292</c:v>
                </c:pt>
                <c:pt idx="158">
                  <c:v>45323</c:v>
                </c:pt>
                <c:pt idx="159">
                  <c:v>45352</c:v>
                </c:pt>
                <c:pt idx="160">
                  <c:v>45383</c:v>
                </c:pt>
                <c:pt idx="161">
                  <c:v>45413</c:v>
                </c:pt>
                <c:pt idx="162">
                  <c:v>45444</c:v>
                </c:pt>
                <c:pt idx="163">
                  <c:v>45474</c:v>
                </c:pt>
                <c:pt idx="164">
                  <c:v>45505</c:v>
                </c:pt>
                <c:pt idx="165">
                  <c:v>45536</c:v>
                </c:pt>
              </c:numCache>
            </c:numRef>
          </c:cat>
          <c:val>
            <c:numRef>
              <c:f>'Charts 6 Cars'!$E$2:$E$167</c:f>
              <c:numCache>
                <c:formatCode>0.00</c:formatCode>
                <c:ptCount val="166"/>
                <c:pt idx="0">
                  <c:v>0.81008999999999998</c:v>
                </c:pt>
                <c:pt idx="1">
                  <c:v>0.83540999999999999</c:v>
                </c:pt>
                <c:pt idx="2">
                  <c:v>0.85453999999999997</c:v>
                </c:pt>
                <c:pt idx="3">
                  <c:v>0.86700999999999995</c:v>
                </c:pt>
                <c:pt idx="4">
                  <c:v>0.86482999999999988</c:v>
                </c:pt>
                <c:pt idx="5">
                  <c:v>0.87949999999999984</c:v>
                </c:pt>
                <c:pt idx="6">
                  <c:v>0.8940300000000001</c:v>
                </c:pt>
                <c:pt idx="7">
                  <c:v>0.90177000000000007</c:v>
                </c:pt>
                <c:pt idx="8">
                  <c:v>0.92517000000000005</c:v>
                </c:pt>
                <c:pt idx="9">
                  <c:v>0.95083000000000006</c:v>
                </c:pt>
                <c:pt idx="10">
                  <c:v>0.98758000000000012</c:v>
                </c:pt>
                <c:pt idx="11">
                  <c:v>1.01495</c:v>
                </c:pt>
                <c:pt idx="12">
                  <c:v>1.03555</c:v>
                </c:pt>
                <c:pt idx="13">
                  <c:v>1.0372299999999999</c:v>
                </c:pt>
                <c:pt idx="14">
                  <c:v>1.0817300000000001</c:v>
                </c:pt>
                <c:pt idx="15">
                  <c:v>1.0945700000000003</c:v>
                </c:pt>
                <c:pt idx="16">
                  <c:v>1.1188</c:v>
                </c:pt>
                <c:pt idx="17">
                  <c:v>1.15825</c:v>
                </c:pt>
                <c:pt idx="18">
                  <c:v>1.1789499999999999</c:v>
                </c:pt>
                <c:pt idx="19">
                  <c:v>1.19641</c:v>
                </c:pt>
                <c:pt idx="20">
                  <c:v>1.2209299999999998</c:v>
                </c:pt>
                <c:pt idx="21">
                  <c:v>1.2089100000000002</c:v>
                </c:pt>
                <c:pt idx="22">
                  <c:v>1.1842899999999998</c:v>
                </c:pt>
                <c:pt idx="23">
                  <c:v>1.15964</c:v>
                </c:pt>
                <c:pt idx="24">
                  <c:v>1.1360299999999999</c:v>
                </c:pt>
                <c:pt idx="25">
                  <c:v>1.1235599999999999</c:v>
                </c:pt>
                <c:pt idx="26">
                  <c:v>1.0828900000000001</c:v>
                </c:pt>
                <c:pt idx="27">
                  <c:v>1.05732</c:v>
                </c:pt>
                <c:pt idx="28">
                  <c:v>1.0566500000000001</c:v>
                </c:pt>
                <c:pt idx="29">
                  <c:v>1.04843</c:v>
                </c:pt>
                <c:pt idx="30">
                  <c:v>1.0527299999999999</c:v>
                </c:pt>
                <c:pt idx="31">
                  <c:v>1.06406</c:v>
                </c:pt>
                <c:pt idx="32">
                  <c:v>1.0558500000000002</c:v>
                </c:pt>
                <c:pt idx="33">
                  <c:v>1.0809500000000001</c:v>
                </c:pt>
                <c:pt idx="34">
                  <c:v>1.1191500000000001</c:v>
                </c:pt>
                <c:pt idx="35">
                  <c:v>1.1539900000000001</c:v>
                </c:pt>
                <c:pt idx="36">
                  <c:v>1.1932799999999999</c:v>
                </c:pt>
                <c:pt idx="37">
                  <c:v>1.2337699999999998</c:v>
                </c:pt>
                <c:pt idx="38">
                  <c:v>1.2593999999999999</c:v>
                </c:pt>
                <c:pt idx="39">
                  <c:v>1.28525</c:v>
                </c:pt>
                <c:pt idx="40">
                  <c:v>1.3186</c:v>
                </c:pt>
                <c:pt idx="41">
                  <c:v>1.3420300000000001</c:v>
                </c:pt>
                <c:pt idx="42">
                  <c:v>1.3571</c:v>
                </c:pt>
                <c:pt idx="43">
                  <c:v>1.3834600000000001</c:v>
                </c:pt>
                <c:pt idx="44">
                  <c:v>1.4065999999999996</c:v>
                </c:pt>
                <c:pt idx="45">
                  <c:v>1.4133099999999998</c:v>
                </c:pt>
                <c:pt idx="46">
                  <c:v>1.4270699999999996</c:v>
                </c:pt>
                <c:pt idx="47">
                  <c:v>1.41554</c:v>
                </c:pt>
                <c:pt idx="48">
                  <c:v>1.4240999999999999</c:v>
                </c:pt>
                <c:pt idx="49">
                  <c:v>1.4137500000000003</c:v>
                </c:pt>
                <c:pt idx="50">
                  <c:v>1.3872599999999999</c:v>
                </c:pt>
                <c:pt idx="51">
                  <c:v>1.3765699999999998</c:v>
                </c:pt>
                <c:pt idx="52">
                  <c:v>1.3461800000000002</c:v>
                </c:pt>
                <c:pt idx="53">
                  <c:v>1.2926900000000001</c:v>
                </c:pt>
                <c:pt idx="54">
                  <c:v>1.27016</c:v>
                </c:pt>
                <c:pt idx="55">
                  <c:v>1.23603</c:v>
                </c:pt>
                <c:pt idx="56">
                  <c:v>1.19123</c:v>
                </c:pt>
                <c:pt idx="57">
                  <c:v>1.1898899999999999</c:v>
                </c:pt>
                <c:pt idx="58">
                  <c:v>1.15862</c:v>
                </c:pt>
                <c:pt idx="59">
                  <c:v>1.1308800000000001</c:v>
                </c:pt>
                <c:pt idx="60">
                  <c:v>1.1105099999999999</c:v>
                </c:pt>
                <c:pt idx="61">
                  <c:v>1.07</c:v>
                </c:pt>
                <c:pt idx="62">
                  <c:v>1.06</c:v>
                </c:pt>
                <c:pt idx="63">
                  <c:v>1.05</c:v>
                </c:pt>
                <c:pt idx="64">
                  <c:v>1.03</c:v>
                </c:pt>
                <c:pt idx="65">
                  <c:v>1.04</c:v>
                </c:pt>
                <c:pt idx="66">
                  <c:v>1.03</c:v>
                </c:pt>
                <c:pt idx="67">
                  <c:v>1.03</c:v>
                </c:pt>
                <c:pt idx="68">
                  <c:v>1.05</c:v>
                </c:pt>
                <c:pt idx="69">
                  <c:v>1.03</c:v>
                </c:pt>
                <c:pt idx="70">
                  <c:v>1.03</c:v>
                </c:pt>
                <c:pt idx="71">
                  <c:v>1.06</c:v>
                </c:pt>
                <c:pt idx="72">
                  <c:v>1.07</c:v>
                </c:pt>
                <c:pt idx="73">
                  <c:v>1.0900000000000001</c:v>
                </c:pt>
                <c:pt idx="74">
                  <c:v>1.1200000000000001</c:v>
                </c:pt>
                <c:pt idx="75">
                  <c:v>1.1299999999999999</c:v>
                </c:pt>
                <c:pt idx="76">
                  <c:v>1.1399999999999999</c:v>
                </c:pt>
                <c:pt idx="77">
                  <c:v>1.17</c:v>
                </c:pt>
                <c:pt idx="78">
                  <c:v>1.19</c:v>
                </c:pt>
                <c:pt idx="79">
                  <c:v>1.2</c:v>
                </c:pt>
                <c:pt idx="80">
                  <c:v>1.21</c:v>
                </c:pt>
                <c:pt idx="81">
                  <c:v>1.23</c:v>
                </c:pt>
                <c:pt idx="82">
                  <c:v>1.24</c:v>
                </c:pt>
                <c:pt idx="83">
                  <c:v>1.25</c:v>
                </c:pt>
                <c:pt idx="84">
                  <c:v>1.24</c:v>
                </c:pt>
                <c:pt idx="85">
                  <c:v>1.254</c:v>
                </c:pt>
                <c:pt idx="86">
                  <c:v>1.2569999999999999</c:v>
                </c:pt>
                <c:pt idx="87">
                  <c:v>1.26</c:v>
                </c:pt>
                <c:pt idx="88">
                  <c:v>1.258</c:v>
                </c:pt>
                <c:pt idx="89">
                  <c:v>1.2330000000000001</c:v>
                </c:pt>
                <c:pt idx="90">
                  <c:v>1.1679999999999999</c:v>
                </c:pt>
                <c:pt idx="91">
                  <c:v>1.2230000000000001</c:v>
                </c:pt>
                <c:pt idx="92">
                  <c:v>1.224</c:v>
                </c:pt>
                <c:pt idx="93">
                  <c:v>1.2070000000000001</c:v>
                </c:pt>
                <c:pt idx="94">
                  <c:v>1.19</c:v>
                </c:pt>
                <c:pt idx="95">
                  <c:v>1.169</c:v>
                </c:pt>
                <c:pt idx="96">
                  <c:v>1.1379999999999999</c:v>
                </c:pt>
                <c:pt idx="97">
                  <c:v>1.127</c:v>
                </c:pt>
                <c:pt idx="98">
                  <c:v>1.1140000000000001</c:v>
                </c:pt>
                <c:pt idx="99">
                  <c:v>1.093</c:v>
                </c:pt>
                <c:pt idx="100">
                  <c:v>1.107</c:v>
                </c:pt>
                <c:pt idx="101">
                  <c:v>1.1120000000000001</c:v>
                </c:pt>
                <c:pt idx="102">
                  <c:v>1.161</c:v>
                </c:pt>
                <c:pt idx="103">
                  <c:v>1.0760000000000001</c:v>
                </c:pt>
                <c:pt idx="104">
                  <c:v>1.052</c:v>
                </c:pt>
                <c:pt idx="105">
                  <c:v>1.0429999999999999</c:v>
                </c:pt>
                <c:pt idx="106">
                  <c:v>1.018</c:v>
                </c:pt>
                <c:pt idx="107">
                  <c:v>1.0409999999999999</c:v>
                </c:pt>
                <c:pt idx="108">
                  <c:v>1.05</c:v>
                </c:pt>
                <c:pt idx="109">
                  <c:v>1.0369999999999999</c:v>
                </c:pt>
                <c:pt idx="110">
                  <c:v>1.0269999999999999</c:v>
                </c:pt>
                <c:pt idx="111">
                  <c:v>1.008</c:v>
                </c:pt>
                <c:pt idx="112">
                  <c:v>0.94499999999999995</c:v>
                </c:pt>
                <c:pt idx="113">
                  <c:v>0.88500000000000001</c:v>
                </c:pt>
                <c:pt idx="114">
                  <c:v>0.874</c:v>
                </c:pt>
                <c:pt idx="115">
                  <c:v>0.86399999999999999</c:v>
                </c:pt>
                <c:pt idx="116">
                  <c:v>0.86699999999999999</c:v>
                </c:pt>
                <c:pt idx="117">
                  <c:v>0.88300000000000001</c:v>
                </c:pt>
                <c:pt idx="118">
                  <c:v>0.92500000000000004</c:v>
                </c:pt>
                <c:pt idx="119">
                  <c:v>0.91300000000000003</c:v>
                </c:pt>
                <c:pt idx="120">
                  <c:v>0.93500000000000005</c:v>
                </c:pt>
                <c:pt idx="121">
                  <c:v>0.95140000000000002</c:v>
                </c:pt>
                <c:pt idx="122">
                  <c:v>0.96499999999999997</c:v>
                </c:pt>
                <c:pt idx="123">
                  <c:v>0.97199999999999998</c:v>
                </c:pt>
                <c:pt idx="124">
                  <c:v>1.0309999999999999</c:v>
                </c:pt>
                <c:pt idx="125">
                  <c:v>1.087</c:v>
                </c:pt>
                <c:pt idx="126">
                  <c:v>1.1140000000000001</c:v>
                </c:pt>
                <c:pt idx="127">
                  <c:v>1.1240000000000001</c:v>
                </c:pt>
                <c:pt idx="128">
                  <c:v>1.0940000000000001</c:v>
                </c:pt>
                <c:pt idx="129">
                  <c:v>1.073</c:v>
                </c:pt>
                <c:pt idx="130">
                  <c:v>1.0169999999999999</c:v>
                </c:pt>
                <c:pt idx="131">
                  <c:v>0.98699999999999999</c:v>
                </c:pt>
                <c:pt idx="132">
                  <c:v>0.93700000000000006</c:v>
                </c:pt>
                <c:pt idx="133">
                  <c:v>0.93322000000000005</c:v>
                </c:pt>
                <c:pt idx="134">
                  <c:v>0.93</c:v>
                </c:pt>
                <c:pt idx="135">
                  <c:v>0.93</c:v>
                </c:pt>
                <c:pt idx="136">
                  <c:v>0.92200000000000004</c:v>
                </c:pt>
                <c:pt idx="137">
                  <c:v>0.89700000000000002</c:v>
                </c:pt>
                <c:pt idx="138">
                  <c:v>0.84499999999999997</c:v>
                </c:pt>
                <c:pt idx="139">
                  <c:v>0.83499999999999996</c:v>
                </c:pt>
                <c:pt idx="140">
                  <c:v>0.85099999999999998</c:v>
                </c:pt>
                <c:pt idx="141">
                  <c:v>0.85</c:v>
                </c:pt>
                <c:pt idx="142">
                  <c:v>0.88600000000000001</c:v>
                </c:pt>
                <c:pt idx="143">
                  <c:v>0.876</c:v>
                </c:pt>
                <c:pt idx="144">
                  <c:v>0.88</c:v>
                </c:pt>
                <c:pt idx="145">
                  <c:v>0.85462000000000005</c:v>
                </c:pt>
                <c:pt idx="146">
                  <c:v>0.82423999999999997</c:v>
                </c:pt>
                <c:pt idx="147">
                  <c:v>0.81123999999999996</c:v>
                </c:pt>
                <c:pt idx="148">
                  <c:v>0.78324000000000005</c:v>
                </c:pt>
                <c:pt idx="149">
                  <c:v>0.77024000000000004</c:v>
                </c:pt>
                <c:pt idx="150">
                  <c:v>0.77524000000000004</c:v>
                </c:pt>
                <c:pt idx="151">
                  <c:v>0.77124000000000004</c:v>
                </c:pt>
                <c:pt idx="152">
                  <c:v>0.76524000000000003</c:v>
                </c:pt>
                <c:pt idx="153">
                  <c:v>0.75624000000000002</c:v>
                </c:pt>
                <c:pt idx="154">
                  <c:v>0.75624000000000002</c:v>
                </c:pt>
                <c:pt idx="155">
                  <c:v>0.76924000000000003</c:v>
                </c:pt>
                <c:pt idx="156">
                  <c:v>0.78524000000000005</c:v>
                </c:pt>
                <c:pt idx="157">
                  <c:v>0.78800000000000003</c:v>
                </c:pt>
                <c:pt idx="158">
                  <c:v>0.79400000000000004</c:v>
                </c:pt>
                <c:pt idx="159">
                  <c:v>0.78700000000000003</c:v>
                </c:pt>
                <c:pt idx="160">
                  <c:v>0.77700000000000002</c:v>
                </c:pt>
                <c:pt idx="161">
                  <c:v>0.78200000000000003</c:v>
                </c:pt>
                <c:pt idx="162">
                  <c:v>0.78</c:v>
                </c:pt>
                <c:pt idx="163">
                  <c:v>0.78400000000000003</c:v>
                </c:pt>
                <c:pt idx="164">
                  <c:v>0.79400000000000004</c:v>
                </c:pt>
                <c:pt idx="165">
                  <c:v>0.78500000000000003</c:v>
                </c:pt>
              </c:numCache>
            </c:numRef>
          </c:val>
          <c:smooth val="0"/>
          <c:extLst>
            <c:ext xmlns:c16="http://schemas.microsoft.com/office/drawing/2014/chart" uri="{C3380CC4-5D6E-409C-BE32-E72D297353CC}">
              <c16:uniqueId val="{00000003-0E3E-AF46-A5E2-E80BD2F83402}"/>
            </c:ext>
          </c:extLst>
        </c:ser>
        <c:dLbls>
          <c:showLegendKey val="0"/>
          <c:showVal val="0"/>
          <c:showCatName val="0"/>
          <c:showSerName val="0"/>
          <c:showPercent val="0"/>
          <c:showBubbleSize val="0"/>
        </c:dLbls>
        <c:smooth val="0"/>
        <c:axId val="1694424576"/>
        <c:axId val="1433494480"/>
      </c:lineChart>
      <c:dateAx>
        <c:axId val="1694424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33494480"/>
        <c:crosses val="autoZero"/>
        <c:auto val="1"/>
        <c:lblOffset val="100"/>
        <c:baseTimeUnit val="months"/>
      </c:dateAx>
      <c:valAx>
        <c:axId val="14334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Cars</a:t>
                </a:r>
                <a:r>
                  <a:rPr lang="en-US" sz="1200" baseline="0"/>
                  <a:t> (whole vehicles, million)</a:t>
                </a:r>
                <a:endParaRPr lang="en-US" sz="1200"/>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9442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a:t>Exports of low-carbon technology by</a:t>
            </a:r>
            <a:r>
              <a:rPr lang="en-US" sz="1400" b="1" baseline="0"/>
              <a:t> value (USD), G7 + China</a:t>
            </a:r>
            <a:endParaRPr lang="en-US" sz="14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 11 Export LCT by value'!$A$2</c:f>
              <c:strCache>
                <c:ptCount val="1"/>
                <c:pt idx="0">
                  <c:v>Canada</c:v>
                </c:pt>
              </c:strCache>
            </c:strRef>
          </c:tx>
          <c:spPr>
            <a:ln w="38100" cap="rnd">
              <a:solidFill>
                <a:srgbClr val="7030A0"/>
              </a:solidFill>
              <a:round/>
            </a:ln>
            <a:effectLst/>
          </c:spPr>
          <c:marker>
            <c:symbol val="none"/>
          </c:marker>
          <c:cat>
            <c:numRef>
              <c:f>'Chart 11 Export LCT by value'!$B$1:$AE$1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'Chart 11 Export LCT by value'!$B$2:$AE$2</c:f>
              <c:numCache>
                <c:formatCode>#,##0</c:formatCode>
                <c:ptCount val="30"/>
                <c:pt idx="0">
                  <c:v>2757020253</c:v>
                </c:pt>
                <c:pt idx="1">
                  <c:v>3442689728</c:v>
                </c:pt>
                <c:pt idx="2">
                  <c:v>4047028375</c:v>
                </c:pt>
                <c:pt idx="3">
                  <c:v>4239557195</c:v>
                </c:pt>
                <c:pt idx="4">
                  <c:v>4703971239</c:v>
                </c:pt>
                <c:pt idx="5">
                  <c:v>5333266109</c:v>
                </c:pt>
                <c:pt idx="6">
                  <c:v>6851352189</c:v>
                </c:pt>
                <c:pt idx="7">
                  <c:v>6723957734</c:v>
                </c:pt>
                <c:pt idx="8">
                  <c:v>6133270505</c:v>
                </c:pt>
                <c:pt idx="9">
                  <c:v>6140358880</c:v>
                </c:pt>
                <c:pt idx="10">
                  <c:v>7015955377</c:v>
                </c:pt>
                <c:pt idx="11">
                  <c:v>7721529527</c:v>
                </c:pt>
                <c:pt idx="12">
                  <c:v>9056675597</c:v>
                </c:pt>
                <c:pt idx="13">
                  <c:v>9932614158</c:v>
                </c:pt>
                <c:pt idx="14">
                  <c:v>11149608332</c:v>
                </c:pt>
                <c:pt idx="15">
                  <c:v>9371952256</c:v>
                </c:pt>
                <c:pt idx="16">
                  <c:v>10129212662</c:v>
                </c:pt>
                <c:pt idx="17">
                  <c:v>11324928237</c:v>
                </c:pt>
                <c:pt idx="18">
                  <c:v>11793026940</c:v>
                </c:pt>
                <c:pt idx="19">
                  <c:v>11443987448</c:v>
                </c:pt>
                <c:pt idx="20">
                  <c:v>11726357714</c:v>
                </c:pt>
                <c:pt idx="21">
                  <c:v>11317231197.983601</c:v>
                </c:pt>
                <c:pt idx="22">
                  <c:v>11101689933.749701</c:v>
                </c:pt>
                <c:pt idx="23">
                  <c:v>13148147862.3265</c:v>
                </c:pt>
                <c:pt idx="24">
                  <c:v>14194530967.322399</c:v>
                </c:pt>
                <c:pt idx="25">
                  <c:v>15001408061.2057</c:v>
                </c:pt>
                <c:pt idx="26">
                  <c:v>13993487404.303101</c:v>
                </c:pt>
                <c:pt idx="27">
                  <c:v>16315774135.0686</c:v>
                </c:pt>
                <c:pt idx="28" formatCode="General">
                  <c:v>17107000000</c:v>
                </c:pt>
                <c:pt idx="29" formatCode="General">
                  <c:v>20994000000</c:v>
                </c:pt>
              </c:numCache>
            </c:numRef>
          </c:val>
          <c:smooth val="0"/>
          <c:extLst>
            <c:ext xmlns:c16="http://schemas.microsoft.com/office/drawing/2014/chart" uri="{C3380CC4-5D6E-409C-BE32-E72D297353CC}">
              <c16:uniqueId val="{00000000-6F10-4046-93C7-2646563D0CAE}"/>
            </c:ext>
          </c:extLst>
        </c:ser>
        <c:ser>
          <c:idx val="1"/>
          <c:order val="1"/>
          <c:tx>
            <c:strRef>
              <c:f>'Chart 11 Export LCT by value'!$A$3</c:f>
              <c:strCache>
                <c:ptCount val="1"/>
                <c:pt idx="0">
                  <c:v>China</c:v>
                </c:pt>
              </c:strCache>
            </c:strRef>
          </c:tx>
          <c:spPr>
            <a:ln w="38100" cap="rnd">
              <a:solidFill>
                <a:srgbClr val="FF0000"/>
              </a:solidFill>
              <a:round/>
            </a:ln>
            <a:effectLst/>
          </c:spPr>
          <c:marker>
            <c:symbol val="none"/>
          </c:marker>
          <c:cat>
            <c:numRef>
              <c:f>'Chart 11 Export LCT by value'!$B$1:$AE$1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'Chart 11 Export LCT by value'!$B$3:$AE$3</c:f>
              <c:numCache>
                <c:formatCode>#,##0</c:formatCode>
                <c:ptCount val="30"/>
                <c:pt idx="0">
                  <c:v>1181752687</c:v>
                </c:pt>
                <c:pt idx="1">
                  <c:v>1701250781</c:v>
                </c:pt>
                <c:pt idx="2">
                  <c:v>2013439534</c:v>
                </c:pt>
                <c:pt idx="3">
                  <c:v>2609604961</c:v>
                </c:pt>
                <c:pt idx="4">
                  <c:v>3107007507</c:v>
                </c:pt>
                <c:pt idx="5">
                  <c:v>3949302451</c:v>
                </c:pt>
                <c:pt idx="6">
                  <c:v>5739075391</c:v>
                </c:pt>
                <c:pt idx="7">
                  <c:v>6392124686</c:v>
                </c:pt>
                <c:pt idx="8">
                  <c:v>7430112751</c:v>
                </c:pt>
                <c:pt idx="9">
                  <c:v>12190081517</c:v>
                </c:pt>
                <c:pt idx="10">
                  <c:v>20007130143</c:v>
                </c:pt>
                <c:pt idx="11">
                  <c:v>29348104573</c:v>
                </c:pt>
                <c:pt idx="12">
                  <c:v>38627163340</c:v>
                </c:pt>
                <c:pt idx="13">
                  <c:v>56121967203</c:v>
                </c:pt>
                <c:pt idx="14">
                  <c:v>76098649543</c:v>
                </c:pt>
                <c:pt idx="15">
                  <c:v>67845453536</c:v>
                </c:pt>
                <c:pt idx="16">
                  <c:v>99609893829</c:v>
                </c:pt>
                <c:pt idx="17">
                  <c:v>115107262191</c:v>
                </c:pt>
                <c:pt idx="18">
                  <c:v>115712178067</c:v>
                </c:pt>
                <c:pt idx="19">
                  <c:v>121828254023</c:v>
                </c:pt>
                <c:pt idx="20">
                  <c:v>126406288043</c:v>
                </c:pt>
                <c:pt idx="21">
                  <c:v>130930407113</c:v>
                </c:pt>
                <c:pt idx="22">
                  <c:v>118131984690</c:v>
                </c:pt>
                <c:pt idx="23">
                  <c:v>129702569612</c:v>
                </c:pt>
                <c:pt idx="24">
                  <c:v>141476042390</c:v>
                </c:pt>
                <c:pt idx="25">
                  <c:v>153637267372</c:v>
                </c:pt>
                <c:pt idx="26">
                  <c:v>165918354459</c:v>
                </c:pt>
                <c:pt idx="27">
                  <c:v>227590000000</c:v>
                </c:pt>
                <c:pt idx="28">
                  <c:v>203240000000</c:v>
                </c:pt>
                <c:pt idx="29">
                  <c:v>233800000000</c:v>
                </c:pt>
              </c:numCache>
            </c:numRef>
          </c:val>
          <c:smooth val="0"/>
          <c:extLst>
            <c:ext xmlns:c16="http://schemas.microsoft.com/office/drawing/2014/chart" uri="{C3380CC4-5D6E-409C-BE32-E72D297353CC}">
              <c16:uniqueId val="{00000001-6F10-4046-93C7-2646563D0CAE}"/>
            </c:ext>
          </c:extLst>
        </c:ser>
        <c:ser>
          <c:idx val="2"/>
          <c:order val="2"/>
          <c:tx>
            <c:strRef>
              <c:f>'Chart 11 Export LCT by value'!$A$4</c:f>
              <c:strCache>
                <c:ptCount val="1"/>
                <c:pt idx="0">
                  <c:v>France</c:v>
                </c:pt>
              </c:strCache>
            </c:strRef>
          </c:tx>
          <c:spPr>
            <a:ln w="38100" cap="rnd">
              <a:solidFill>
                <a:srgbClr val="00B0F0"/>
              </a:solidFill>
              <a:round/>
            </a:ln>
            <a:effectLst/>
          </c:spPr>
          <c:marker>
            <c:symbol val="none"/>
          </c:marker>
          <c:cat>
            <c:numRef>
              <c:f>'Chart 11 Export LCT by value'!$B$1:$AE$1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'Chart 11 Export LCT by value'!$B$4:$AE$4</c:f>
              <c:numCache>
                <c:formatCode>#,##0</c:formatCode>
                <c:ptCount val="30"/>
                <c:pt idx="0">
                  <c:v>7973427678</c:v>
                </c:pt>
                <c:pt idx="1">
                  <c:v>9693305963</c:v>
                </c:pt>
                <c:pt idx="2">
                  <c:v>9622355553</c:v>
                </c:pt>
                <c:pt idx="3">
                  <c:v>9259621344</c:v>
                </c:pt>
                <c:pt idx="4">
                  <c:v>10151405447</c:v>
                </c:pt>
                <c:pt idx="5">
                  <c:v>9774181414</c:v>
                </c:pt>
                <c:pt idx="6">
                  <c:v>9541771183</c:v>
                </c:pt>
                <c:pt idx="7">
                  <c:v>9917693342</c:v>
                </c:pt>
                <c:pt idx="8">
                  <c:v>10686366272</c:v>
                </c:pt>
                <c:pt idx="9">
                  <c:v>12336925008</c:v>
                </c:pt>
                <c:pt idx="10">
                  <c:v>14168197792</c:v>
                </c:pt>
                <c:pt idx="11">
                  <c:v>14694718839</c:v>
                </c:pt>
                <c:pt idx="12">
                  <c:v>16568280707</c:v>
                </c:pt>
                <c:pt idx="13">
                  <c:v>19537182746</c:v>
                </c:pt>
                <c:pt idx="14">
                  <c:v>22680025774</c:v>
                </c:pt>
                <c:pt idx="15">
                  <c:v>17850789882</c:v>
                </c:pt>
                <c:pt idx="16">
                  <c:v>18365918307</c:v>
                </c:pt>
                <c:pt idx="17">
                  <c:v>20588737792</c:v>
                </c:pt>
                <c:pt idx="18">
                  <c:v>19694733216</c:v>
                </c:pt>
                <c:pt idx="19">
                  <c:v>19598251560</c:v>
                </c:pt>
                <c:pt idx="20">
                  <c:v>20076687380</c:v>
                </c:pt>
                <c:pt idx="21">
                  <c:v>17446171766</c:v>
                </c:pt>
                <c:pt idx="22">
                  <c:v>17498052978</c:v>
                </c:pt>
                <c:pt idx="23">
                  <c:v>21015585998.852501</c:v>
                </c:pt>
                <c:pt idx="24">
                  <c:v>23167021539.1231</c:v>
                </c:pt>
                <c:pt idx="25">
                  <c:v>22344130848.578201</c:v>
                </c:pt>
                <c:pt idx="26">
                  <c:v>22409064337.1973</c:v>
                </c:pt>
                <c:pt idx="27">
                  <c:v>25946000000</c:v>
                </c:pt>
                <c:pt idx="28">
                  <c:v>25616204569</c:v>
                </c:pt>
                <c:pt idx="29">
                  <c:v>25616204569</c:v>
                </c:pt>
              </c:numCache>
            </c:numRef>
          </c:val>
          <c:smooth val="0"/>
          <c:extLst>
            <c:ext xmlns:c16="http://schemas.microsoft.com/office/drawing/2014/chart" uri="{C3380CC4-5D6E-409C-BE32-E72D297353CC}">
              <c16:uniqueId val="{00000002-6F10-4046-93C7-2646563D0CAE}"/>
            </c:ext>
          </c:extLst>
        </c:ser>
        <c:ser>
          <c:idx val="3"/>
          <c:order val="3"/>
          <c:tx>
            <c:strRef>
              <c:f>'Chart 11 Export LCT by value'!$A$5</c:f>
              <c:strCache>
                <c:ptCount val="1"/>
                <c:pt idx="0">
                  <c:v>Germany</c:v>
                </c:pt>
              </c:strCache>
            </c:strRef>
          </c:tx>
          <c:spPr>
            <a:ln w="38100" cap="rnd">
              <a:solidFill>
                <a:schemeClr val="tx1"/>
              </a:solidFill>
              <a:round/>
            </a:ln>
            <a:effectLst/>
          </c:spPr>
          <c:marker>
            <c:symbol val="none"/>
          </c:marker>
          <c:cat>
            <c:numRef>
              <c:f>'Chart 11 Export LCT by value'!$B$1:$AE$1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'Chart 11 Export LCT by value'!$B$5:$AE$5</c:f>
              <c:numCache>
                <c:formatCode>#,##0</c:formatCode>
                <c:ptCount val="30"/>
                <c:pt idx="0">
                  <c:v>18760136880</c:v>
                </c:pt>
                <c:pt idx="1">
                  <c:v>23253550752</c:v>
                </c:pt>
                <c:pt idx="2">
                  <c:v>25019110312</c:v>
                </c:pt>
                <c:pt idx="3">
                  <c:v>23921669836</c:v>
                </c:pt>
                <c:pt idx="4">
                  <c:v>25714252952</c:v>
                </c:pt>
                <c:pt idx="5">
                  <c:v>26236551850</c:v>
                </c:pt>
                <c:pt idx="6">
                  <c:v>26604892000</c:v>
                </c:pt>
                <c:pt idx="7">
                  <c:v>29498992000</c:v>
                </c:pt>
                <c:pt idx="8">
                  <c:v>31170027000</c:v>
                </c:pt>
                <c:pt idx="9">
                  <c:v>37318217000</c:v>
                </c:pt>
                <c:pt idx="10">
                  <c:v>47310379000</c:v>
                </c:pt>
                <c:pt idx="11">
                  <c:v>55946973000</c:v>
                </c:pt>
                <c:pt idx="12">
                  <c:v>65343424000</c:v>
                </c:pt>
                <c:pt idx="13">
                  <c:v>74696417000</c:v>
                </c:pt>
                <c:pt idx="14">
                  <c:v>92037201191.3255</c:v>
                </c:pt>
                <c:pt idx="15">
                  <c:v>75598187130.683197</c:v>
                </c:pt>
                <c:pt idx="16">
                  <c:v>86426501061.435699</c:v>
                </c:pt>
                <c:pt idx="17">
                  <c:v>98890439334.717804</c:v>
                </c:pt>
                <c:pt idx="18">
                  <c:v>92974054751.8573</c:v>
                </c:pt>
                <c:pt idx="19">
                  <c:v>94307118303.242096</c:v>
                </c:pt>
                <c:pt idx="20">
                  <c:v>96008437591.503098</c:v>
                </c:pt>
                <c:pt idx="21">
                  <c:v>84557662108.626007</c:v>
                </c:pt>
                <c:pt idx="22">
                  <c:v>87191749180.472397</c:v>
                </c:pt>
                <c:pt idx="23">
                  <c:v>102431924008.89</c:v>
                </c:pt>
                <c:pt idx="24">
                  <c:v>116754122460.77299</c:v>
                </c:pt>
                <c:pt idx="25">
                  <c:v>122595282290.23599</c:v>
                </c:pt>
                <c:pt idx="26">
                  <c:v>131953109779.59399</c:v>
                </c:pt>
                <c:pt idx="27">
                  <c:v>171930000000</c:v>
                </c:pt>
                <c:pt idx="28">
                  <c:v>172255000000</c:v>
                </c:pt>
                <c:pt idx="29">
                  <c:v>184770000000</c:v>
                </c:pt>
              </c:numCache>
            </c:numRef>
          </c:val>
          <c:smooth val="0"/>
          <c:extLst>
            <c:ext xmlns:c16="http://schemas.microsoft.com/office/drawing/2014/chart" uri="{C3380CC4-5D6E-409C-BE32-E72D297353CC}">
              <c16:uniqueId val="{00000003-6F10-4046-93C7-2646563D0CAE}"/>
            </c:ext>
          </c:extLst>
        </c:ser>
        <c:ser>
          <c:idx val="4"/>
          <c:order val="4"/>
          <c:tx>
            <c:strRef>
              <c:f>'Chart 11 Export LCT by value'!$A$6</c:f>
              <c:strCache>
                <c:ptCount val="1"/>
                <c:pt idx="0">
                  <c:v>Italy</c:v>
                </c:pt>
              </c:strCache>
            </c:strRef>
          </c:tx>
          <c:spPr>
            <a:ln w="38100" cap="rnd">
              <a:solidFill>
                <a:srgbClr val="00B050"/>
              </a:solidFill>
              <a:round/>
            </a:ln>
            <a:effectLst/>
          </c:spPr>
          <c:marker>
            <c:symbol val="none"/>
          </c:marker>
          <c:cat>
            <c:numRef>
              <c:f>'Chart 11 Export LCT by value'!$B$1:$AE$1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'Chart 11 Export LCT by value'!$B$6:$AE$6</c:f>
              <c:numCache>
                <c:formatCode>#,##0</c:formatCode>
                <c:ptCount val="30"/>
                <c:pt idx="0">
                  <c:v>8342642040</c:v>
                </c:pt>
                <c:pt idx="1">
                  <c:v>10374553659</c:v>
                </c:pt>
                <c:pt idx="2">
                  <c:v>12148560805</c:v>
                </c:pt>
                <c:pt idx="3">
                  <c:v>11070350210</c:v>
                </c:pt>
                <c:pt idx="4">
                  <c:v>11114330284</c:v>
                </c:pt>
                <c:pt idx="5">
                  <c:v>10800016531</c:v>
                </c:pt>
                <c:pt idx="6">
                  <c:v>11109367943.420799</c:v>
                </c:pt>
                <c:pt idx="7">
                  <c:v>11728661749.507</c:v>
                </c:pt>
                <c:pt idx="8">
                  <c:v>12366271987.830299</c:v>
                </c:pt>
                <c:pt idx="9">
                  <c:v>14381770413.346701</c:v>
                </c:pt>
                <c:pt idx="10">
                  <c:v>17104525464.205999</c:v>
                </c:pt>
                <c:pt idx="11">
                  <c:v>17973785908.235901</c:v>
                </c:pt>
                <c:pt idx="12">
                  <c:v>20769450781.0355</c:v>
                </c:pt>
                <c:pt idx="13">
                  <c:v>26485688042.2215</c:v>
                </c:pt>
                <c:pt idx="14">
                  <c:v>30190926621.704399</c:v>
                </c:pt>
                <c:pt idx="15">
                  <c:v>24761846506.882301</c:v>
                </c:pt>
                <c:pt idx="16">
                  <c:v>24025795350</c:v>
                </c:pt>
                <c:pt idx="17">
                  <c:v>27649207165</c:v>
                </c:pt>
                <c:pt idx="18">
                  <c:v>25877919950</c:v>
                </c:pt>
                <c:pt idx="19">
                  <c:v>27016187009</c:v>
                </c:pt>
                <c:pt idx="20">
                  <c:v>28258425495</c:v>
                </c:pt>
                <c:pt idx="21">
                  <c:v>23778198900.905102</c:v>
                </c:pt>
                <c:pt idx="22">
                  <c:v>23752849105.0616</c:v>
                </c:pt>
                <c:pt idx="23">
                  <c:v>25748469181.470402</c:v>
                </c:pt>
                <c:pt idx="24">
                  <c:v>26952443798.8978</c:v>
                </c:pt>
                <c:pt idx="25">
                  <c:v>26424703045.798901</c:v>
                </c:pt>
                <c:pt idx="26">
                  <c:v>24992944089.379299</c:v>
                </c:pt>
                <c:pt idx="27" formatCode="General">
                  <c:v>32024000000</c:v>
                </c:pt>
                <c:pt idx="28" formatCode="General">
                  <c:v>31370080958</c:v>
                </c:pt>
                <c:pt idx="29" formatCode="General">
                  <c:v>36665000000</c:v>
                </c:pt>
              </c:numCache>
            </c:numRef>
          </c:val>
          <c:smooth val="0"/>
          <c:extLst>
            <c:ext xmlns:c16="http://schemas.microsoft.com/office/drawing/2014/chart" uri="{C3380CC4-5D6E-409C-BE32-E72D297353CC}">
              <c16:uniqueId val="{00000004-6F10-4046-93C7-2646563D0CAE}"/>
            </c:ext>
          </c:extLst>
        </c:ser>
        <c:ser>
          <c:idx val="5"/>
          <c:order val="5"/>
          <c:tx>
            <c:strRef>
              <c:f>'Chart 11 Export LCT by value'!$A$7</c:f>
              <c:strCache>
                <c:ptCount val="1"/>
                <c:pt idx="0">
                  <c:v>Japan</c:v>
                </c:pt>
              </c:strCache>
            </c:strRef>
          </c:tx>
          <c:spPr>
            <a:ln w="38100" cap="rnd">
              <a:solidFill>
                <a:srgbClr val="FFC000"/>
              </a:solidFill>
              <a:round/>
            </a:ln>
            <a:effectLst/>
          </c:spPr>
          <c:marker>
            <c:symbol val="none"/>
          </c:marker>
          <c:cat>
            <c:numRef>
              <c:f>'Chart 11 Export LCT by value'!$B$1:$AE$1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'Chart 11 Export LCT by value'!$B$7:$AE$7</c:f>
              <c:numCache>
                <c:formatCode>#,##0</c:formatCode>
                <c:ptCount val="30"/>
                <c:pt idx="0">
                  <c:v>22788401400</c:v>
                </c:pt>
                <c:pt idx="1">
                  <c:v>28460230060</c:v>
                </c:pt>
                <c:pt idx="2">
                  <c:v>27484442068</c:v>
                </c:pt>
                <c:pt idx="3">
                  <c:v>27749154277</c:v>
                </c:pt>
                <c:pt idx="4">
                  <c:v>25626654271</c:v>
                </c:pt>
                <c:pt idx="5">
                  <c:v>29669058933</c:v>
                </c:pt>
                <c:pt idx="6">
                  <c:v>40301544228</c:v>
                </c:pt>
                <c:pt idx="7">
                  <c:v>31497483733</c:v>
                </c:pt>
                <c:pt idx="8">
                  <c:v>30883271047</c:v>
                </c:pt>
                <c:pt idx="9">
                  <c:v>37840328866</c:v>
                </c:pt>
                <c:pt idx="10">
                  <c:v>51041401988</c:v>
                </c:pt>
                <c:pt idx="11">
                  <c:v>51578755286</c:v>
                </c:pt>
                <c:pt idx="12">
                  <c:v>53858446342</c:v>
                </c:pt>
                <c:pt idx="13">
                  <c:v>50180129522</c:v>
                </c:pt>
                <c:pt idx="14">
                  <c:v>55819268244</c:v>
                </c:pt>
                <c:pt idx="15">
                  <c:v>46084297643</c:v>
                </c:pt>
                <c:pt idx="16">
                  <c:v>61291767760</c:v>
                </c:pt>
                <c:pt idx="17">
                  <c:v>67592672527</c:v>
                </c:pt>
                <c:pt idx="18">
                  <c:v>65776871556</c:v>
                </c:pt>
                <c:pt idx="19">
                  <c:v>57011253377</c:v>
                </c:pt>
                <c:pt idx="20">
                  <c:v>57300725319</c:v>
                </c:pt>
                <c:pt idx="21">
                  <c:v>50508279810</c:v>
                </c:pt>
                <c:pt idx="22">
                  <c:v>51321350881</c:v>
                </c:pt>
                <c:pt idx="23">
                  <c:v>69252538060.562805</c:v>
                </c:pt>
                <c:pt idx="24">
                  <c:v>73040700359.695404</c:v>
                </c:pt>
                <c:pt idx="25">
                  <c:v>74258794822.262604</c:v>
                </c:pt>
                <c:pt idx="26">
                  <c:v>74420416929.319702</c:v>
                </c:pt>
                <c:pt idx="27" formatCode="General">
                  <c:v>84918000000</c:v>
                </c:pt>
                <c:pt idx="28" formatCode="General">
                  <c:v>73228865023</c:v>
                </c:pt>
                <c:pt idx="29" formatCode="General">
                  <c:v>84113000000</c:v>
                </c:pt>
              </c:numCache>
            </c:numRef>
          </c:val>
          <c:smooth val="0"/>
          <c:extLst>
            <c:ext xmlns:c16="http://schemas.microsoft.com/office/drawing/2014/chart" uri="{C3380CC4-5D6E-409C-BE32-E72D297353CC}">
              <c16:uniqueId val="{00000005-6F10-4046-93C7-2646563D0CAE}"/>
            </c:ext>
          </c:extLst>
        </c:ser>
        <c:ser>
          <c:idx val="6"/>
          <c:order val="6"/>
          <c:tx>
            <c:strRef>
              <c:f>'Chart 11 Export LCT by value'!$A$8</c:f>
              <c:strCache>
                <c:ptCount val="1"/>
                <c:pt idx="0">
                  <c:v>United Kingdom</c:v>
                </c:pt>
              </c:strCache>
            </c:strRef>
          </c:tx>
          <c:spPr>
            <a:ln w="38100" cap="rnd">
              <a:solidFill>
                <a:srgbClr val="FF7E79"/>
              </a:solidFill>
              <a:round/>
            </a:ln>
            <a:effectLst/>
          </c:spPr>
          <c:marker>
            <c:symbol val="none"/>
          </c:marker>
          <c:cat>
            <c:numRef>
              <c:f>'Chart 11 Export LCT by value'!$B$1:$AE$1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'Chart 11 Export LCT by value'!$B$8:$AE$8</c:f>
              <c:numCache>
                <c:formatCode>#,##0</c:formatCode>
                <c:ptCount val="30"/>
                <c:pt idx="0">
                  <c:v>7819997332</c:v>
                </c:pt>
                <c:pt idx="1">
                  <c:v>9445896700</c:v>
                </c:pt>
                <c:pt idx="2">
                  <c:v>10595110902</c:v>
                </c:pt>
                <c:pt idx="3">
                  <c:v>11890773983</c:v>
                </c:pt>
                <c:pt idx="4">
                  <c:v>11984801684</c:v>
                </c:pt>
                <c:pt idx="5">
                  <c:v>11708845930</c:v>
                </c:pt>
                <c:pt idx="6">
                  <c:v>11968512704</c:v>
                </c:pt>
                <c:pt idx="7">
                  <c:v>12040502038</c:v>
                </c:pt>
                <c:pt idx="8">
                  <c:v>12147670914</c:v>
                </c:pt>
                <c:pt idx="9">
                  <c:v>13418548378</c:v>
                </c:pt>
                <c:pt idx="10">
                  <c:v>15218453751</c:v>
                </c:pt>
                <c:pt idx="11">
                  <c:v>15347410292</c:v>
                </c:pt>
                <c:pt idx="12">
                  <c:v>17060685723</c:v>
                </c:pt>
                <c:pt idx="13">
                  <c:v>18976221430</c:v>
                </c:pt>
                <c:pt idx="14">
                  <c:v>20545658755</c:v>
                </c:pt>
                <c:pt idx="15">
                  <c:v>17073671376</c:v>
                </c:pt>
                <c:pt idx="16">
                  <c:v>17973650524</c:v>
                </c:pt>
                <c:pt idx="17">
                  <c:v>20942704310</c:v>
                </c:pt>
                <c:pt idx="18">
                  <c:v>20340244367</c:v>
                </c:pt>
                <c:pt idx="19">
                  <c:v>21077447429</c:v>
                </c:pt>
                <c:pt idx="20">
                  <c:v>22233658415</c:v>
                </c:pt>
                <c:pt idx="21">
                  <c:v>20547598278</c:v>
                </c:pt>
                <c:pt idx="22">
                  <c:v>19397319293</c:v>
                </c:pt>
                <c:pt idx="23">
                  <c:v>21936561036.0019</c:v>
                </c:pt>
                <c:pt idx="24">
                  <c:v>23860298681.016399</c:v>
                </c:pt>
                <c:pt idx="25">
                  <c:v>26616738854.953999</c:v>
                </c:pt>
                <c:pt idx="26">
                  <c:v>25134279835.677299</c:v>
                </c:pt>
                <c:pt idx="27">
                  <c:v>33749262303.986599</c:v>
                </c:pt>
                <c:pt idx="28">
                  <c:v>38189631151.993301</c:v>
                </c:pt>
                <c:pt idx="29" formatCode="General">
                  <c:v>42630000000</c:v>
                </c:pt>
              </c:numCache>
            </c:numRef>
          </c:val>
          <c:smooth val="0"/>
          <c:extLst>
            <c:ext xmlns:c16="http://schemas.microsoft.com/office/drawing/2014/chart" uri="{C3380CC4-5D6E-409C-BE32-E72D297353CC}">
              <c16:uniqueId val="{00000006-6F10-4046-93C7-2646563D0CAE}"/>
            </c:ext>
          </c:extLst>
        </c:ser>
        <c:ser>
          <c:idx val="7"/>
          <c:order val="7"/>
          <c:tx>
            <c:strRef>
              <c:f>'Chart 11 Export LCT by value'!$A$9</c:f>
              <c:strCache>
                <c:ptCount val="1"/>
                <c:pt idx="0">
                  <c:v>United States</c:v>
                </c:pt>
              </c:strCache>
            </c:strRef>
          </c:tx>
          <c:spPr>
            <a:ln w="38100" cap="rnd">
              <a:solidFill>
                <a:srgbClr val="0070C0"/>
              </a:solidFill>
              <a:round/>
            </a:ln>
            <a:effectLst/>
          </c:spPr>
          <c:marker>
            <c:symbol val="none"/>
          </c:marker>
          <c:cat>
            <c:numRef>
              <c:f>'Chart 11 Export LCT by value'!$B$1:$AE$1</c:f>
              <c:numCache>
                <c:formatCode>General</c:formatCode>
                <c:ptCount val="3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pt idx="28">
                  <c:v>2022</c:v>
                </c:pt>
                <c:pt idx="29">
                  <c:v>2023</c:v>
                </c:pt>
              </c:numCache>
            </c:numRef>
          </c:cat>
          <c:val>
            <c:numRef>
              <c:f>'Chart 11 Export LCT by value'!$B$9:$AE$9</c:f>
              <c:numCache>
                <c:formatCode>#,##0</c:formatCode>
                <c:ptCount val="30"/>
                <c:pt idx="0">
                  <c:v>24178127246</c:v>
                </c:pt>
                <c:pt idx="1">
                  <c:v>29233801825</c:v>
                </c:pt>
                <c:pt idx="2">
                  <c:v>32008620825</c:v>
                </c:pt>
                <c:pt idx="3">
                  <c:v>38063506535</c:v>
                </c:pt>
                <c:pt idx="4">
                  <c:v>35295184293</c:v>
                </c:pt>
                <c:pt idx="5">
                  <c:v>37263685145</c:v>
                </c:pt>
                <c:pt idx="6">
                  <c:v>46707781080</c:v>
                </c:pt>
                <c:pt idx="7">
                  <c:v>43306568632</c:v>
                </c:pt>
                <c:pt idx="8">
                  <c:v>39017459559</c:v>
                </c:pt>
                <c:pt idx="9">
                  <c:v>39795594403</c:v>
                </c:pt>
                <c:pt idx="10">
                  <c:v>46037072365</c:v>
                </c:pt>
                <c:pt idx="11">
                  <c:v>49374289119</c:v>
                </c:pt>
                <c:pt idx="12">
                  <c:v>58538431935</c:v>
                </c:pt>
                <c:pt idx="13">
                  <c:v>61612175769</c:v>
                </c:pt>
                <c:pt idx="14">
                  <c:v>66627586615</c:v>
                </c:pt>
                <c:pt idx="15">
                  <c:v>58342137323</c:v>
                </c:pt>
                <c:pt idx="16">
                  <c:v>66824287730</c:v>
                </c:pt>
                <c:pt idx="17">
                  <c:v>73261832819</c:v>
                </c:pt>
                <c:pt idx="18">
                  <c:v>77352933279</c:v>
                </c:pt>
                <c:pt idx="19">
                  <c:v>78534086027</c:v>
                </c:pt>
                <c:pt idx="20">
                  <c:v>82238731390</c:v>
                </c:pt>
                <c:pt idx="21">
                  <c:v>79504998482</c:v>
                </c:pt>
                <c:pt idx="22">
                  <c:v>74953962352</c:v>
                </c:pt>
                <c:pt idx="23">
                  <c:v>81938699742</c:v>
                </c:pt>
                <c:pt idx="24">
                  <c:v>85743054898</c:v>
                </c:pt>
                <c:pt idx="25">
                  <c:v>90403490416</c:v>
                </c:pt>
                <c:pt idx="26">
                  <c:v>83302693472</c:v>
                </c:pt>
                <c:pt idx="27" formatCode="General">
                  <c:v>91374000000</c:v>
                </c:pt>
                <c:pt idx="28" formatCode="General">
                  <c:v>93269441842</c:v>
                </c:pt>
                <c:pt idx="29" formatCode="General">
                  <c:v>99682000000</c:v>
                </c:pt>
              </c:numCache>
            </c:numRef>
          </c:val>
          <c:smooth val="0"/>
          <c:extLst>
            <c:ext xmlns:c16="http://schemas.microsoft.com/office/drawing/2014/chart" uri="{C3380CC4-5D6E-409C-BE32-E72D297353CC}">
              <c16:uniqueId val="{00000007-6F10-4046-93C7-2646563D0CAE}"/>
            </c:ext>
          </c:extLst>
        </c:ser>
        <c:dLbls>
          <c:showLegendKey val="0"/>
          <c:showVal val="0"/>
          <c:showCatName val="0"/>
          <c:showSerName val="0"/>
          <c:showPercent val="0"/>
          <c:showBubbleSize val="0"/>
        </c:dLbls>
        <c:smooth val="0"/>
        <c:axId val="1954972576"/>
        <c:axId val="1955411856"/>
      </c:lineChart>
      <c:catAx>
        <c:axId val="19549725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55411856"/>
        <c:crosses val="autoZero"/>
        <c:auto val="1"/>
        <c:lblAlgn val="ctr"/>
        <c:lblOffset val="100"/>
        <c:noMultiLvlLbl val="0"/>
      </c:catAx>
      <c:valAx>
        <c:axId val="1955411856"/>
        <c:scaling>
          <c:orientation val="minMax"/>
        </c:scaling>
        <c:delete val="0"/>
        <c:axPos val="l"/>
        <c:majorGridlines>
          <c:spPr>
            <a:ln w="9525" cap="flat" cmpd="sng" algn="ctr">
              <a:solidFill>
                <a:schemeClr val="tx1">
                  <a:lumMod val="15000"/>
                  <a:lumOff val="85000"/>
                </a:schemeClr>
              </a:solidFill>
              <a:round/>
            </a:ln>
            <a:effectLst/>
          </c:spPr>
        </c:majorGridlines>
        <c:numFmt formatCode="\ 0.0,,,&quot; billion €&quot;"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549725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2390</ap:Words>
  <ap:Characters>13623</ap:Characters>
  <ap:DocSecurity>0</ap:DocSecurity>
  <ap:Lines>113</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2024-12-16T12:59:00.0000000Z</dcterms:created>
  <dcterms:modified xsi:type="dcterms:W3CDTF">2024-12-16T16:02:00.0000000Z</dcterms:modified>
  <version/>
  <category/>
</coreProperties>
</file>