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0DB" w:rsidRDefault="000E7D82" w14:paraId="3C889531" w14:textId="77777777">
      <w:pPr>
        <w:pStyle w:val="StandaardAanhef"/>
      </w:pPr>
      <w:r>
        <w:t>Geachte voorzitter,</w:t>
      </w:r>
    </w:p>
    <w:p w:rsidR="000E7D82" w:rsidP="00D36A0C" w:rsidRDefault="00D36A0C" w14:paraId="5ED0417B" w14:textId="77777777">
      <w:pPr>
        <w:pStyle w:val="StandaardSlotzin"/>
      </w:pPr>
      <w:bookmarkStart w:name="_Hlk183705375" w:id="0"/>
      <w:bookmarkStart w:name="_Hlk183705590" w:id="1"/>
      <w:r>
        <w:t xml:space="preserve">Tijdens een schriftelijk overleg </w:t>
      </w:r>
      <w:r w:rsidRPr="00F93C6A" w:rsidR="00F93C6A">
        <w:t>met de vaste commissie voor Financiën</w:t>
      </w:r>
      <w:r w:rsidR="00F93C6A">
        <w:t xml:space="preserve"> </w:t>
      </w:r>
      <w:bookmarkEnd w:id="0"/>
      <w:r w:rsidR="00F93C6A">
        <w:t>(</w:t>
      </w:r>
      <w:r w:rsidRPr="00BF45E6" w:rsidR="00BF45E6">
        <w:t>Kamerstukken II 2023-2024, 36560-IX-10</w:t>
      </w:r>
      <w:r w:rsidR="00BF45E6">
        <w:t xml:space="preserve">), </w:t>
      </w:r>
      <w:r>
        <w:t xml:space="preserve">inzake </w:t>
      </w:r>
      <w:r w:rsidR="00923AE0">
        <w:t>het j</w:t>
      </w:r>
      <w:r>
        <w:t xml:space="preserve">aarverslag </w:t>
      </w:r>
      <w:r w:rsidR="00923AE0">
        <w:t xml:space="preserve">IX </w:t>
      </w:r>
      <w:r>
        <w:t xml:space="preserve">Ministerie van Financiën en Nationale Schuld 2023 en </w:t>
      </w:r>
      <w:r w:rsidR="00923AE0">
        <w:t xml:space="preserve">het </w:t>
      </w:r>
      <w:r>
        <w:t xml:space="preserve">rapport Resultaten verantwoordingsonderzoek 2023 bij het </w:t>
      </w:r>
      <w:r w:rsidR="00923AE0">
        <w:t xml:space="preserve">jaarverslag IX </w:t>
      </w:r>
      <w:r>
        <w:t>Ministerie van Financiën en Nationale Schuld</w:t>
      </w:r>
      <w:r w:rsidR="00923AE0">
        <w:t xml:space="preserve"> 2023</w:t>
      </w:r>
      <w:r w:rsidR="00F93C6A">
        <w:t>)</w:t>
      </w:r>
      <w:bookmarkEnd w:id="1"/>
      <w:r>
        <w:t xml:space="preserve"> heeft de Minister van Financiën toegezegd de Kamer voor het einde van het </w:t>
      </w:r>
      <w:r w:rsidR="008F2EA4">
        <w:t xml:space="preserve">jaar </w:t>
      </w:r>
      <w:r>
        <w:t xml:space="preserve">te informeren </w:t>
      </w:r>
      <w:bookmarkStart w:name="_Hlk183705440" w:id="2"/>
      <w:r>
        <w:t xml:space="preserve">over de stappen die genomen worden om het inkoopbeheer </w:t>
      </w:r>
      <w:r w:rsidR="00DC0935">
        <w:t xml:space="preserve">bij Financiën </w:t>
      </w:r>
      <w:r>
        <w:t xml:space="preserve">te verbeteren. </w:t>
      </w:r>
    </w:p>
    <w:bookmarkEnd w:id="2"/>
    <w:p w:rsidR="000E7D82" w:rsidP="000E7D82" w:rsidRDefault="000E7D82" w14:paraId="766CECDD" w14:textId="77777777"/>
    <w:p w:rsidRPr="000E7D82" w:rsidR="000E7D82" w:rsidP="000E7D82" w:rsidRDefault="008F2EA4" w14:paraId="4BC7CAAD" w14:textId="77777777">
      <w:pPr>
        <w:rPr>
          <w:b/>
          <w:bCs/>
        </w:rPr>
      </w:pPr>
      <w:r>
        <w:rPr>
          <w:b/>
          <w:bCs/>
        </w:rPr>
        <w:t>Inleiding</w:t>
      </w:r>
    </w:p>
    <w:p w:rsidR="00EE14A5" w:rsidP="00976AC9" w:rsidRDefault="00D36A0C" w14:paraId="4AB73A5F" w14:textId="77777777">
      <w:pPr>
        <w:pStyle w:val="StandaardSlotzin"/>
        <w:numPr>
          <w:ilvl w:val="0"/>
          <w:numId w:val="7"/>
        </w:numPr>
        <w:spacing w:before="0"/>
      </w:pPr>
      <w:bookmarkStart w:name="_Hlk183705687" w:id="3"/>
      <w:r>
        <w:t>Het betreft hier drie tekortkomingen uit het Verantwoordingsrapport 2023 van de AR en het Auditrapport 2023 van de ADR:</w:t>
      </w:r>
    </w:p>
    <w:p w:rsidR="00EE14A5" w:rsidP="00EE14A5" w:rsidRDefault="00EE14A5" w14:paraId="72471B16" w14:textId="77777777">
      <w:pPr>
        <w:pStyle w:val="StandaardSlotzin"/>
        <w:numPr>
          <w:ilvl w:val="0"/>
          <w:numId w:val="10"/>
        </w:numPr>
        <w:spacing w:before="0"/>
      </w:pPr>
      <w:r>
        <w:t>Inkoopbeheer Toeslagen</w:t>
      </w:r>
    </w:p>
    <w:p w:rsidR="00D36A0C" w:rsidP="00EE14A5" w:rsidRDefault="00EE14A5" w14:paraId="2CE70D42" w14:textId="77777777">
      <w:pPr>
        <w:pStyle w:val="StandaardSlotzin"/>
        <w:numPr>
          <w:ilvl w:val="0"/>
          <w:numId w:val="10"/>
        </w:numPr>
        <w:spacing w:before="0"/>
      </w:pPr>
      <w:r>
        <w:t>Inkoopbeheer Douane</w:t>
      </w:r>
    </w:p>
    <w:p w:rsidRPr="00EE14A5" w:rsidR="00EE14A5" w:rsidP="00EE14A5" w:rsidRDefault="00EE14A5" w14:paraId="36F476F7" w14:textId="77777777">
      <w:pPr>
        <w:pStyle w:val="StandaardSlotzin"/>
        <w:numPr>
          <w:ilvl w:val="0"/>
          <w:numId w:val="10"/>
        </w:numPr>
        <w:spacing w:before="0"/>
      </w:pPr>
      <w:r>
        <w:t xml:space="preserve">Inkoopbeheer Kerndepartement </w:t>
      </w:r>
      <w:r w:rsidR="008F2EA4">
        <w:t>Financiën</w:t>
      </w:r>
    </w:p>
    <w:bookmarkEnd w:id="3"/>
    <w:p w:rsidR="00D36A0C" w:rsidP="00976AC9" w:rsidRDefault="00EE14A5" w14:paraId="5B84C156" w14:textId="77777777">
      <w:pPr>
        <w:pStyle w:val="StandaardSlotzin"/>
        <w:numPr>
          <w:ilvl w:val="0"/>
          <w:numId w:val="7"/>
        </w:numPr>
        <w:spacing w:before="0"/>
      </w:pPr>
      <w:r>
        <w:t xml:space="preserve">De tekortkoming Inkoopbeheer Belastingdienst is in 2023 opgelost. Nu participeren collega’s van de Belastingdienst </w:t>
      </w:r>
      <w:r w:rsidR="004C1BBC">
        <w:t xml:space="preserve">in </w:t>
      </w:r>
      <w:r>
        <w:t xml:space="preserve">de verbeteraanpak Inkoopbeheer van andere onderdelen met opgedane kennis en best </w:t>
      </w:r>
      <w:proofErr w:type="spellStart"/>
      <w:r>
        <w:t>practices</w:t>
      </w:r>
      <w:proofErr w:type="spellEnd"/>
      <w:r>
        <w:t xml:space="preserve">. </w:t>
      </w:r>
      <w:r w:rsidR="00D36A0C">
        <w:t xml:space="preserve"> </w:t>
      </w:r>
    </w:p>
    <w:p w:rsidR="008F2EA4" w:rsidP="00976AC9" w:rsidRDefault="008F2EA4" w14:paraId="0EF9F7C2" w14:textId="77777777">
      <w:pPr>
        <w:pStyle w:val="StandaardSlotzin"/>
        <w:numPr>
          <w:ilvl w:val="0"/>
          <w:numId w:val="7"/>
        </w:numPr>
        <w:spacing w:before="0"/>
      </w:pPr>
      <w:r>
        <w:t xml:space="preserve">Financiën streeft naar een kwalitatief hoogwaardige bedrijfsvoering en tekortkomingen dienen effectief te worden opgepakt en opgelost. Over de voortgang vindt door het jaar heen overleg plaats met de AR en ADR.   </w:t>
      </w:r>
    </w:p>
    <w:p w:rsidR="008F2EA4" w:rsidP="008F2EA4" w:rsidRDefault="008F2EA4" w14:paraId="26A27617" w14:textId="77777777">
      <w:pPr>
        <w:rPr>
          <w:b/>
          <w:bCs/>
        </w:rPr>
      </w:pPr>
    </w:p>
    <w:p w:rsidR="00393DA5" w:rsidP="00393DA5" w:rsidRDefault="008F2EA4" w14:paraId="41991511" w14:textId="77777777">
      <w:pPr>
        <w:pStyle w:val="StandaardSlotzin"/>
        <w:spacing w:before="0"/>
        <w:rPr>
          <w:b/>
          <w:bCs/>
        </w:rPr>
      </w:pPr>
      <w:r w:rsidRPr="008F2EA4">
        <w:rPr>
          <w:b/>
          <w:bCs/>
        </w:rPr>
        <w:t xml:space="preserve">Status verbeteraanpak tekortkomingen inkoopbeheer </w:t>
      </w:r>
      <w:r w:rsidR="00393DA5">
        <w:rPr>
          <w:b/>
          <w:bCs/>
        </w:rPr>
        <w:t>a</w:t>
      </w:r>
      <w:r w:rsidRPr="00F11383" w:rsidR="00393DA5">
        <w:rPr>
          <w:b/>
          <w:bCs/>
        </w:rPr>
        <w:t>lgemeen</w:t>
      </w:r>
      <w:r w:rsidR="00393DA5">
        <w:rPr>
          <w:b/>
          <w:bCs/>
        </w:rPr>
        <w:t xml:space="preserve"> </w:t>
      </w:r>
    </w:p>
    <w:p w:rsidR="00DF448B" w:rsidP="00DF448B" w:rsidRDefault="00DF448B" w14:paraId="28C9F64F" w14:textId="77777777">
      <w:pPr>
        <w:pStyle w:val="StandaardSlotzin"/>
        <w:numPr>
          <w:ilvl w:val="0"/>
          <w:numId w:val="7"/>
        </w:numPr>
        <w:spacing w:before="0"/>
      </w:pPr>
      <w:r>
        <w:t>Voor twee tekortkomingen (Inkoopbeheer Douane resp. Toeslagen) is de ambitie (oplossen in 2024) bijgesteld naar 2025. Oorzaken van deze vertraging zijn:</w:t>
      </w:r>
    </w:p>
    <w:p w:rsidR="00DF448B" w:rsidP="00DF448B" w:rsidRDefault="00DF448B" w14:paraId="66FAF2F6" w14:textId="77777777">
      <w:pPr>
        <w:pStyle w:val="StandaardSlotzin"/>
        <w:numPr>
          <w:ilvl w:val="0"/>
          <w:numId w:val="10"/>
        </w:numPr>
        <w:spacing w:before="0"/>
      </w:pPr>
      <w:r>
        <w:t xml:space="preserve">De benodigde aanpassingen in het proces zijn ingrijpender dan voorzien, onder meer omdat gebleken is dat de processen op meer onderdelen dienden te worden verbeterd dan voorzien o.b.v. de aanvankelijke tekortkoming. </w:t>
      </w:r>
    </w:p>
    <w:p w:rsidR="00DF448B" w:rsidP="00DF448B" w:rsidRDefault="00DF448B" w14:paraId="4447C566" w14:textId="77777777">
      <w:pPr>
        <w:pStyle w:val="StandaardSlotzin"/>
        <w:numPr>
          <w:ilvl w:val="0"/>
          <w:numId w:val="10"/>
        </w:numPr>
        <w:spacing w:before="0"/>
      </w:pPr>
      <w:r>
        <w:t xml:space="preserve">Na implementatie van procesverbeteringen dient de werking in de praktijk (over een langere periode) bewezen te worden. Dit i.c.m. dat een procesverbetering vaak ook een cultuur/gedragsverandering vergt, </w:t>
      </w:r>
      <w:proofErr w:type="gramStart"/>
      <w:r>
        <w:t>kost  soms</w:t>
      </w:r>
      <w:proofErr w:type="gramEnd"/>
      <w:r>
        <w:t xml:space="preserve"> meer (doorloop)tijd dan waar vooraf rekening mee werd gehouden.  </w:t>
      </w:r>
    </w:p>
    <w:p w:rsidR="000E7D82" w:rsidP="000E7D82" w:rsidRDefault="000E7D82" w14:paraId="106CA177" w14:textId="77777777">
      <w:pPr>
        <w:pStyle w:val="Lijstalinea"/>
      </w:pPr>
    </w:p>
    <w:p w:rsidRPr="00944C77" w:rsidR="00DF448B" w:rsidP="00DF448B" w:rsidRDefault="00DF448B" w14:paraId="327B09AE" w14:textId="77777777">
      <w:pPr>
        <w:rPr>
          <w:b/>
          <w:bCs/>
        </w:rPr>
      </w:pPr>
      <w:r w:rsidRPr="00944C77">
        <w:rPr>
          <w:b/>
          <w:bCs/>
        </w:rPr>
        <w:lastRenderedPageBreak/>
        <w:t>Inkoopbeheer Toeslagen</w:t>
      </w:r>
    </w:p>
    <w:p w:rsidR="00DF448B" w:rsidP="00DF448B" w:rsidRDefault="00DF448B" w14:paraId="352F1B93" w14:textId="77777777">
      <w:pPr>
        <w:pStyle w:val="StandaardSlotzin"/>
        <w:numPr>
          <w:ilvl w:val="0"/>
          <w:numId w:val="7"/>
        </w:numPr>
        <w:spacing w:before="0"/>
      </w:pPr>
      <w:r>
        <w:t xml:space="preserve">De AR en ADR kwalificeren het inkoopbeheer van Toeslagen als niet toereikend, dit komt door knelpunten in het interne beheer zoals onvolledige vastlegging van de minicompetities. De inkoop van Toeslagen heeft vooral betrekking op de inhuur van extern personeel. </w:t>
      </w:r>
    </w:p>
    <w:p w:rsidR="00DF448B" w:rsidP="00DF448B" w:rsidRDefault="00DF448B" w14:paraId="6B419531" w14:textId="77777777">
      <w:pPr>
        <w:pStyle w:val="StandaardSlotzin"/>
        <w:numPr>
          <w:ilvl w:val="0"/>
          <w:numId w:val="7"/>
        </w:numPr>
        <w:spacing w:before="0"/>
      </w:pPr>
      <w:r>
        <w:t>Nieuwe beheersmaatregelen zijn en worden getroffen om dit op te lossen. Het kost echter ook tijd voor de effecten daarvan structureel aangetoond kunnen worden. Op basis van de resultaten van vorige jaren is de huidige verwachting dan ook dat de tolerantiegrens voor de rechtmatigheid van de verplichtingen en uitgaven van artikel 13 (Toeslagen) in 2024 overschreden zal worden.</w:t>
      </w:r>
    </w:p>
    <w:p w:rsidR="00DF448B" w:rsidP="00DF448B" w:rsidRDefault="00DF448B" w14:paraId="4E055AE2" w14:textId="77777777">
      <w:pPr>
        <w:pStyle w:val="Lijstalinea"/>
      </w:pPr>
    </w:p>
    <w:p w:rsidRPr="00944C77" w:rsidR="00DF448B" w:rsidP="00DF448B" w:rsidRDefault="00DF448B" w14:paraId="3E7C6119" w14:textId="77777777">
      <w:pPr>
        <w:rPr>
          <w:b/>
          <w:bCs/>
        </w:rPr>
      </w:pPr>
      <w:r w:rsidRPr="00944C77">
        <w:rPr>
          <w:b/>
          <w:bCs/>
        </w:rPr>
        <w:t xml:space="preserve">Inkoopbeheer Douane </w:t>
      </w:r>
    </w:p>
    <w:p w:rsidR="00DF448B" w:rsidP="00DF448B" w:rsidRDefault="00DF448B" w14:paraId="44A5E37C" w14:textId="77777777">
      <w:pPr>
        <w:pStyle w:val="StandaardSlotzin"/>
        <w:numPr>
          <w:ilvl w:val="0"/>
          <w:numId w:val="7"/>
        </w:numPr>
        <w:spacing w:before="0"/>
      </w:pPr>
      <w:r>
        <w:t xml:space="preserve">De AR en ADR kwalificeren ook het inkoopbeheer van Douane als niet toereikend. Procedures rondom minicompetities worden niet goed nageleefd, of uit de documentatie is niet op te maken of, in het kader van de uitvoering van de minicompetitie, het selectie- en gunningsproces juist is verlopen. </w:t>
      </w:r>
    </w:p>
    <w:p w:rsidR="00DF448B" w:rsidP="00DF448B" w:rsidRDefault="00DF448B" w14:paraId="2B14D900" w14:textId="77777777">
      <w:pPr>
        <w:pStyle w:val="StandaardSlotzin"/>
        <w:numPr>
          <w:ilvl w:val="0"/>
          <w:numId w:val="7"/>
        </w:numPr>
        <w:spacing w:before="0"/>
      </w:pPr>
      <w:r>
        <w:t>Er zijn en worden voor inkoopbeheer verbeteringen doorgevoerd. Deze hebben ook andere fouten en onzekerheden in het inkoopbeheer aan het licht gebracht, waardoor de tolerantiegrens op artikel 9 (Douane) naar verwachting wordt overschreden. Omdat de verbeteringen verder geëffectueerd moeten worden, wordt de tekortkoming op inkoopbeheer dit jaar waarschijnlijk niet opgelost.</w:t>
      </w:r>
    </w:p>
    <w:p w:rsidR="00944C77" w:rsidP="000E7D82" w:rsidRDefault="00944C77" w14:paraId="59D59D61" w14:textId="77777777">
      <w:pPr>
        <w:pStyle w:val="Lijstalinea"/>
      </w:pPr>
    </w:p>
    <w:p w:rsidRPr="00944C77" w:rsidR="00944C77" w:rsidP="00944C77" w:rsidRDefault="00944C77" w14:paraId="73037DE8" w14:textId="77777777">
      <w:pPr>
        <w:rPr>
          <w:b/>
          <w:bCs/>
        </w:rPr>
      </w:pPr>
      <w:r w:rsidRPr="00944C77">
        <w:rPr>
          <w:b/>
          <w:bCs/>
        </w:rPr>
        <w:t>Inkoopbeheer beleidsdepartement</w:t>
      </w:r>
    </w:p>
    <w:p w:rsidR="00944C77" w:rsidP="00976AC9" w:rsidRDefault="00944C77" w14:paraId="68022E28" w14:textId="77777777">
      <w:pPr>
        <w:pStyle w:val="StandaardSlotzin"/>
        <w:numPr>
          <w:ilvl w:val="0"/>
          <w:numId w:val="7"/>
        </w:numPr>
        <w:spacing w:before="0"/>
      </w:pPr>
      <w:r>
        <w:t>De AR en ADR hebben inkoopproblemen geconstateerd bij het contractbeheer en de onderbouwing van prestatieverklaringen. Ook worden fouten gezien in de betrouwbare weergave van de uitgaven en verplichtingen en dient het functioneren van het inkoopstelsel van het ministerie beter ingeregeld</w:t>
      </w:r>
      <w:r w:rsidR="005777E1">
        <w:t xml:space="preserve"> te worden</w:t>
      </w:r>
      <w:r>
        <w:t xml:space="preserve">. </w:t>
      </w:r>
    </w:p>
    <w:p w:rsidR="00944C77" w:rsidP="00976AC9" w:rsidRDefault="00944C77" w14:paraId="36B19E8E" w14:textId="77777777">
      <w:pPr>
        <w:pStyle w:val="StandaardSlotzin"/>
        <w:numPr>
          <w:ilvl w:val="0"/>
          <w:numId w:val="7"/>
        </w:numPr>
        <w:spacing w:before="0"/>
      </w:pPr>
      <w:r>
        <w:t xml:space="preserve">Verschillende maatregelen en verbeteracties zijn doorgevoerd. Veel aandacht gaat uit naar het goed onderbouwen van de prestatieverklaringen. De werking van </w:t>
      </w:r>
      <w:r w:rsidR="005777E1">
        <w:t xml:space="preserve">de </w:t>
      </w:r>
      <w:r>
        <w:t>verbeteracties worden op zijn vroegst in Q1 2025 zichtbaar door de nieuwe werkwijze i</w:t>
      </w:r>
      <w:r w:rsidR="005777E1">
        <w:t>.</w:t>
      </w:r>
      <w:r>
        <w:t>c</w:t>
      </w:r>
      <w:r w:rsidR="005777E1">
        <w:t>.</w:t>
      </w:r>
      <w:r>
        <w:t>m</w:t>
      </w:r>
      <w:r w:rsidR="005777E1">
        <w:t>.</w:t>
      </w:r>
      <w:r>
        <w:t xml:space="preserve"> een gedragsverandering (bijscholen van prestatieverklaarders) binnen het departement.</w:t>
      </w:r>
      <w:r w:rsidR="004A1049">
        <w:t xml:space="preserve"> De ambitie om deze tekortkoming op te lossen in 2025 </w:t>
      </w:r>
      <w:r w:rsidRPr="004A1049" w:rsidR="004A1049">
        <w:t>wordt naar verwachting gehaald.</w:t>
      </w:r>
    </w:p>
    <w:p w:rsidR="00B3445B" w:rsidP="000E7D82" w:rsidRDefault="00976AC9" w14:paraId="571C8840" w14:textId="77777777">
      <w:pPr>
        <w:pStyle w:val="StandaardSlotzin"/>
      </w:pPr>
      <w:r>
        <w:t xml:space="preserve">Ondanks de soms weerbarstige uitdagingen bij het oplossen van de tekortkomingen </w:t>
      </w:r>
      <w:r w:rsidR="0036277E">
        <w:t xml:space="preserve">inkoop </w:t>
      </w:r>
      <w:r>
        <w:t xml:space="preserve">blijven we de </w:t>
      </w:r>
      <w:r w:rsidR="00B3445B">
        <w:t xml:space="preserve">bedrijfsvoering </w:t>
      </w:r>
      <w:r>
        <w:t xml:space="preserve">van Financiën op dit punt verder verbeteren. Dit </w:t>
      </w:r>
      <w:r w:rsidR="00B3445B">
        <w:t>vraagt</w:t>
      </w:r>
      <w:r w:rsidR="000E7D82">
        <w:t xml:space="preserve"> </w:t>
      </w:r>
      <w:r w:rsidR="00B3445B">
        <w:t xml:space="preserve">tijd en aandacht, die mijn </w:t>
      </w:r>
      <w:r w:rsidR="00034BEB">
        <w:t>ministerie</w:t>
      </w:r>
      <w:r w:rsidR="00B3445B">
        <w:t xml:space="preserve"> aan dit onderwerp geeft.</w:t>
      </w:r>
    </w:p>
    <w:p w:rsidR="005540DB" w:rsidRDefault="000E7D82" w14:paraId="7CA3D0D8" w14:textId="77777777">
      <w:pPr>
        <w:pStyle w:val="StandaardSlotzin"/>
      </w:pPr>
      <w:r>
        <w:t>Hoogachtend,</w:t>
      </w:r>
    </w:p>
    <w:p w:rsidR="005540DB" w:rsidRDefault="005540DB" w14:paraId="338FE741"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5540DB" w14:paraId="5D2A1396" w14:textId="77777777">
        <w:tc>
          <w:tcPr>
            <w:tcW w:w="3592" w:type="dxa"/>
          </w:tcPr>
          <w:p w:rsidR="007308C7" w:rsidRDefault="000E7D82" w14:paraId="32A77AF6" w14:textId="77777777">
            <w:proofErr w:type="gramStart"/>
            <w:r>
              <w:t>de</w:t>
            </w:r>
            <w:proofErr w:type="gramEnd"/>
            <w:r>
              <w:t xml:space="preserve"> minister van Financiën,</w:t>
            </w:r>
            <w:r>
              <w:br/>
            </w:r>
            <w:r>
              <w:br/>
            </w:r>
            <w:r>
              <w:br/>
            </w:r>
            <w:r>
              <w:br/>
            </w:r>
          </w:p>
          <w:p w:rsidR="005540DB" w:rsidP="0015665B" w:rsidRDefault="000E7D82" w14:paraId="5E24FABE" w14:textId="77777777">
            <w:r>
              <w:br/>
              <w:t>E. Heinen</w:t>
            </w:r>
          </w:p>
        </w:tc>
        <w:tc>
          <w:tcPr>
            <w:tcW w:w="3892" w:type="dxa"/>
          </w:tcPr>
          <w:p w:rsidR="005540DB" w:rsidRDefault="005540DB" w14:paraId="4BB440E3" w14:textId="77777777"/>
        </w:tc>
      </w:tr>
    </w:tbl>
    <w:p w:rsidR="005540DB" w:rsidP="000E7D82" w:rsidRDefault="005540DB" w14:paraId="323E5A81" w14:textId="77777777">
      <w:pPr>
        <w:pStyle w:val="Verdana7"/>
      </w:pPr>
    </w:p>
    <w:sectPr w:rsidR="005540D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23CD" w14:textId="77777777" w:rsidR="003F6FCA" w:rsidRDefault="003F6FCA">
      <w:pPr>
        <w:spacing w:line="240" w:lineRule="auto"/>
      </w:pPr>
      <w:r>
        <w:separator/>
      </w:r>
    </w:p>
  </w:endnote>
  <w:endnote w:type="continuationSeparator" w:id="0">
    <w:p w14:paraId="0D7974EE" w14:textId="77777777" w:rsidR="003F6FCA" w:rsidRDefault="003F6F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F620" w14:textId="77777777" w:rsidR="003F6FCA" w:rsidRDefault="003F6FCA">
      <w:pPr>
        <w:spacing w:line="240" w:lineRule="auto"/>
      </w:pPr>
      <w:r>
        <w:separator/>
      </w:r>
    </w:p>
  </w:footnote>
  <w:footnote w:type="continuationSeparator" w:id="0">
    <w:p w14:paraId="017FEB99" w14:textId="77777777" w:rsidR="003F6FCA" w:rsidRDefault="003F6F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F93B" w14:textId="77777777" w:rsidR="005540DB" w:rsidRDefault="000E7D82">
    <w:r>
      <w:rPr>
        <w:noProof/>
      </w:rPr>
      <mc:AlternateContent>
        <mc:Choice Requires="wps">
          <w:drawing>
            <wp:anchor distT="0" distB="0" distL="0" distR="0" simplePos="0" relativeHeight="251652096" behindDoc="0" locked="1" layoutInCell="1" allowOverlap="1" wp14:anchorId="7B7BB611" wp14:editId="5404B76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3FEFB77" w14:textId="77777777" w:rsidR="005540DB" w:rsidRDefault="000E7D82">
                          <w:pPr>
                            <w:pStyle w:val="StandaardReferentiegegevensKop"/>
                          </w:pPr>
                          <w:r>
                            <w:t>Directie Financieel-Economische Zaken</w:t>
                          </w:r>
                        </w:p>
                        <w:p w14:paraId="5801C9C3" w14:textId="77777777" w:rsidR="005540DB" w:rsidRDefault="005540DB">
                          <w:pPr>
                            <w:pStyle w:val="WitregelW1"/>
                          </w:pPr>
                        </w:p>
                        <w:p w14:paraId="57A62D42" w14:textId="77777777" w:rsidR="005540DB" w:rsidRDefault="000E7D82">
                          <w:pPr>
                            <w:pStyle w:val="StandaardReferentiegegevensKop"/>
                          </w:pPr>
                          <w:r>
                            <w:t>Ons kenmerk</w:t>
                          </w:r>
                        </w:p>
                        <w:p w14:paraId="1D231AA4" w14:textId="77777777" w:rsidR="0001283D" w:rsidRDefault="00E10B9D" w:rsidP="00E10B9D">
                          <w:pPr>
                            <w:pStyle w:val="StandaardReferentiegegevens"/>
                          </w:pPr>
                          <w:r w:rsidRPr="00E10B9D">
                            <w:t>2024-0000554335</w:t>
                          </w:r>
                        </w:p>
                      </w:txbxContent>
                    </wps:txbx>
                    <wps:bodyPr vert="horz" wrap="square" lIns="0" tIns="0" rIns="0" bIns="0" anchor="t" anchorCtr="0"/>
                  </wps:wsp>
                </a:graphicData>
              </a:graphic>
            </wp:anchor>
          </w:drawing>
        </mc:Choice>
        <mc:Fallback>
          <w:pict>
            <v:shapetype w14:anchorId="7B7BB61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3FEFB77" w14:textId="77777777" w:rsidR="005540DB" w:rsidRDefault="000E7D82">
                    <w:pPr>
                      <w:pStyle w:val="StandaardReferentiegegevensKop"/>
                    </w:pPr>
                    <w:r>
                      <w:t>Directie Financieel-Economische Zaken</w:t>
                    </w:r>
                  </w:p>
                  <w:p w14:paraId="5801C9C3" w14:textId="77777777" w:rsidR="005540DB" w:rsidRDefault="005540DB">
                    <w:pPr>
                      <w:pStyle w:val="WitregelW1"/>
                    </w:pPr>
                  </w:p>
                  <w:p w14:paraId="57A62D42" w14:textId="77777777" w:rsidR="005540DB" w:rsidRDefault="000E7D82">
                    <w:pPr>
                      <w:pStyle w:val="StandaardReferentiegegevensKop"/>
                    </w:pPr>
                    <w:r>
                      <w:t>Ons kenmerk</w:t>
                    </w:r>
                  </w:p>
                  <w:p w14:paraId="1D231AA4" w14:textId="77777777" w:rsidR="0001283D" w:rsidRDefault="00E10B9D" w:rsidP="00E10B9D">
                    <w:pPr>
                      <w:pStyle w:val="StandaardReferentiegegevens"/>
                    </w:pPr>
                    <w:r w:rsidRPr="00E10B9D">
                      <w:t>2024-0000554335</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3FD467B" wp14:editId="3685C8E2">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12FDC66" w14:textId="77777777" w:rsidR="000A2020" w:rsidRDefault="007C2B9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3FD467B"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12FDC66" w14:textId="77777777" w:rsidR="000A2020" w:rsidRDefault="007C2B9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57844AB" wp14:editId="31EF214C">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4D2EE26" w14:textId="77777777" w:rsidR="000A2020" w:rsidRDefault="007C2B9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57844AB"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4D2EE26" w14:textId="77777777" w:rsidR="000A2020" w:rsidRDefault="007C2B9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FC59" w14:textId="77777777" w:rsidR="005540DB" w:rsidRDefault="000E7D82">
    <w:pPr>
      <w:spacing w:after="7029" w:line="14" w:lineRule="exact"/>
    </w:pPr>
    <w:r>
      <w:rPr>
        <w:noProof/>
      </w:rPr>
      <mc:AlternateContent>
        <mc:Choice Requires="wps">
          <w:drawing>
            <wp:anchor distT="0" distB="0" distL="0" distR="0" simplePos="0" relativeHeight="251655168" behindDoc="0" locked="1" layoutInCell="1" allowOverlap="1" wp14:anchorId="3DDD3DE5" wp14:editId="6B9C597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2815A88" w14:textId="77777777" w:rsidR="005540DB" w:rsidRDefault="000E7D82">
                          <w:pPr>
                            <w:spacing w:line="240" w:lineRule="auto"/>
                          </w:pPr>
                          <w:r>
                            <w:rPr>
                              <w:noProof/>
                            </w:rPr>
                            <w:drawing>
                              <wp:inline distT="0" distB="0" distL="0" distR="0" wp14:anchorId="14F16D0E" wp14:editId="0CF160E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DDD3DE5"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2815A88" w14:textId="77777777" w:rsidR="005540DB" w:rsidRDefault="000E7D82">
                    <w:pPr>
                      <w:spacing w:line="240" w:lineRule="auto"/>
                    </w:pPr>
                    <w:r>
                      <w:rPr>
                        <w:noProof/>
                      </w:rPr>
                      <w:drawing>
                        <wp:inline distT="0" distB="0" distL="0" distR="0" wp14:anchorId="14F16D0E" wp14:editId="0CF160E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8225F23" wp14:editId="09A8A14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4873DA1" w14:textId="77777777" w:rsidR="000E7D82" w:rsidRDefault="000E7D82"/>
                      </w:txbxContent>
                    </wps:txbx>
                    <wps:bodyPr vert="horz" wrap="square" lIns="0" tIns="0" rIns="0" bIns="0" anchor="t" anchorCtr="0"/>
                  </wps:wsp>
                </a:graphicData>
              </a:graphic>
            </wp:anchor>
          </w:drawing>
        </mc:Choice>
        <mc:Fallback>
          <w:pict>
            <v:shape w14:anchorId="68225F23"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4873DA1" w14:textId="77777777" w:rsidR="000E7D82" w:rsidRDefault="000E7D82"/>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53EDE6E" wp14:editId="77E7F50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F492EEA" w14:textId="77777777" w:rsidR="005540DB" w:rsidRDefault="000E7D82">
                          <w:pPr>
                            <w:pStyle w:val="StandaardReferentiegegevensKop"/>
                          </w:pPr>
                          <w:r>
                            <w:t>Directie Financieel-Economische Zaken</w:t>
                          </w:r>
                        </w:p>
                        <w:p w14:paraId="459995AF" w14:textId="77777777" w:rsidR="005540DB" w:rsidRDefault="005540DB">
                          <w:pPr>
                            <w:pStyle w:val="WitregelW1"/>
                          </w:pPr>
                        </w:p>
                        <w:p w14:paraId="301040C7" w14:textId="77777777" w:rsidR="005540DB" w:rsidRDefault="000E7D82">
                          <w:pPr>
                            <w:pStyle w:val="StandaardReferentiegegevens"/>
                          </w:pPr>
                          <w:r>
                            <w:t>Korte Voorhout 7</w:t>
                          </w:r>
                        </w:p>
                        <w:p w14:paraId="7A91E2D6" w14:textId="77777777" w:rsidR="005540DB" w:rsidRDefault="000E7D82">
                          <w:pPr>
                            <w:pStyle w:val="StandaardReferentiegegevens"/>
                          </w:pPr>
                          <w:r>
                            <w:t>2511 CW  'S-GRAVENHAGE</w:t>
                          </w:r>
                        </w:p>
                        <w:p w14:paraId="49B8360F" w14:textId="77777777" w:rsidR="005540DB" w:rsidRDefault="000E7D82">
                          <w:pPr>
                            <w:pStyle w:val="StandaardReferentiegegevens"/>
                          </w:pPr>
                          <w:r>
                            <w:t>POSTBUS 20201</w:t>
                          </w:r>
                        </w:p>
                        <w:p w14:paraId="3AFEC347" w14:textId="77777777" w:rsidR="005540DB" w:rsidRDefault="000E7D82">
                          <w:pPr>
                            <w:pStyle w:val="StandaardReferentiegegevens"/>
                          </w:pPr>
                          <w:r>
                            <w:t>2500 EE  'S-GRAVENHAGE</w:t>
                          </w:r>
                        </w:p>
                        <w:p w14:paraId="5A964EDC" w14:textId="77777777" w:rsidR="005540DB" w:rsidRDefault="000E7D82">
                          <w:pPr>
                            <w:pStyle w:val="StandaardReferentiegegevens"/>
                          </w:pPr>
                          <w:proofErr w:type="gramStart"/>
                          <w:r>
                            <w:t>www.rijksoverheid.nl/fin</w:t>
                          </w:r>
                          <w:proofErr w:type="gramEnd"/>
                        </w:p>
                        <w:p w14:paraId="535C467B" w14:textId="77777777" w:rsidR="005540DB" w:rsidRDefault="005540DB">
                          <w:pPr>
                            <w:pStyle w:val="WitregelW2"/>
                          </w:pPr>
                        </w:p>
                        <w:p w14:paraId="1608C07E" w14:textId="77777777" w:rsidR="00E10B9D" w:rsidRPr="00E10B9D" w:rsidRDefault="000E7D82" w:rsidP="00E10B9D">
                          <w:pPr>
                            <w:pStyle w:val="StandaardReferentiegegevensKop"/>
                          </w:pPr>
                          <w:r>
                            <w:t>Ons kenmerk</w:t>
                          </w:r>
                        </w:p>
                        <w:p w14:paraId="68CD5326" w14:textId="77777777" w:rsidR="00E10B9D" w:rsidRDefault="00E10B9D">
                          <w:pPr>
                            <w:pStyle w:val="WitregelW1"/>
                            <w:rPr>
                              <w:sz w:val="13"/>
                              <w:szCs w:val="13"/>
                            </w:rPr>
                          </w:pPr>
                        </w:p>
                        <w:p w14:paraId="27FBCD8B" w14:textId="77777777" w:rsidR="00E10B9D" w:rsidRDefault="00E10B9D" w:rsidP="00E10B9D">
                          <w:pPr>
                            <w:pStyle w:val="StandaardReferentiegegevens"/>
                          </w:pPr>
                          <w:r w:rsidRPr="00E10B9D">
                            <w:t>2024-0000554335</w:t>
                          </w:r>
                        </w:p>
                        <w:p w14:paraId="02092730" w14:textId="77777777" w:rsidR="00E10B9D" w:rsidRPr="00E10B9D" w:rsidRDefault="00E10B9D" w:rsidP="00E10B9D"/>
                        <w:p w14:paraId="3431202C" w14:textId="77777777" w:rsidR="005540DB" w:rsidRDefault="000E7D82">
                          <w:pPr>
                            <w:pStyle w:val="StandaardReferentiegegevensKop"/>
                          </w:pPr>
                          <w:r>
                            <w:t>Uw brief (kenmerk)</w:t>
                          </w:r>
                        </w:p>
                        <w:p w14:paraId="5BAC199E" w14:textId="77777777" w:rsidR="000A2020" w:rsidRDefault="007C2B9A">
                          <w:pPr>
                            <w:pStyle w:val="StandaardReferentiegegevens"/>
                          </w:pPr>
                          <w:r>
                            <w:fldChar w:fldCharType="begin"/>
                          </w:r>
                          <w:r>
                            <w:instrText xml:space="preserve"> DOCPROPERTY  "UwKenmerk"  \* MERGEFORMAT </w:instrText>
                          </w:r>
                          <w:r>
                            <w:fldChar w:fldCharType="end"/>
                          </w:r>
                        </w:p>
                        <w:p w14:paraId="745FA6E0" w14:textId="77777777" w:rsidR="005540DB" w:rsidRDefault="005540DB">
                          <w:pPr>
                            <w:pStyle w:val="WitregelW1"/>
                          </w:pPr>
                        </w:p>
                      </w:txbxContent>
                    </wps:txbx>
                    <wps:bodyPr vert="horz" wrap="square" lIns="0" tIns="0" rIns="0" bIns="0" anchor="t" anchorCtr="0"/>
                  </wps:wsp>
                </a:graphicData>
              </a:graphic>
            </wp:anchor>
          </w:drawing>
        </mc:Choice>
        <mc:Fallback>
          <w:pict>
            <v:shape w14:anchorId="253EDE6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F492EEA" w14:textId="77777777" w:rsidR="005540DB" w:rsidRDefault="000E7D82">
                    <w:pPr>
                      <w:pStyle w:val="StandaardReferentiegegevensKop"/>
                    </w:pPr>
                    <w:r>
                      <w:t>Directie Financieel-Economische Zaken</w:t>
                    </w:r>
                  </w:p>
                  <w:p w14:paraId="459995AF" w14:textId="77777777" w:rsidR="005540DB" w:rsidRDefault="005540DB">
                    <w:pPr>
                      <w:pStyle w:val="WitregelW1"/>
                    </w:pPr>
                  </w:p>
                  <w:p w14:paraId="301040C7" w14:textId="77777777" w:rsidR="005540DB" w:rsidRDefault="000E7D82">
                    <w:pPr>
                      <w:pStyle w:val="StandaardReferentiegegevens"/>
                    </w:pPr>
                    <w:r>
                      <w:t>Korte Voorhout 7</w:t>
                    </w:r>
                  </w:p>
                  <w:p w14:paraId="7A91E2D6" w14:textId="77777777" w:rsidR="005540DB" w:rsidRDefault="000E7D82">
                    <w:pPr>
                      <w:pStyle w:val="StandaardReferentiegegevens"/>
                    </w:pPr>
                    <w:r>
                      <w:t>2511 CW  'S-GRAVENHAGE</w:t>
                    </w:r>
                  </w:p>
                  <w:p w14:paraId="49B8360F" w14:textId="77777777" w:rsidR="005540DB" w:rsidRDefault="000E7D82">
                    <w:pPr>
                      <w:pStyle w:val="StandaardReferentiegegevens"/>
                    </w:pPr>
                    <w:r>
                      <w:t>POSTBUS 20201</w:t>
                    </w:r>
                  </w:p>
                  <w:p w14:paraId="3AFEC347" w14:textId="77777777" w:rsidR="005540DB" w:rsidRDefault="000E7D82">
                    <w:pPr>
                      <w:pStyle w:val="StandaardReferentiegegevens"/>
                    </w:pPr>
                    <w:r>
                      <w:t>2500 EE  'S-GRAVENHAGE</w:t>
                    </w:r>
                  </w:p>
                  <w:p w14:paraId="5A964EDC" w14:textId="77777777" w:rsidR="005540DB" w:rsidRDefault="000E7D82">
                    <w:pPr>
                      <w:pStyle w:val="StandaardReferentiegegevens"/>
                    </w:pPr>
                    <w:proofErr w:type="gramStart"/>
                    <w:r>
                      <w:t>www.rijksoverheid.nl/fin</w:t>
                    </w:r>
                    <w:proofErr w:type="gramEnd"/>
                  </w:p>
                  <w:p w14:paraId="535C467B" w14:textId="77777777" w:rsidR="005540DB" w:rsidRDefault="005540DB">
                    <w:pPr>
                      <w:pStyle w:val="WitregelW2"/>
                    </w:pPr>
                  </w:p>
                  <w:p w14:paraId="1608C07E" w14:textId="77777777" w:rsidR="00E10B9D" w:rsidRPr="00E10B9D" w:rsidRDefault="000E7D82" w:rsidP="00E10B9D">
                    <w:pPr>
                      <w:pStyle w:val="StandaardReferentiegegevensKop"/>
                    </w:pPr>
                    <w:r>
                      <w:t>Ons kenmerk</w:t>
                    </w:r>
                  </w:p>
                  <w:p w14:paraId="68CD5326" w14:textId="77777777" w:rsidR="00E10B9D" w:rsidRDefault="00E10B9D">
                    <w:pPr>
                      <w:pStyle w:val="WitregelW1"/>
                      <w:rPr>
                        <w:sz w:val="13"/>
                        <w:szCs w:val="13"/>
                      </w:rPr>
                    </w:pPr>
                  </w:p>
                  <w:p w14:paraId="27FBCD8B" w14:textId="77777777" w:rsidR="00E10B9D" w:rsidRDefault="00E10B9D" w:rsidP="00E10B9D">
                    <w:pPr>
                      <w:pStyle w:val="StandaardReferentiegegevens"/>
                    </w:pPr>
                    <w:r w:rsidRPr="00E10B9D">
                      <w:t>2024-0000554335</w:t>
                    </w:r>
                  </w:p>
                  <w:p w14:paraId="02092730" w14:textId="77777777" w:rsidR="00E10B9D" w:rsidRPr="00E10B9D" w:rsidRDefault="00E10B9D" w:rsidP="00E10B9D"/>
                  <w:p w14:paraId="3431202C" w14:textId="77777777" w:rsidR="005540DB" w:rsidRDefault="000E7D82">
                    <w:pPr>
                      <w:pStyle w:val="StandaardReferentiegegevensKop"/>
                    </w:pPr>
                    <w:r>
                      <w:t>Uw brief (kenmerk)</w:t>
                    </w:r>
                  </w:p>
                  <w:p w14:paraId="5BAC199E" w14:textId="77777777" w:rsidR="000A2020" w:rsidRDefault="007C2B9A">
                    <w:pPr>
                      <w:pStyle w:val="StandaardReferentiegegevens"/>
                    </w:pPr>
                    <w:r>
                      <w:fldChar w:fldCharType="begin"/>
                    </w:r>
                    <w:r>
                      <w:instrText xml:space="preserve"> DOCPROPERTY  "UwKenmerk"  \* MERGEFORMAT </w:instrText>
                    </w:r>
                    <w:r>
                      <w:fldChar w:fldCharType="end"/>
                    </w:r>
                  </w:p>
                  <w:p w14:paraId="745FA6E0" w14:textId="77777777" w:rsidR="005540DB" w:rsidRDefault="005540DB">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8B104C9" wp14:editId="5A115FAB">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8D0FE3E" w14:textId="77777777" w:rsidR="005540DB" w:rsidRDefault="000E7D82">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8B104C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8D0FE3E" w14:textId="77777777" w:rsidR="005540DB" w:rsidRDefault="000E7D82">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7901C5A" wp14:editId="1E9CA4D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596DDE6" w14:textId="77777777" w:rsidR="000A2020" w:rsidRDefault="007C2B9A">
                          <w:pPr>
                            <w:pStyle w:val="Rubricering"/>
                          </w:pPr>
                          <w:r>
                            <w:fldChar w:fldCharType="begin"/>
                          </w:r>
                          <w:r>
                            <w:instrText xml:space="preserve"> DOCPROPERTY  "Rubricering"  \* MERGEFORMAT </w:instrText>
                          </w:r>
                          <w:r>
                            <w:fldChar w:fldCharType="end"/>
                          </w:r>
                        </w:p>
                        <w:p w14:paraId="27CB8232" w14:textId="77777777" w:rsidR="005540DB" w:rsidRDefault="000E7D82">
                          <w:r>
                            <w:t>Voorzitter van de Tweede Kamer der Staten-Generaal</w:t>
                          </w:r>
                          <w:r>
                            <w:br/>
                            <w:t>Postbus 20018</w:t>
                          </w:r>
                          <w:r>
                            <w:br/>
                            <w:t>2500 EA  DEN HAAG</w:t>
                          </w:r>
                        </w:p>
                      </w:txbxContent>
                    </wps:txbx>
                    <wps:bodyPr vert="horz" wrap="square" lIns="0" tIns="0" rIns="0" bIns="0" anchor="t" anchorCtr="0"/>
                  </wps:wsp>
                </a:graphicData>
              </a:graphic>
            </wp:anchor>
          </w:drawing>
        </mc:Choice>
        <mc:Fallback>
          <w:pict>
            <v:shape w14:anchorId="67901C5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596DDE6" w14:textId="77777777" w:rsidR="000A2020" w:rsidRDefault="007C2B9A">
                    <w:pPr>
                      <w:pStyle w:val="Rubricering"/>
                    </w:pPr>
                    <w:r>
                      <w:fldChar w:fldCharType="begin"/>
                    </w:r>
                    <w:r>
                      <w:instrText xml:space="preserve"> DOCPROPERTY  "Rubricering"  \* MERGEFORMAT </w:instrText>
                    </w:r>
                    <w:r>
                      <w:fldChar w:fldCharType="end"/>
                    </w:r>
                  </w:p>
                  <w:p w14:paraId="27CB8232" w14:textId="77777777" w:rsidR="005540DB" w:rsidRDefault="000E7D82">
                    <w:r>
                      <w:t>Voorzitter van de Tweede Kamer 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A6D1835" wp14:editId="4646A15D">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D30BC7D" w14:textId="77777777" w:rsidR="000A2020" w:rsidRDefault="007C2B9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A6D183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D30BC7D" w14:textId="77777777" w:rsidR="000A2020" w:rsidRDefault="007C2B9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EA94D38" wp14:editId="60042E6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540DB" w14:paraId="51B83B1D" w14:textId="77777777">
                            <w:trPr>
                              <w:trHeight w:val="200"/>
                            </w:trPr>
                            <w:tc>
                              <w:tcPr>
                                <w:tcW w:w="1140" w:type="dxa"/>
                              </w:tcPr>
                              <w:p w14:paraId="22DC420C" w14:textId="77777777" w:rsidR="005540DB" w:rsidRDefault="005540DB"/>
                            </w:tc>
                            <w:tc>
                              <w:tcPr>
                                <w:tcW w:w="5400" w:type="dxa"/>
                              </w:tcPr>
                              <w:p w14:paraId="76DE8599" w14:textId="77777777" w:rsidR="005540DB" w:rsidRDefault="005540DB"/>
                            </w:tc>
                          </w:tr>
                          <w:tr w:rsidR="005540DB" w14:paraId="466FF75F" w14:textId="77777777">
                            <w:trPr>
                              <w:trHeight w:val="240"/>
                            </w:trPr>
                            <w:tc>
                              <w:tcPr>
                                <w:tcW w:w="1140" w:type="dxa"/>
                              </w:tcPr>
                              <w:p w14:paraId="23C09D2E" w14:textId="77777777" w:rsidR="005540DB" w:rsidRDefault="000E7D82">
                                <w:r>
                                  <w:t>Datum</w:t>
                                </w:r>
                              </w:p>
                            </w:tc>
                            <w:tc>
                              <w:tcPr>
                                <w:tcW w:w="5400" w:type="dxa"/>
                              </w:tcPr>
                              <w:p w14:paraId="2F5AB8CA" w14:textId="523B7FB8" w:rsidR="005540DB" w:rsidRDefault="007C2B9A">
                                <w:r>
                                  <w:t>17 december 2024</w:t>
                                </w:r>
                              </w:p>
                            </w:tc>
                          </w:tr>
                          <w:tr w:rsidR="005540DB" w14:paraId="2615381F" w14:textId="77777777">
                            <w:trPr>
                              <w:trHeight w:val="240"/>
                            </w:trPr>
                            <w:tc>
                              <w:tcPr>
                                <w:tcW w:w="1140" w:type="dxa"/>
                              </w:tcPr>
                              <w:p w14:paraId="5071D71F" w14:textId="77777777" w:rsidR="005540DB" w:rsidRDefault="000E7D82">
                                <w:r>
                                  <w:t>Betreft</w:t>
                                </w:r>
                              </w:p>
                            </w:tc>
                            <w:tc>
                              <w:tcPr>
                                <w:tcW w:w="5400" w:type="dxa"/>
                              </w:tcPr>
                              <w:p w14:paraId="3A569169" w14:textId="77777777" w:rsidR="00542A5E" w:rsidRDefault="00FF3AAF">
                                <w:r>
                                  <w:t xml:space="preserve">Voortgang verbeteraanpak tekortkoming inkoop bij </w:t>
                                </w:r>
                                <w:r w:rsidR="0036277E">
                                  <w:t>Financiën</w:t>
                                </w:r>
                              </w:p>
                            </w:tc>
                          </w:tr>
                          <w:tr w:rsidR="005540DB" w14:paraId="5866FD1F" w14:textId="77777777">
                            <w:trPr>
                              <w:trHeight w:val="200"/>
                            </w:trPr>
                            <w:tc>
                              <w:tcPr>
                                <w:tcW w:w="1140" w:type="dxa"/>
                              </w:tcPr>
                              <w:p w14:paraId="1716C1F9" w14:textId="77777777" w:rsidR="005540DB" w:rsidRDefault="005540DB"/>
                            </w:tc>
                            <w:tc>
                              <w:tcPr>
                                <w:tcW w:w="4738" w:type="dxa"/>
                              </w:tcPr>
                              <w:p w14:paraId="5F1C3696" w14:textId="77777777" w:rsidR="005540DB" w:rsidRDefault="005540DB"/>
                            </w:tc>
                          </w:tr>
                        </w:tbl>
                        <w:p w14:paraId="020965EF" w14:textId="77777777" w:rsidR="000E7D82" w:rsidRDefault="000E7D82"/>
                      </w:txbxContent>
                    </wps:txbx>
                    <wps:bodyPr vert="horz" wrap="square" lIns="0" tIns="0" rIns="0" bIns="0" anchor="t" anchorCtr="0"/>
                  </wps:wsp>
                </a:graphicData>
              </a:graphic>
            </wp:anchor>
          </w:drawing>
        </mc:Choice>
        <mc:Fallback>
          <w:pict>
            <v:shape w14:anchorId="1EA94D3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5540DB" w14:paraId="51B83B1D" w14:textId="77777777">
                      <w:trPr>
                        <w:trHeight w:val="200"/>
                      </w:trPr>
                      <w:tc>
                        <w:tcPr>
                          <w:tcW w:w="1140" w:type="dxa"/>
                        </w:tcPr>
                        <w:p w14:paraId="22DC420C" w14:textId="77777777" w:rsidR="005540DB" w:rsidRDefault="005540DB"/>
                      </w:tc>
                      <w:tc>
                        <w:tcPr>
                          <w:tcW w:w="5400" w:type="dxa"/>
                        </w:tcPr>
                        <w:p w14:paraId="76DE8599" w14:textId="77777777" w:rsidR="005540DB" w:rsidRDefault="005540DB"/>
                      </w:tc>
                    </w:tr>
                    <w:tr w:rsidR="005540DB" w14:paraId="466FF75F" w14:textId="77777777">
                      <w:trPr>
                        <w:trHeight w:val="240"/>
                      </w:trPr>
                      <w:tc>
                        <w:tcPr>
                          <w:tcW w:w="1140" w:type="dxa"/>
                        </w:tcPr>
                        <w:p w14:paraId="23C09D2E" w14:textId="77777777" w:rsidR="005540DB" w:rsidRDefault="000E7D82">
                          <w:r>
                            <w:t>Datum</w:t>
                          </w:r>
                        </w:p>
                      </w:tc>
                      <w:tc>
                        <w:tcPr>
                          <w:tcW w:w="5400" w:type="dxa"/>
                        </w:tcPr>
                        <w:p w14:paraId="2F5AB8CA" w14:textId="523B7FB8" w:rsidR="005540DB" w:rsidRDefault="007C2B9A">
                          <w:r>
                            <w:t>17 december 2024</w:t>
                          </w:r>
                        </w:p>
                      </w:tc>
                    </w:tr>
                    <w:tr w:rsidR="005540DB" w14:paraId="2615381F" w14:textId="77777777">
                      <w:trPr>
                        <w:trHeight w:val="240"/>
                      </w:trPr>
                      <w:tc>
                        <w:tcPr>
                          <w:tcW w:w="1140" w:type="dxa"/>
                        </w:tcPr>
                        <w:p w14:paraId="5071D71F" w14:textId="77777777" w:rsidR="005540DB" w:rsidRDefault="000E7D82">
                          <w:r>
                            <w:t>Betreft</w:t>
                          </w:r>
                        </w:p>
                      </w:tc>
                      <w:tc>
                        <w:tcPr>
                          <w:tcW w:w="5400" w:type="dxa"/>
                        </w:tcPr>
                        <w:p w14:paraId="3A569169" w14:textId="77777777" w:rsidR="00542A5E" w:rsidRDefault="00FF3AAF">
                          <w:r>
                            <w:t xml:space="preserve">Voortgang verbeteraanpak tekortkoming inkoop bij </w:t>
                          </w:r>
                          <w:r w:rsidR="0036277E">
                            <w:t>Financiën</w:t>
                          </w:r>
                        </w:p>
                      </w:tc>
                    </w:tr>
                    <w:tr w:rsidR="005540DB" w14:paraId="5866FD1F" w14:textId="77777777">
                      <w:trPr>
                        <w:trHeight w:val="200"/>
                      </w:trPr>
                      <w:tc>
                        <w:tcPr>
                          <w:tcW w:w="1140" w:type="dxa"/>
                        </w:tcPr>
                        <w:p w14:paraId="1716C1F9" w14:textId="77777777" w:rsidR="005540DB" w:rsidRDefault="005540DB"/>
                      </w:tc>
                      <w:tc>
                        <w:tcPr>
                          <w:tcW w:w="4738" w:type="dxa"/>
                        </w:tcPr>
                        <w:p w14:paraId="5F1C3696" w14:textId="77777777" w:rsidR="005540DB" w:rsidRDefault="005540DB"/>
                      </w:tc>
                    </w:tr>
                  </w:tbl>
                  <w:p w14:paraId="020965EF" w14:textId="77777777" w:rsidR="000E7D82" w:rsidRDefault="000E7D8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B7586E1" wp14:editId="06C42E9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07E7C77" w14:textId="77777777" w:rsidR="000A2020" w:rsidRDefault="007C2B9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B7586E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07E7C77" w14:textId="77777777" w:rsidR="000A2020" w:rsidRDefault="007C2B9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F3B5FCC" wp14:editId="13D6D6E6">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65ED485" w14:textId="77777777" w:rsidR="000E7D82" w:rsidRDefault="000E7D82"/>
                      </w:txbxContent>
                    </wps:txbx>
                    <wps:bodyPr vert="horz" wrap="square" lIns="0" tIns="0" rIns="0" bIns="0" anchor="t" anchorCtr="0"/>
                  </wps:wsp>
                </a:graphicData>
              </a:graphic>
            </wp:anchor>
          </w:drawing>
        </mc:Choice>
        <mc:Fallback>
          <w:pict>
            <v:shape w14:anchorId="2F3B5FCC"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65ED485" w14:textId="77777777" w:rsidR="000E7D82" w:rsidRDefault="000E7D8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B344C4"/>
    <w:multiLevelType w:val="multilevel"/>
    <w:tmpl w:val="BD6E3D2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E6D262A"/>
    <w:multiLevelType w:val="multilevel"/>
    <w:tmpl w:val="5D86FEE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FBEFBEC"/>
    <w:multiLevelType w:val="multilevel"/>
    <w:tmpl w:val="EB4C0F6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D844EA1"/>
    <w:multiLevelType w:val="multilevel"/>
    <w:tmpl w:val="7D6BA4A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2687D"/>
    <w:multiLevelType w:val="hybridMultilevel"/>
    <w:tmpl w:val="614C1F2C"/>
    <w:lvl w:ilvl="0" w:tplc="2B06114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62998C"/>
    <w:multiLevelType w:val="multilevel"/>
    <w:tmpl w:val="3D381DC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4FAB14E"/>
    <w:multiLevelType w:val="multilevel"/>
    <w:tmpl w:val="CDFDA55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DE7DB3"/>
    <w:multiLevelType w:val="hybridMultilevel"/>
    <w:tmpl w:val="94088776"/>
    <w:lvl w:ilvl="0" w:tplc="29DA05E6">
      <w:numFmt w:val="bullet"/>
      <w:lvlText w:val="-"/>
      <w:lvlJc w:val="left"/>
      <w:pPr>
        <w:ind w:left="360" w:hanging="360"/>
      </w:pPr>
      <w:rPr>
        <w:rFonts w:ascii="Verdana" w:eastAsia="DejaVu Sans"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D765A44"/>
    <w:multiLevelType w:val="hybridMultilevel"/>
    <w:tmpl w:val="3F54C600"/>
    <w:lvl w:ilvl="0" w:tplc="04130001">
      <w:start w:val="1"/>
      <w:numFmt w:val="bullet"/>
      <w:lvlText w:val=""/>
      <w:lvlJc w:val="left"/>
      <w:pPr>
        <w:ind w:left="360" w:hanging="360"/>
      </w:pPr>
      <w:rPr>
        <w:rFonts w:ascii="Symbol" w:hAnsi="Symbol" w:hint="default"/>
      </w:rPr>
    </w:lvl>
    <w:lvl w:ilvl="1" w:tplc="6524967C">
      <w:start w:val="5"/>
      <w:numFmt w:val="bullet"/>
      <w:lvlText w:val="-"/>
      <w:lvlJc w:val="left"/>
      <w:pPr>
        <w:ind w:left="1080" w:hanging="360"/>
      </w:pPr>
      <w:rPr>
        <w:rFonts w:ascii="Verdana" w:eastAsia="Calibri" w:hAnsi="Verdana"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5E32900"/>
    <w:multiLevelType w:val="hybridMultilevel"/>
    <w:tmpl w:val="578E787E"/>
    <w:lvl w:ilvl="0" w:tplc="7356393E">
      <w:numFmt w:val="bullet"/>
      <w:lvlText w:val="-"/>
      <w:lvlJc w:val="left"/>
      <w:pPr>
        <w:ind w:left="1068" w:hanging="360"/>
      </w:pPr>
      <w:rPr>
        <w:rFonts w:ascii="Verdana" w:eastAsia="DejaVu Sans" w:hAnsi="Verdana" w:cs="Lohit Hin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5AC573FD"/>
    <w:multiLevelType w:val="hybridMultilevel"/>
    <w:tmpl w:val="C4CEB280"/>
    <w:lvl w:ilvl="0" w:tplc="814835F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7754841">
    <w:abstractNumId w:val="2"/>
  </w:num>
  <w:num w:numId="2" w16cid:durableId="1912419622">
    <w:abstractNumId w:val="3"/>
  </w:num>
  <w:num w:numId="3" w16cid:durableId="1586382315">
    <w:abstractNumId w:val="5"/>
  </w:num>
  <w:num w:numId="4" w16cid:durableId="833035083">
    <w:abstractNumId w:val="1"/>
  </w:num>
  <w:num w:numId="5" w16cid:durableId="1410928214">
    <w:abstractNumId w:val="0"/>
  </w:num>
  <w:num w:numId="6" w16cid:durableId="657541553">
    <w:abstractNumId w:val="6"/>
  </w:num>
  <w:num w:numId="7" w16cid:durableId="1809740572">
    <w:abstractNumId w:val="8"/>
  </w:num>
  <w:num w:numId="8" w16cid:durableId="669873200">
    <w:abstractNumId w:val="9"/>
  </w:num>
  <w:num w:numId="9" w16cid:durableId="1047560028">
    <w:abstractNumId w:val="10"/>
  </w:num>
  <w:num w:numId="10" w16cid:durableId="1555922672">
    <w:abstractNumId w:val="4"/>
  </w:num>
  <w:num w:numId="11" w16cid:durableId="1833597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DB"/>
    <w:rsid w:val="0001283D"/>
    <w:rsid w:val="00034BEB"/>
    <w:rsid w:val="00041FE8"/>
    <w:rsid w:val="000A2020"/>
    <w:rsid w:val="000E7D82"/>
    <w:rsid w:val="00116309"/>
    <w:rsid w:val="0014358D"/>
    <w:rsid w:val="00152152"/>
    <w:rsid w:val="0015665B"/>
    <w:rsid w:val="001F097D"/>
    <w:rsid w:val="00273BF1"/>
    <w:rsid w:val="0030370A"/>
    <w:rsid w:val="0036277E"/>
    <w:rsid w:val="00393DA5"/>
    <w:rsid w:val="003F6FCA"/>
    <w:rsid w:val="00434EE3"/>
    <w:rsid w:val="00471BD6"/>
    <w:rsid w:val="004A1049"/>
    <w:rsid w:val="004A1B09"/>
    <w:rsid w:val="004C1BBC"/>
    <w:rsid w:val="00542A5E"/>
    <w:rsid w:val="005540DB"/>
    <w:rsid w:val="005777E1"/>
    <w:rsid w:val="005C23C6"/>
    <w:rsid w:val="005F5F5E"/>
    <w:rsid w:val="0064679C"/>
    <w:rsid w:val="00672BA3"/>
    <w:rsid w:val="00696486"/>
    <w:rsid w:val="007308C7"/>
    <w:rsid w:val="007A5498"/>
    <w:rsid w:val="007C2B9A"/>
    <w:rsid w:val="0080496A"/>
    <w:rsid w:val="008471E0"/>
    <w:rsid w:val="00881B10"/>
    <w:rsid w:val="008D7E5C"/>
    <w:rsid w:val="008F2EA4"/>
    <w:rsid w:val="008F716B"/>
    <w:rsid w:val="00923AE0"/>
    <w:rsid w:val="00930247"/>
    <w:rsid w:val="00944C77"/>
    <w:rsid w:val="00976AC9"/>
    <w:rsid w:val="00A03CCE"/>
    <w:rsid w:val="00A60EDD"/>
    <w:rsid w:val="00B3445B"/>
    <w:rsid w:val="00BF45E6"/>
    <w:rsid w:val="00C97F7D"/>
    <w:rsid w:val="00D36A0C"/>
    <w:rsid w:val="00D95B27"/>
    <w:rsid w:val="00DC0935"/>
    <w:rsid w:val="00DF448B"/>
    <w:rsid w:val="00DF5845"/>
    <w:rsid w:val="00E10B9D"/>
    <w:rsid w:val="00EE14A5"/>
    <w:rsid w:val="00F11383"/>
    <w:rsid w:val="00F21DBE"/>
    <w:rsid w:val="00F6676E"/>
    <w:rsid w:val="00F9293D"/>
    <w:rsid w:val="00F93C6A"/>
    <w:rsid w:val="00FF3A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AF5B8"/>
  <w15:docId w15:val="{17338DA3-3EFA-4BD7-B42A-5F7DE648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3445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3445B"/>
    <w:rPr>
      <w:rFonts w:ascii="Verdana" w:hAnsi="Verdana"/>
      <w:color w:val="000000"/>
      <w:sz w:val="18"/>
      <w:szCs w:val="18"/>
    </w:rPr>
  </w:style>
  <w:style w:type="paragraph" w:styleId="Voettekst">
    <w:name w:val="footer"/>
    <w:basedOn w:val="Standaard"/>
    <w:link w:val="VoettekstChar"/>
    <w:uiPriority w:val="99"/>
    <w:unhideWhenUsed/>
    <w:rsid w:val="00B3445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3445B"/>
    <w:rPr>
      <w:rFonts w:ascii="Verdana" w:hAnsi="Verdana"/>
      <w:color w:val="000000"/>
      <w:sz w:val="18"/>
      <w:szCs w:val="18"/>
    </w:rPr>
  </w:style>
  <w:style w:type="paragraph" w:styleId="Lijstalinea">
    <w:name w:val="List Paragraph"/>
    <w:basedOn w:val="Standaard"/>
    <w:uiPriority w:val="34"/>
    <w:qFormat/>
    <w:rsid w:val="00F21DBE"/>
    <w:pPr>
      <w:ind w:left="720"/>
      <w:contextualSpacing/>
    </w:pPr>
  </w:style>
  <w:style w:type="paragraph" w:styleId="Revisie">
    <w:name w:val="Revision"/>
    <w:hidden/>
    <w:uiPriority w:val="99"/>
    <w:semiHidden/>
    <w:rsid w:val="0015215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4358D"/>
    <w:rPr>
      <w:sz w:val="16"/>
      <w:szCs w:val="16"/>
    </w:rPr>
  </w:style>
  <w:style w:type="paragraph" w:styleId="Tekstopmerking">
    <w:name w:val="annotation text"/>
    <w:basedOn w:val="Standaard"/>
    <w:link w:val="TekstopmerkingChar"/>
    <w:uiPriority w:val="99"/>
    <w:unhideWhenUsed/>
    <w:rsid w:val="0014358D"/>
    <w:pPr>
      <w:spacing w:line="240" w:lineRule="auto"/>
    </w:pPr>
    <w:rPr>
      <w:sz w:val="20"/>
      <w:szCs w:val="20"/>
    </w:rPr>
  </w:style>
  <w:style w:type="character" w:customStyle="1" w:styleId="TekstopmerkingChar">
    <w:name w:val="Tekst opmerking Char"/>
    <w:basedOn w:val="Standaardalinea-lettertype"/>
    <w:link w:val="Tekstopmerking"/>
    <w:uiPriority w:val="99"/>
    <w:rsid w:val="0014358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4358D"/>
    <w:rPr>
      <w:b/>
      <w:bCs/>
    </w:rPr>
  </w:style>
  <w:style w:type="character" w:customStyle="1" w:styleId="OnderwerpvanopmerkingChar">
    <w:name w:val="Onderwerp van opmerking Char"/>
    <w:basedOn w:val="TekstopmerkingChar"/>
    <w:link w:val="Onderwerpvanopmerking"/>
    <w:uiPriority w:val="99"/>
    <w:semiHidden/>
    <w:rsid w:val="0014358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657</ap:Words>
  <ap:Characters>3617</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Brief aan Eerste of Tweede Kamer - Interim-Auditrapport 2024 Financiën ADR</vt:lpstr>
    </vt:vector>
  </ap:TitlesOfParts>
  <ap:LinksUpToDate>false</ap:LinksUpToDate>
  <ap:CharactersWithSpaces>4266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2024-12-17T12:05:00.0000000Z</dcterms:created>
  <dcterms:modified xsi:type="dcterms:W3CDTF">2024-12-17T12:05:00.0000000Z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Interim-Auditrapport 2024 Financiën ADR</vt:lpwstr>
  </property>
  <property fmtid="{D5CDD505-2E9C-101B-9397-08002B2CF9AE}" pid="5" name="Publicatiedatum">
    <vt:lpwstr/>
  </property>
  <property fmtid="{D5CDD505-2E9C-101B-9397-08002B2CF9AE}" pid="6" name="Verantwoordelijke organisatie">
    <vt:lpwstr>Directie Financieel-Economische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25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2024-0000564090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Interim-Auditrapport 2024 Financiën ADR</vt:lpwstr>
  </property>
  <property fmtid="{D5CDD505-2E9C-101B-9397-08002B2CF9AE}" pid="30" name="UwKenmerk">
    <vt:lpwstr/>
  </property>
  <property fmtid="{D5CDD505-2E9C-101B-9397-08002B2CF9AE}" pid="31" name="MSIP_Label_0b3866f6-513b-41e9-9aa1-311b4823e2dc_Enabled">
    <vt:lpwstr>true</vt:lpwstr>
  </property>
  <property fmtid="{D5CDD505-2E9C-101B-9397-08002B2CF9AE}" pid="32" name="MSIP_Label_0b3866f6-513b-41e9-9aa1-311b4823e2dc_SetDate">
    <vt:lpwstr>2024-10-25T14:39:30Z</vt:lpwstr>
  </property>
  <property fmtid="{D5CDD505-2E9C-101B-9397-08002B2CF9AE}" pid="33" name="MSIP_Label_0b3866f6-513b-41e9-9aa1-311b4823e2dc_Method">
    <vt:lpwstr>Standard</vt:lpwstr>
  </property>
  <property fmtid="{D5CDD505-2E9C-101B-9397-08002B2CF9AE}" pid="34" name="MSIP_Label_0b3866f6-513b-41e9-9aa1-311b4823e2dc_Name">
    <vt:lpwstr>FIN-BEDR-Rijksoverheid</vt:lpwstr>
  </property>
  <property fmtid="{D5CDD505-2E9C-101B-9397-08002B2CF9AE}" pid="35" name="MSIP_Label_0b3866f6-513b-41e9-9aa1-311b4823e2dc_SiteId">
    <vt:lpwstr>84712536-f524-40a0-913b-5d25ba502732</vt:lpwstr>
  </property>
  <property fmtid="{D5CDD505-2E9C-101B-9397-08002B2CF9AE}" pid="36" name="MSIP_Label_0b3866f6-513b-41e9-9aa1-311b4823e2dc_ActionId">
    <vt:lpwstr>d69647f2-1ea7-46d0-8780-9473bbb13419</vt:lpwstr>
  </property>
  <property fmtid="{D5CDD505-2E9C-101B-9397-08002B2CF9AE}" pid="37" name="MSIP_Label_0b3866f6-513b-41e9-9aa1-311b4823e2dc_ContentBits">
    <vt:lpwstr>0</vt:lpwstr>
  </property>
</Properties>
</file>