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87F14" w:rsidR="00487F14" w:rsidP="00487F14" w:rsidRDefault="00D64602" w14:paraId="3A543774" w14:textId="1242D795">
      <w:pPr>
        <w:ind w:left="1416" w:hanging="1416"/>
      </w:pPr>
      <w:r w:rsidRPr="00487F14">
        <w:t>36600</w:t>
      </w:r>
      <w:r w:rsidRPr="00487F14" w:rsidR="00487F14">
        <w:t xml:space="preserve"> </w:t>
      </w:r>
      <w:r w:rsidRPr="00487F14">
        <w:t>IX</w:t>
      </w:r>
      <w:r w:rsidRPr="00487F14" w:rsidR="00487F14">
        <w:tab/>
        <w:t>Vaststelling van de begrotingsstaat van het Ministerie van Financiën (IXB) en de begrotingsstaat van Nationale Schuld (IXA) voor het jaar 2025</w:t>
      </w:r>
    </w:p>
    <w:p w:rsidRPr="00487F14" w:rsidR="00487F14" w:rsidP="00D80872" w:rsidRDefault="00487F14" w14:paraId="286ECED3" w14:textId="77777777">
      <w:r w:rsidRPr="00487F14">
        <w:t xml:space="preserve">Nr. </w:t>
      </w:r>
      <w:r w:rsidRPr="00487F14">
        <w:t>33</w:t>
      </w:r>
      <w:r w:rsidRPr="00487F14">
        <w:tab/>
      </w:r>
      <w:r w:rsidRPr="00487F14">
        <w:tab/>
        <w:t>Brief van de minister van Financiën</w:t>
      </w:r>
    </w:p>
    <w:p w:rsidRPr="00487F14" w:rsidR="00D64602" w:rsidP="00D64602" w:rsidRDefault="00487F14" w14:paraId="787555B1" w14:textId="3E37E738">
      <w:r w:rsidRPr="00487F14">
        <w:t>Aan de Voorzitter van de Tweede Kamer der Staten-Generaal</w:t>
      </w:r>
    </w:p>
    <w:p w:rsidRPr="00487F14" w:rsidR="00487F14" w:rsidP="00D64602" w:rsidRDefault="00487F14" w14:paraId="10101187" w14:textId="6243A753">
      <w:r w:rsidRPr="00487F14">
        <w:t>Den Haag, 16 december 2024</w:t>
      </w:r>
    </w:p>
    <w:p w:rsidRPr="00487F14" w:rsidR="00D64602" w:rsidP="00D64602" w:rsidRDefault="00D64602" w14:paraId="76E9FE77" w14:textId="77777777"/>
    <w:p w:rsidRPr="00487F14" w:rsidR="00D64602" w:rsidP="00D64602" w:rsidRDefault="00D64602" w14:paraId="717F1C1D" w14:textId="48657298">
      <w:r w:rsidRPr="00487F14">
        <w:t xml:space="preserve">Hierbij informeer ik u, conform de Rijksbegrotingsvoorschriften, over de relevante mutaties die na de Najaarsnota 2024 en de bijbehorende tweede suppletoire begrotingswet zijn opgetreden op de begroting IX (Financiën en Nationale Schuld). Deze mutaties worden in de </w:t>
      </w:r>
      <w:proofErr w:type="spellStart"/>
      <w:r w:rsidRPr="00487F14">
        <w:t>Slotwet</w:t>
      </w:r>
      <w:proofErr w:type="spellEnd"/>
      <w:r w:rsidRPr="00487F14">
        <w:t xml:space="preserve"> 2024 verwerkt. Hieronder geef ik een toelichting.</w:t>
      </w:r>
    </w:p>
    <w:p w:rsidRPr="00487F14" w:rsidR="00D64602" w:rsidP="00D64602" w:rsidRDefault="00D64602" w14:paraId="577E6C57" w14:textId="77777777">
      <w:pPr>
        <w:pStyle w:val="Default"/>
        <w:numPr>
          <w:ilvl w:val="0"/>
          <w:numId w:val="2"/>
        </w:numPr>
        <w:rPr>
          <w:rFonts w:asciiTheme="minorHAnsi" w:hAnsiTheme="minorHAnsi"/>
          <w:b/>
          <w:bCs/>
          <w:color w:val="auto"/>
          <w:sz w:val="22"/>
          <w:szCs w:val="22"/>
        </w:rPr>
      </w:pPr>
      <w:bookmarkStart w:name="_Hlk184135566" w:id="0"/>
      <w:r w:rsidRPr="00487F14">
        <w:rPr>
          <w:rFonts w:asciiTheme="minorHAnsi" w:hAnsiTheme="minorHAnsi"/>
          <w:b/>
          <w:bCs/>
          <w:color w:val="auto"/>
          <w:sz w:val="22"/>
          <w:szCs w:val="22"/>
        </w:rPr>
        <w:t xml:space="preserve">Artikel 4 – Internationale financiële betrekkingen </w:t>
      </w:r>
    </w:p>
    <w:p w:rsidRPr="00487F14" w:rsidR="00D64602" w:rsidP="00D64602" w:rsidRDefault="00D64602" w14:paraId="280F2FDB" w14:textId="77777777">
      <w:r w:rsidRPr="00487F14">
        <w:t xml:space="preserve">De uitgaven op artikel 4 vallen € 7,22 miljoen hoger uit door uitgaven aan de </w:t>
      </w:r>
      <w:proofErr w:type="spellStart"/>
      <w:r w:rsidRPr="00487F14">
        <w:t>Arrears</w:t>
      </w:r>
      <w:proofErr w:type="spellEnd"/>
      <w:r w:rsidRPr="00487F14">
        <w:t xml:space="preserve"> Clearance voor de International Development Association (IDA20). Door een aanpassing van de betalingssystematiek bij de Wereldbank kunnen deze uitgaven niet meer vanuit de BZ-begroting gedaan worden. Daarom worden deze middelen overgemaakt naar de Wereldbank vanaf de begroting van Financiën. Daardoor ontstaat er een overschrijding van € 7,22 miljoen op artikel 4, en een onderschrijding van ditzelfde bedrag op de begroting van het Ministerie van Buitenlandse Zaken.</w:t>
      </w:r>
    </w:p>
    <w:bookmarkEnd w:id="0"/>
    <w:p w:rsidRPr="00487F14" w:rsidR="00D64602" w:rsidP="00D64602" w:rsidRDefault="00D64602" w14:paraId="7A35FD6F" w14:textId="77777777">
      <w:pPr>
        <w:numPr>
          <w:ilvl w:val="0"/>
          <w:numId w:val="1"/>
        </w:numPr>
        <w:autoSpaceDN w:val="0"/>
        <w:spacing w:before="95" w:after="0" w:line="240" w:lineRule="exact"/>
        <w:ind w:left="360"/>
        <w:outlineLvl w:val="0"/>
        <w:rPr>
          <w:rFonts w:cs="Times New Roman"/>
          <w:b/>
          <w:color w:val="231F20"/>
        </w:rPr>
      </w:pPr>
      <w:r w:rsidRPr="00487F14">
        <w:rPr>
          <w:rFonts w:cs="Times New Roman"/>
          <w:b/>
          <w:color w:val="231F20"/>
        </w:rPr>
        <w:t xml:space="preserve">Artikel 3 - Financieringsactiviteiten publiek-private sector </w:t>
      </w:r>
    </w:p>
    <w:p w:rsidRPr="00487F14" w:rsidR="00D64602" w:rsidP="00D64602" w:rsidRDefault="00D64602" w14:paraId="0448853D" w14:textId="77777777">
      <w:r w:rsidRPr="00487F14">
        <w:t>Op 15 oktober is een nieuw verkoopprogramma voor aandelen ABN AMRO aangekondigd</w:t>
      </w:r>
      <w:r w:rsidRPr="00487F14">
        <w:rPr>
          <w:vertAlign w:val="superscript"/>
        </w:rPr>
        <w:footnoteReference w:id="1"/>
      </w:r>
      <w:r w:rsidRPr="00487F14">
        <w:t xml:space="preserve">. De uiteindelijke ontvangsten zullen daarom hoger zijn dan in de tweede suppletoire begroting 2024 gemeld. Doordat sprake is van een lopend verkoopprogramma kan de precieze omvang van de ontvangsten pas na 31 december 2024 worden vastgesteld. De uiteindelijke opbrengst zal in de </w:t>
      </w:r>
      <w:proofErr w:type="spellStart"/>
      <w:r w:rsidRPr="00487F14">
        <w:t>Slotwet</w:t>
      </w:r>
      <w:proofErr w:type="spellEnd"/>
      <w:r w:rsidRPr="00487F14">
        <w:t xml:space="preserve"> worden verwerkt.</w:t>
      </w:r>
    </w:p>
    <w:p w:rsidRPr="00487F14" w:rsidR="00D64602" w:rsidP="00D64602" w:rsidRDefault="00D64602" w14:paraId="4F6DE5ED" w14:textId="77777777">
      <w:pPr>
        <w:rPr>
          <w:b/>
          <w:bCs/>
        </w:rPr>
      </w:pPr>
      <w:r w:rsidRPr="00487F14">
        <w:rPr>
          <w:b/>
          <w:bCs/>
        </w:rPr>
        <w:t>Informatievoorziening over andere relevante wijzigingen</w:t>
      </w:r>
    </w:p>
    <w:p w:rsidRPr="00487F14" w:rsidR="00D64602" w:rsidP="00D64602" w:rsidRDefault="00D64602" w14:paraId="029CEDDD" w14:textId="77777777">
      <w:pPr>
        <w:rPr>
          <w:b/>
          <w:bCs/>
        </w:rPr>
      </w:pPr>
      <w:r w:rsidRPr="00487F14">
        <w:rPr>
          <w:b/>
          <w:bCs/>
        </w:rPr>
        <w:t>•</w:t>
      </w:r>
      <w:r w:rsidRPr="00487F14">
        <w:rPr>
          <w:b/>
          <w:bCs/>
        </w:rPr>
        <w:tab/>
        <w:t>Artikel 5 – Exportkredietverzekeringen, -garanties en investeringsverzekeringen</w:t>
      </w:r>
    </w:p>
    <w:p w:rsidRPr="00487F14" w:rsidR="00D64602" w:rsidP="00D64602" w:rsidRDefault="00D64602" w14:paraId="595DFBFE" w14:textId="77777777">
      <w:r w:rsidRPr="00487F14">
        <w:t xml:space="preserve">De definitieve storting in of onttrekking uit de begrotingsreserve is afhankelijk van het saldo van realisatiecijfers van de premies, schades op afgesloten dossiers en uitvoeringskosten ultimo 2024. Dit betekent dat de precieze omvang van de definitieve storting of onttrekking na 31 december 2024 kan worden vastgesteld en in de </w:t>
      </w:r>
      <w:proofErr w:type="spellStart"/>
      <w:r w:rsidRPr="00487F14">
        <w:t>Slotwet</w:t>
      </w:r>
      <w:proofErr w:type="spellEnd"/>
      <w:r w:rsidRPr="00487F14">
        <w:t xml:space="preserve"> wordt verwerkt. De in de tweede suppletoire begroting 2024 gemelde stand kan derhalve nog wijzigen op basis </w:t>
      </w:r>
      <w:r w:rsidRPr="00487F14">
        <w:lastRenderedPageBreak/>
        <w:t xml:space="preserve">van de uiteindelijke realisatiecijfers. Ditzelfde geldt voor de niet-definitieve schades en restituties. </w:t>
      </w:r>
    </w:p>
    <w:p w:rsidRPr="00487F14" w:rsidR="00D64602" w:rsidP="00D64602" w:rsidRDefault="00D64602" w14:paraId="60A410D5" w14:textId="77777777">
      <w:pPr>
        <w:rPr>
          <w:b/>
          <w:bCs/>
        </w:rPr>
      </w:pPr>
      <w:r w:rsidRPr="00487F14">
        <w:rPr>
          <w:b/>
          <w:bCs/>
        </w:rPr>
        <w:t>•</w:t>
      </w:r>
      <w:r w:rsidRPr="00487F14">
        <w:rPr>
          <w:b/>
          <w:bCs/>
        </w:rPr>
        <w:tab/>
        <w:t>Artikel 6 – Btw-compensatiefonds</w:t>
      </w:r>
    </w:p>
    <w:p w:rsidRPr="00487F14" w:rsidR="00D64602" w:rsidP="00D64602" w:rsidRDefault="00D64602" w14:paraId="1126B058" w14:textId="77777777">
      <w:r w:rsidRPr="00487F14">
        <w:t>Als gevolg van een overheveling van budget van ministeries naar decentrale overheden wordt een bedrag toegevoegd aan het Gemeente- of Provinciefonds. Het geraamde btw-deel wordt door de betreffende ministeries overgeheveld naar het Btw-compensatiefonds (BCF). Gemeenten en provincies kunnen de betaalde btw vervolgens terugvragen uit het BCF. Ten opzichte van de tweede suppletoire begroting 2024 vinden er nog enkele overhevelingen plaats van de ministeries Infrastructuur en Waterstaat, Binnenlandse Zaken en Koninkrijksrelaties, en Klimaat en Groene Groei. Tegenover deze extra uitgaven staan gelijke ontvangsten.</w:t>
      </w:r>
    </w:p>
    <w:p w:rsidRPr="00487F14" w:rsidR="00D64602" w:rsidP="00D64602" w:rsidRDefault="00D64602" w14:paraId="25A3CA44" w14:textId="77777777">
      <w:pPr>
        <w:rPr>
          <w:b/>
          <w:bCs/>
        </w:rPr>
      </w:pPr>
      <w:r w:rsidRPr="00487F14">
        <w:rPr>
          <w:b/>
          <w:bCs/>
        </w:rPr>
        <w:t>•</w:t>
      </w:r>
      <w:r w:rsidRPr="00487F14">
        <w:rPr>
          <w:b/>
          <w:bCs/>
        </w:rPr>
        <w:tab/>
        <w:t>Artikel 11 – Financiering staatsschuld</w:t>
      </w:r>
    </w:p>
    <w:p w:rsidRPr="00487F14" w:rsidR="00D64602" w:rsidP="00D64602" w:rsidRDefault="00D64602" w14:paraId="17934F19" w14:textId="77777777">
      <w:r w:rsidRPr="00487F14">
        <w:t xml:space="preserve">Op basis van de eindstand van de staatsschuld per 31 december 2024 wordt de omvang van de uitgifte van vaste en vlottende schuld bijgesteld. Door onzekerheden met betrekking tot de uitgaven en belastinginkomsten van het Rijk is het lastig om de omvang van de financieringsbehoefte exact in te schatten. In de </w:t>
      </w:r>
      <w:proofErr w:type="spellStart"/>
      <w:r w:rsidRPr="00487F14">
        <w:t>Slotwet</w:t>
      </w:r>
      <w:proofErr w:type="spellEnd"/>
      <w:r w:rsidRPr="00487F14">
        <w:t xml:space="preserve"> 2024 zullen eventuele mutaties worden gepresenteerd en toegelicht.</w:t>
      </w:r>
    </w:p>
    <w:p w:rsidRPr="00487F14" w:rsidR="00D64602" w:rsidP="00D64602" w:rsidRDefault="00D64602" w14:paraId="1853D5FC" w14:textId="77777777">
      <w:pPr>
        <w:rPr>
          <w:b/>
          <w:bCs/>
        </w:rPr>
      </w:pPr>
      <w:r w:rsidRPr="00487F14">
        <w:rPr>
          <w:b/>
          <w:bCs/>
        </w:rPr>
        <w:t>•</w:t>
      </w:r>
      <w:r w:rsidRPr="00487F14">
        <w:rPr>
          <w:b/>
          <w:bCs/>
        </w:rPr>
        <w:tab/>
        <w:t>Artikel 12 – Kasbeheer</w:t>
      </w:r>
    </w:p>
    <w:p w:rsidRPr="00487F14" w:rsidR="00D64602" w:rsidP="00D64602" w:rsidRDefault="00D64602" w14:paraId="6344D2A0" w14:textId="77777777">
      <w:r w:rsidRPr="00487F14">
        <w:t xml:space="preserve">De uitgaven en ontvangsten van artikel 12 Kasbeheer zijn onder andere afhankelijk van de uitgaven en ontvangsten van de deelnemers van het schatkistbankieren. Hierdoor laten deze uitgaven en ontvangsten zich op voorhand lastig ramen. De gerealiseerde mutaties zullen conform artikel 2.10 lid 2 CW als slotverschil in de </w:t>
      </w:r>
      <w:proofErr w:type="spellStart"/>
      <w:r w:rsidRPr="00487F14">
        <w:t>Slotwet</w:t>
      </w:r>
      <w:proofErr w:type="spellEnd"/>
      <w:r w:rsidRPr="00487F14">
        <w:t xml:space="preserve"> 2024 worden vermeld.</w:t>
      </w:r>
    </w:p>
    <w:p w:rsidRPr="00487F14" w:rsidR="00D64602" w:rsidP="00D64602" w:rsidRDefault="00D64602" w14:paraId="62513929" w14:textId="77777777">
      <w:pPr>
        <w:pStyle w:val="StandaardSlotzin"/>
        <w:rPr>
          <w:rFonts w:asciiTheme="minorHAnsi" w:hAnsiTheme="minorHAnsi"/>
          <w:sz w:val="22"/>
          <w:szCs w:val="22"/>
        </w:rPr>
      </w:pPr>
    </w:p>
    <w:p w:rsidRPr="00487F14" w:rsidR="00D64602" w:rsidP="00D64602" w:rsidRDefault="00487F14" w14:paraId="610ACF75" w14:textId="104732DB">
      <w:pPr>
        <w:pStyle w:val="StandaardSlotzin"/>
        <w:rPr>
          <w:rFonts w:asciiTheme="minorHAnsi" w:hAnsiTheme="minorHAnsi"/>
          <w:sz w:val="22"/>
          <w:szCs w:val="22"/>
        </w:rPr>
      </w:pPr>
      <w:r>
        <w:rPr>
          <w:rFonts w:asciiTheme="minorHAnsi" w:hAnsiTheme="minorHAnsi"/>
          <w:sz w:val="22"/>
          <w:szCs w:val="22"/>
        </w:rPr>
        <w:t>D</w:t>
      </w:r>
      <w:r w:rsidRPr="00487F14">
        <w:rPr>
          <w:rFonts w:asciiTheme="minorHAnsi" w:hAnsiTheme="minorHAnsi"/>
          <w:sz w:val="22"/>
          <w:szCs w:val="22"/>
        </w:rPr>
        <w:t>e minister van Financiën,</w:t>
      </w:r>
      <w:r w:rsidRPr="00487F14">
        <w:rPr>
          <w:rFonts w:asciiTheme="minorHAnsi" w:hAnsiTheme="minorHAnsi"/>
          <w:sz w:val="22"/>
          <w:szCs w:val="22"/>
        </w:rPr>
        <w:br/>
        <w:t>E. Heinen</w:t>
      </w:r>
    </w:p>
    <w:p w:rsidRPr="00487F14" w:rsidR="00D64602" w:rsidP="00D64602" w:rsidRDefault="00D64602" w14:paraId="76C5951D" w14:textId="77777777">
      <w:pPr>
        <w:pStyle w:val="StandaardSlotzin"/>
        <w:rPr>
          <w:rFonts w:asciiTheme="minorHAnsi" w:hAnsiTheme="minorHAnsi"/>
          <w:sz w:val="22"/>
          <w:szCs w:val="22"/>
        </w:rPr>
      </w:pPr>
    </w:p>
    <w:p w:rsidRPr="00487F14" w:rsidR="00D64602" w:rsidP="00D64602" w:rsidRDefault="00D64602" w14:paraId="3E7696AD" w14:textId="77777777">
      <w:pPr>
        <w:pStyle w:val="Verdana7"/>
        <w:rPr>
          <w:rFonts w:asciiTheme="minorHAnsi" w:hAnsiTheme="minorHAnsi"/>
          <w:sz w:val="22"/>
          <w:szCs w:val="22"/>
        </w:rPr>
      </w:pPr>
    </w:p>
    <w:p w:rsidRPr="00487F14" w:rsidR="00FC3E01" w:rsidRDefault="00FC3E01" w14:paraId="667F3B65" w14:textId="77777777"/>
    <w:sectPr w:rsidRPr="00487F14" w:rsidR="00FC3E01" w:rsidSect="00D64602">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DFA45" w14:textId="77777777" w:rsidR="00D64602" w:rsidRDefault="00D64602" w:rsidP="00D64602">
      <w:pPr>
        <w:spacing w:after="0" w:line="240" w:lineRule="auto"/>
      </w:pPr>
      <w:r>
        <w:separator/>
      </w:r>
    </w:p>
  </w:endnote>
  <w:endnote w:type="continuationSeparator" w:id="0">
    <w:p w14:paraId="338A08A4" w14:textId="77777777" w:rsidR="00D64602" w:rsidRDefault="00D64602" w:rsidP="00D6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D8003" w14:textId="77777777" w:rsidR="00D64602" w:rsidRPr="00D64602" w:rsidRDefault="00D64602" w:rsidP="00D646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69C76" w14:textId="77777777" w:rsidR="00D64602" w:rsidRPr="00D64602" w:rsidRDefault="00D64602" w:rsidP="00D646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E0B7B" w14:textId="77777777" w:rsidR="00D64602" w:rsidRPr="00D64602" w:rsidRDefault="00D64602" w:rsidP="00D646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E4F51" w14:textId="77777777" w:rsidR="00D64602" w:rsidRDefault="00D64602" w:rsidP="00D64602">
      <w:pPr>
        <w:spacing w:after="0" w:line="240" w:lineRule="auto"/>
      </w:pPr>
      <w:r>
        <w:separator/>
      </w:r>
    </w:p>
  </w:footnote>
  <w:footnote w:type="continuationSeparator" w:id="0">
    <w:p w14:paraId="2A3F7E46" w14:textId="77777777" w:rsidR="00D64602" w:rsidRDefault="00D64602" w:rsidP="00D64602">
      <w:pPr>
        <w:spacing w:after="0" w:line="240" w:lineRule="auto"/>
      </w:pPr>
      <w:r>
        <w:continuationSeparator/>
      </w:r>
    </w:p>
  </w:footnote>
  <w:footnote w:id="1">
    <w:p w14:paraId="222CD9A0" w14:textId="77777777" w:rsidR="00D64602" w:rsidRDefault="00D64602" w:rsidP="00D64602">
      <w:pPr>
        <w:pStyle w:val="Voetnoottekst"/>
      </w:pPr>
      <w:r>
        <w:rPr>
          <w:rStyle w:val="Voetnootmarkering"/>
        </w:rPr>
        <w:footnoteRef/>
      </w:r>
      <w:r>
        <w:t xml:space="preserve"> </w:t>
      </w:r>
      <w:r w:rsidRPr="00654E97">
        <w:rPr>
          <w:sz w:val="16"/>
          <w:szCs w:val="16"/>
        </w:rPr>
        <w:t>Kamerstukken II, 2023-24, 31 789, nr. 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0E3F3" w14:textId="77777777" w:rsidR="00D64602" w:rsidRPr="00D64602" w:rsidRDefault="00D64602" w:rsidP="00D646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D2183" w14:textId="77777777" w:rsidR="00D64602" w:rsidRPr="00D64602" w:rsidRDefault="00D64602" w:rsidP="00D646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853D1" w14:textId="77777777" w:rsidR="00D64602" w:rsidRPr="00D64602" w:rsidRDefault="00D64602" w:rsidP="00D646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56F2D"/>
    <w:multiLevelType w:val="hybridMultilevel"/>
    <w:tmpl w:val="C45205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B66109D"/>
    <w:multiLevelType w:val="hybridMultilevel"/>
    <w:tmpl w:val="C64E40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43062170">
    <w:abstractNumId w:val="1"/>
  </w:num>
  <w:num w:numId="2" w16cid:durableId="124984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02"/>
    <w:rsid w:val="000D5C88"/>
    <w:rsid w:val="00164BB9"/>
    <w:rsid w:val="00487F14"/>
    <w:rsid w:val="00A47440"/>
    <w:rsid w:val="00BF3310"/>
    <w:rsid w:val="00D64602"/>
    <w:rsid w:val="00FC3E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CD5E"/>
  <w15:chartTrackingRefBased/>
  <w15:docId w15:val="{0FC4CD6F-95B4-42FB-9E67-B1105B77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46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46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46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46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46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46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46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46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46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46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46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46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46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46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46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46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46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4602"/>
    <w:rPr>
      <w:rFonts w:eastAsiaTheme="majorEastAsia" w:cstheme="majorBidi"/>
      <w:color w:val="272727" w:themeColor="text1" w:themeTint="D8"/>
    </w:rPr>
  </w:style>
  <w:style w:type="paragraph" w:styleId="Titel">
    <w:name w:val="Title"/>
    <w:basedOn w:val="Standaard"/>
    <w:next w:val="Standaard"/>
    <w:link w:val="TitelChar"/>
    <w:uiPriority w:val="10"/>
    <w:qFormat/>
    <w:rsid w:val="00D646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46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46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46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46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4602"/>
    <w:rPr>
      <w:i/>
      <w:iCs/>
      <w:color w:val="404040" w:themeColor="text1" w:themeTint="BF"/>
    </w:rPr>
  </w:style>
  <w:style w:type="paragraph" w:styleId="Lijstalinea">
    <w:name w:val="List Paragraph"/>
    <w:basedOn w:val="Standaard"/>
    <w:uiPriority w:val="34"/>
    <w:qFormat/>
    <w:rsid w:val="00D64602"/>
    <w:pPr>
      <w:ind w:left="720"/>
      <w:contextualSpacing/>
    </w:pPr>
  </w:style>
  <w:style w:type="character" w:styleId="Intensievebenadrukking">
    <w:name w:val="Intense Emphasis"/>
    <w:basedOn w:val="Standaardalinea-lettertype"/>
    <w:uiPriority w:val="21"/>
    <w:qFormat/>
    <w:rsid w:val="00D64602"/>
    <w:rPr>
      <w:i/>
      <w:iCs/>
      <w:color w:val="0F4761" w:themeColor="accent1" w:themeShade="BF"/>
    </w:rPr>
  </w:style>
  <w:style w:type="paragraph" w:styleId="Duidelijkcitaat">
    <w:name w:val="Intense Quote"/>
    <w:basedOn w:val="Standaard"/>
    <w:next w:val="Standaard"/>
    <w:link w:val="DuidelijkcitaatChar"/>
    <w:uiPriority w:val="30"/>
    <w:qFormat/>
    <w:rsid w:val="00D646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4602"/>
    <w:rPr>
      <w:i/>
      <w:iCs/>
      <w:color w:val="0F4761" w:themeColor="accent1" w:themeShade="BF"/>
    </w:rPr>
  </w:style>
  <w:style w:type="character" w:styleId="Intensieveverwijzing">
    <w:name w:val="Intense Reference"/>
    <w:basedOn w:val="Standaardalinea-lettertype"/>
    <w:uiPriority w:val="32"/>
    <w:qFormat/>
    <w:rsid w:val="00D64602"/>
    <w:rPr>
      <w:b/>
      <w:bCs/>
      <w:smallCaps/>
      <w:color w:val="0F4761" w:themeColor="accent1" w:themeShade="BF"/>
      <w:spacing w:val="5"/>
    </w:rPr>
  </w:style>
  <w:style w:type="paragraph" w:customStyle="1" w:styleId="Rubricering">
    <w:name w:val="Rubricering"/>
    <w:basedOn w:val="Standaard"/>
    <w:next w:val="Standaard"/>
    <w:rsid w:val="00D64602"/>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D6460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D6460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D6460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D64602"/>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D64602"/>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D6460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6460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6460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Default">
    <w:name w:val="Default"/>
    <w:basedOn w:val="Standaard"/>
    <w:rsid w:val="00D64602"/>
    <w:pPr>
      <w:autoSpaceDE w:val="0"/>
      <w:autoSpaceDN w:val="0"/>
      <w:spacing w:after="0" w:line="240" w:lineRule="auto"/>
    </w:pPr>
    <w:rPr>
      <w:rFonts w:ascii="Verdana" w:hAnsi="Verdana" w:cs="Calibri"/>
      <w:color w:val="000000"/>
      <w:kern w:val="0"/>
      <w:sz w:val="24"/>
      <w:szCs w:val="24"/>
      <w14:ligatures w14:val="none"/>
    </w:rPr>
  </w:style>
  <w:style w:type="paragraph" w:styleId="Voetnoottekst">
    <w:name w:val="footnote text"/>
    <w:basedOn w:val="Standaard"/>
    <w:link w:val="VoetnoottekstChar"/>
    <w:uiPriority w:val="99"/>
    <w:semiHidden/>
    <w:unhideWhenUsed/>
    <w:rsid w:val="00D6460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6460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64602"/>
    <w:rPr>
      <w:vertAlign w:val="superscript"/>
    </w:rPr>
  </w:style>
  <w:style w:type="paragraph" w:styleId="Koptekst">
    <w:name w:val="header"/>
    <w:basedOn w:val="Standaard"/>
    <w:link w:val="KoptekstChar"/>
    <w:uiPriority w:val="99"/>
    <w:unhideWhenUsed/>
    <w:rsid w:val="00D646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4602"/>
  </w:style>
  <w:style w:type="paragraph" w:styleId="Voettekst">
    <w:name w:val="footer"/>
    <w:basedOn w:val="Standaard"/>
    <w:link w:val="VoettekstChar"/>
    <w:uiPriority w:val="99"/>
    <w:unhideWhenUsed/>
    <w:rsid w:val="00D646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4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591</ap:Words>
  <ap:Characters>3252</ap:Characters>
  <ap:DocSecurity>0</ap:DocSecurity>
  <ap:Lines>27</ap:Lines>
  <ap:Paragraphs>7</ap:Paragraphs>
  <ap:ScaleCrop>false</ap:ScaleCrop>
  <ap:LinksUpToDate>false</ap:LinksUpToDate>
  <ap:CharactersWithSpaces>3836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2024-12-18T12:28:00.0000000Z</dcterms:created>
  <dcterms:modified xsi:type="dcterms:W3CDTF">2024-12-18T12:28:00.0000000Z</dcterms:modified>
  <version/>
  <category/>
</coreProperties>
</file>