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52EF5" w:rsidR="00852EF5" w:rsidP="00852EF5" w:rsidRDefault="00DA49AF" w14:paraId="7E48555D" w14:textId="20E7A748">
      <w:pPr>
        <w:ind w:left="1416" w:hanging="1416"/>
      </w:pPr>
      <w:r w:rsidRPr="00852EF5">
        <w:t>36600</w:t>
      </w:r>
      <w:r w:rsidRPr="00852EF5" w:rsidR="00852EF5">
        <w:t xml:space="preserve"> </w:t>
      </w:r>
      <w:r w:rsidRPr="00852EF5">
        <w:t>VII</w:t>
      </w:r>
      <w:r w:rsidRPr="00852EF5" w:rsidR="00852EF5">
        <w:tab/>
        <w:t>Vaststelling van de begrotingsstaten van het Ministerie van Binnenlandse Zaken en Koninkrijksrelaties (VII) voor het jaar 2025</w:t>
      </w:r>
    </w:p>
    <w:p w:rsidRPr="00852EF5" w:rsidR="00852EF5" w:rsidP="00852EF5" w:rsidRDefault="00852EF5" w14:paraId="6AC7E901" w14:textId="77777777">
      <w:pPr>
        <w:ind w:left="1410" w:hanging="1410"/>
        <w:rPr>
          <w:spacing w:val="-3"/>
        </w:rPr>
      </w:pPr>
      <w:r w:rsidRPr="00852EF5">
        <w:t xml:space="preserve">Nr. </w:t>
      </w:r>
      <w:r w:rsidRPr="00852EF5">
        <w:t>123</w:t>
      </w:r>
      <w:r w:rsidRPr="00852EF5">
        <w:tab/>
      </w:r>
      <w:r w:rsidRPr="00852EF5">
        <w:tab/>
        <w:t xml:space="preserve">Brief van de ministers van </w:t>
      </w:r>
      <w:r w:rsidRPr="00852EF5">
        <w:rPr>
          <w:spacing w:val="-3"/>
        </w:rPr>
        <w:t>Binnenlandse Zaken en Koninkrijksrelaties en van Volkshuisvesting en Ruimtelijke Ordening</w:t>
      </w:r>
    </w:p>
    <w:p w:rsidRPr="00852EF5" w:rsidR="00DA49AF" w:rsidP="00DA49AF" w:rsidRDefault="00852EF5" w14:paraId="43C0A9F5" w14:textId="6675337E">
      <w:pPr>
        <w:rPr>
          <w:spacing w:val="-3"/>
        </w:rPr>
      </w:pPr>
      <w:r w:rsidRPr="00852EF5">
        <w:rPr>
          <w:spacing w:val="-3"/>
        </w:rPr>
        <w:t>Aan de Voorzitter van de Tweede Kamer der Staten-Generaal</w:t>
      </w:r>
    </w:p>
    <w:p w:rsidRPr="00852EF5" w:rsidR="00852EF5" w:rsidP="00DA49AF" w:rsidRDefault="00852EF5" w14:paraId="32FC3CFB" w14:textId="57B088E0">
      <w:pPr>
        <w:rPr>
          <w:spacing w:val="-3"/>
        </w:rPr>
      </w:pPr>
      <w:r w:rsidRPr="00852EF5">
        <w:rPr>
          <w:spacing w:val="-3"/>
        </w:rPr>
        <w:t>Den Haag, 16 december 2024</w:t>
      </w:r>
    </w:p>
    <w:p w:rsidRPr="00852EF5" w:rsidR="00DA49AF" w:rsidP="00DA49AF" w:rsidRDefault="00DA49AF" w14:paraId="601C142C" w14:textId="77777777"/>
    <w:p w:rsidRPr="00852EF5" w:rsidR="00DA49AF" w:rsidP="00DA49AF" w:rsidRDefault="00DA49AF" w14:paraId="6E08E7AF" w14:textId="514506A0">
      <w:r w:rsidRPr="00852EF5">
        <w:t>De Comptabiliteitswet schrijft voor dat alle majeure wijzigingen die na de tweede suppletoire begroting zijn opgetreden, uiterlijk drie dagen voor aanvang van het Kerstreces gemeld moeten worden aan beide Kamers der Staten-Generaal. Hierbij informeer ik uw Kamer over zaken die bij de realisatie van de begroting 2024 raken aan het artikelniveau in de begrotingen Staten-Generaal (IIA), Overige Hoge Colleges van Staat, Kabinetten van de Gouverneurs en de Kiesraad (IIB), Koninkrijksrelaties (IV), BES-fonds (H), Binnenlandse Zaken en Koninkrijksrelaties (VII)</w:t>
      </w:r>
      <w:r w:rsidRPr="00852EF5">
        <w:rPr>
          <w:rStyle w:val="Voetnootmarkering"/>
        </w:rPr>
        <w:footnoteReference w:id="1"/>
      </w:r>
      <w:r w:rsidRPr="00852EF5">
        <w:t xml:space="preserve">, Gemeentefonds (B) en Provinciefonds (C) voor zowel de verplichtingen, de uitgaven als de ontvangsten. </w:t>
      </w:r>
    </w:p>
    <w:p w:rsidRPr="00852EF5" w:rsidR="00DA49AF" w:rsidP="00DA49AF" w:rsidRDefault="00DA49AF" w14:paraId="18A877CD" w14:textId="77777777">
      <w:r w:rsidRPr="00852EF5">
        <w:t xml:space="preserve">De hieronder genoemde onderwerpen hebben zich voorgedaan na de besluitvorming over de Najaarsnota 2024 en maken geen onderdeel uit van de tweede suppletoire begrotingen 2024. De onderwerpen zullen als onderdeel van de realisatie van de begroting 2024, in de </w:t>
      </w:r>
      <w:proofErr w:type="spellStart"/>
      <w:r w:rsidRPr="00852EF5">
        <w:t>Slotwet</w:t>
      </w:r>
      <w:proofErr w:type="spellEnd"/>
      <w:r w:rsidRPr="00852EF5">
        <w:t xml:space="preserve"> 2024 worden verwerkt.</w:t>
      </w:r>
    </w:p>
    <w:p w:rsidRPr="00852EF5" w:rsidR="00DA49AF" w:rsidP="00DA49AF" w:rsidRDefault="00DA49AF" w14:paraId="74D37D96" w14:textId="77777777">
      <w:pPr>
        <w:pStyle w:val="Lijstalinea"/>
        <w:numPr>
          <w:ilvl w:val="0"/>
          <w:numId w:val="1"/>
        </w:numPr>
        <w:autoSpaceDN w:val="0"/>
        <w:spacing w:after="0" w:line="240" w:lineRule="atLeast"/>
        <w:rPr>
          <w:b/>
          <w:bCs/>
        </w:rPr>
      </w:pPr>
      <w:r w:rsidRPr="00852EF5">
        <w:rPr>
          <w:b/>
          <w:bCs/>
        </w:rPr>
        <w:t>Staten-Generaal (IIA)</w:t>
      </w:r>
    </w:p>
    <w:p w:rsidRPr="00852EF5" w:rsidR="00DA49AF" w:rsidP="00DA49AF" w:rsidRDefault="00DA49AF" w14:paraId="7085E929" w14:textId="77777777">
      <w:r w:rsidRPr="00852EF5">
        <w:t>Op artikelniveau is er naar verwachting geen sprake van overschrijdingen.</w:t>
      </w:r>
    </w:p>
    <w:p w:rsidRPr="00852EF5" w:rsidR="00DA49AF" w:rsidP="00DA49AF" w:rsidRDefault="00DA49AF" w14:paraId="55F0EFB9" w14:textId="77777777">
      <w:pPr>
        <w:pStyle w:val="Lijstalinea"/>
        <w:numPr>
          <w:ilvl w:val="0"/>
          <w:numId w:val="1"/>
        </w:numPr>
        <w:autoSpaceDN w:val="0"/>
        <w:spacing w:after="0" w:line="240" w:lineRule="atLeast"/>
        <w:rPr>
          <w:b/>
          <w:bCs/>
        </w:rPr>
      </w:pPr>
      <w:r w:rsidRPr="00852EF5">
        <w:rPr>
          <w:b/>
          <w:bCs/>
        </w:rPr>
        <w:t xml:space="preserve">Overige Hoge colleges van Staat, Kabinetten van de Gouverneurs en de Kiesraad (IIB) </w:t>
      </w:r>
    </w:p>
    <w:p w:rsidRPr="00852EF5" w:rsidR="00DA49AF" w:rsidP="00DA49AF" w:rsidRDefault="00DA49AF" w14:paraId="17297CC1" w14:textId="77777777">
      <w:pPr>
        <w:rPr>
          <w:b/>
          <w:bCs/>
        </w:rPr>
      </w:pPr>
    </w:p>
    <w:p w:rsidRPr="00852EF5" w:rsidR="00DA49AF" w:rsidP="00DA49AF" w:rsidRDefault="00DA49AF" w14:paraId="2DA3A4D9" w14:textId="77777777">
      <w:pPr>
        <w:rPr>
          <w:b/>
          <w:bCs/>
        </w:rPr>
      </w:pPr>
      <w:r w:rsidRPr="00852EF5">
        <w:rPr>
          <w:b/>
          <w:bCs/>
        </w:rPr>
        <w:t xml:space="preserve">Artikel 2 – Algemene Rekenkamer </w:t>
      </w:r>
    </w:p>
    <w:p w:rsidRPr="00852EF5" w:rsidR="00DA49AF" w:rsidP="00DA49AF" w:rsidRDefault="00DA49AF" w14:paraId="79F7DD2A" w14:textId="77777777">
      <w:r w:rsidRPr="00852EF5">
        <w:t xml:space="preserve">In 2024 blijken er meer meerjarige contracten te zijn afgesloten dan waar rekening mee is gehouden in de begroting (bijv. ICT-(lease)contracten voor systemen of producten). Hierdoor valt de verplichtingenstand naar verwachting hoger uit. Met de </w:t>
      </w:r>
      <w:proofErr w:type="spellStart"/>
      <w:r w:rsidRPr="00852EF5">
        <w:t>Slotwet</w:t>
      </w:r>
      <w:proofErr w:type="spellEnd"/>
      <w:r w:rsidRPr="00852EF5">
        <w:t xml:space="preserve"> worden de verplichtingen opgehoogd met € 0,5 mln. Dit heeft de komende jaren geen effect op de uitgavenbegroting.</w:t>
      </w:r>
    </w:p>
    <w:p w:rsidR="00852EF5" w:rsidRDefault="00852EF5" w14:paraId="300A407E" w14:textId="77777777">
      <w:pPr>
        <w:rPr>
          <w:b/>
          <w:bCs/>
        </w:rPr>
      </w:pPr>
      <w:r>
        <w:rPr>
          <w:b/>
          <w:bCs/>
        </w:rPr>
        <w:br w:type="page"/>
      </w:r>
    </w:p>
    <w:p w:rsidRPr="00852EF5" w:rsidR="00DA49AF" w:rsidP="00DA49AF" w:rsidRDefault="00DA49AF" w14:paraId="710E5B5F" w14:textId="3CF57806">
      <w:pPr>
        <w:rPr>
          <w:b/>
          <w:bCs/>
        </w:rPr>
      </w:pPr>
      <w:r w:rsidRPr="00852EF5">
        <w:rPr>
          <w:b/>
          <w:bCs/>
        </w:rPr>
        <w:lastRenderedPageBreak/>
        <w:t xml:space="preserve">Artikel 8 – Kabinet van de Gouverneur van Sint-Maarten </w:t>
      </w:r>
    </w:p>
    <w:p w:rsidRPr="00852EF5" w:rsidR="00DA49AF" w:rsidP="00DA49AF" w:rsidRDefault="00DA49AF" w14:paraId="4ED44EA3" w14:textId="77777777">
      <w:r w:rsidRPr="00852EF5">
        <w:t xml:space="preserve">Op artikel 8 wordt naar verwachting het verplichtingen- en kasbudget met circa € 0,3 mln. overschreden. De overschrijding wordt veroorzaakt doordat de eindafrekening van de meerwerkkosten voor het nieuwe kantoorpand aanzienlijk hoger is. Daarbij zijn ook de kosten gemoeid met de IT-investeringen die hoger uitvallen dan eerder begroot. </w:t>
      </w:r>
    </w:p>
    <w:p w:rsidRPr="00852EF5" w:rsidR="00DA49AF" w:rsidP="00DA49AF" w:rsidRDefault="00DA49AF" w14:paraId="41D99842" w14:textId="77777777">
      <w:pPr>
        <w:pStyle w:val="Lijstalinea"/>
        <w:numPr>
          <w:ilvl w:val="0"/>
          <w:numId w:val="1"/>
        </w:numPr>
        <w:autoSpaceDN w:val="0"/>
        <w:spacing w:after="0" w:line="240" w:lineRule="atLeast"/>
        <w:rPr>
          <w:b/>
          <w:bCs/>
        </w:rPr>
      </w:pPr>
      <w:bookmarkStart w:name="_Hlk184368557" w:id="0"/>
      <w:r w:rsidRPr="00852EF5">
        <w:rPr>
          <w:b/>
          <w:bCs/>
        </w:rPr>
        <w:t>Koninkrijksrelaties (IV)</w:t>
      </w:r>
    </w:p>
    <w:p w:rsidRPr="00852EF5" w:rsidR="00DA49AF" w:rsidP="00DA49AF" w:rsidRDefault="00DA49AF" w14:paraId="53B2FC09" w14:textId="77777777">
      <w:pPr>
        <w:rPr>
          <w:b/>
        </w:rPr>
      </w:pPr>
    </w:p>
    <w:p w:rsidRPr="00852EF5" w:rsidR="00DA49AF" w:rsidP="00DA49AF" w:rsidRDefault="00DA49AF" w14:paraId="147BB9DE" w14:textId="77777777">
      <w:pPr>
        <w:rPr>
          <w:b/>
          <w:bCs/>
        </w:rPr>
      </w:pPr>
      <w:r w:rsidRPr="00852EF5">
        <w:rPr>
          <w:b/>
          <w:bCs/>
        </w:rPr>
        <w:t>Artikel 1 Versterken rechtsstaat</w:t>
      </w:r>
    </w:p>
    <w:p w:rsidRPr="00852EF5" w:rsidR="00DA49AF" w:rsidP="00DA49AF" w:rsidRDefault="00DA49AF" w14:paraId="41B85183" w14:textId="77777777">
      <w:r w:rsidRPr="00852EF5">
        <w:t xml:space="preserve">Op artikel 4 worden middelen verstrekt aan Sint Eustatius. Een deel van de benodigde middelen (€ 2,5 mln.) wordt </w:t>
      </w:r>
      <w:proofErr w:type="spellStart"/>
      <w:r w:rsidRPr="00852EF5">
        <w:t>gerealloceerd</w:t>
      </w:r>
      <w:proofErr w:type="spellEnd"/>
      <w:r w:rsidRPr="00852EF5">
        <w:t xml:space="preserve"> vanaf artikel 1. </w:t>
      </w:r>
    </w:p>
    <w:p w:rsidRPr="00852EF5" w:rsidR="00DA49AF" w:rsidP="00DA49AF" w:rsidRDefault="00DA49AF" w14:paraId="64C4B4BA" w14:textId="77777777">
      <w:pPr>
        <w:rPr>
          <w:b/>
          <w:bCs/>
        </w:rPr>
      </w:pPr>
      <w:bookmarkStart w:name="_Hlk184734458" w:id="1"/>
      <w:r w:rsidRPr="00852EF5">
        <w:rPr>
          <w:b/>
          <w:bCs/>
        </w:rPr>
        <w:t>Artikel 4 Bevorderen sociaaleconomische structuur</w:t>
      </w:r>
    </w:p>
    <w:p w:rsidRPr="00852EF5" w:rsidR="00DA49AF" w:rsidP="00DA49AF" w:rsidRDefault="00DA49AF" w14:paraId="290EE72B" w14:textId="77777777">
      <w:r w:rsidRPr="00852EF5">
        <w:t xml:space="preserve">In verband met de eroderende klif aan de havenzijde van Sint Eustatius is er door de eigenaar van een aantal percelen op Sint Eustatius een gerechtelijke procedure gestart. Naar aanleiding van de gerechtelijke procedure wordt een schikking voorgesteld tussen het openbaar lichaam Sint Eustatius en de eigenaar van een aantal percelen. Omdat Sint Eustatius niet beschikt over de benodigde financiële ruimte om de schikking te sluiten, zullen deze middelen (€ 3,8 mln.) aan Sint Eustatius worden verstrekt. Hiervan wordt € 2,5 mln. </w:t>
      </w:r>
      <w:proofErr w:type="spellStart"/>
      <w:r w:rsidRPr="00852EF5">
        <w:t>gerealloceerd</w:t>
      </w:r>
      <w:proofErr w:type="spellEnd"/>
      <w:r w:rsidRPr="00852EF5">
        <w:t xml:space="preserve"> vanaf artikel 1 en de resterende middelen (€ 1,3 mln.) zijn binnen artikel 4 gevonden.</w:t>
      </w:r>
    </w:p>
    <w:bookmarkEnd w:id="1"/>
    <w:p w:rsidRPr="00852EF5" w:rsidR="00DA49AF" w:rsidP="00DA49AF" w:rsidRDefault="00DA49AF" w14:paraId="6472BF2F" w14:textId="77777777">
      <w:pPr>
        <w:rPr>
          <w:b/>
          <w:bCs/>
        </w:rPr>
      </w:pPr>
      <w:r w:rsidRPr="00852EF5">
        <w:rPr>
          <w:b/>
          <w:bCs/>
        </w:rPr>
        <w:t>Artikel 8 Wederopbouw Bovenwindse Eilanden</w:t>
      </w:r>
    </w:p>
    <w:p w:rsidRPr="00852EF5" w:rsidR="00DA49AF" w:rsidP="00DA49AF" w:rsidRDefault="00DA49AF" w14:paraId="7E61EAE3" w14:textId="77777777">
      <w:r w:rsidRPr="00852EF5">
        <w:t>Op artikel 8 vindt er een overschrijding plaats op het kas- en verplichtingenbudget van het instrument Subsidies. Dit wordt veroorzaakt door een bijdrage aan het Ministerie van Volkshuisvesting, Ruimtelijke Ordening, Milieu &amp; Infrastructuur (VROMI, Sint Maarten)) van € 1,4 mln. voor de inzet van capaciteit om uitvoering te geven aan de Trustfonds projecten op Sint Maarten. Dit resulteert in een overschrijding van € 0,3 mln. op het verplichtingenbudget op artikelniveau.</w:t>
      </w:r>
    </w:p>
    <w:p w:rsidRPr="00852EF5" w:rsidR="00DA49AF" w:rsidP="00DA49AF" w:rsidRDefault="00DA49AF" w14:paraId="10FCB9DE" w14:textId="77777777">
      <w:pPr>
        <w:rPr>
          <w:b/>
          <w:bCs/>
        </w:rPr>
      </w:pPr>
      <w:r w:rsidRPr="00852EF5">
        <w:rPr>
          <w:b/>
          <w:bCs/>
        </w:rPr>
        <w:t>Artikel 6 Apparaat</w:t>
      </w:r>
    </w:p>
    <w:p w:rsidRPr="00852EF5" w:rsidR="00DA49AF" w:rsidP="00DA49AF" w:rsidRDefault="00DA49AF" w14:paraId="41548240" w14:textId="77777777">
      <w:r w:rsidRPr="00852EF5">
        <w:t xml:space="preserve">Op artikel 6 wordt een overschrijding op kas- en verplichtingenbudget verwacht van ca. € 10 mln. Dit wordt voor een groot deel veroorzaakt door een tegenvaller op de wisselkoers. </w:t>
      </w:r>
    </w:p>
    <w:p w:rsidRPr="00852EF5" w:rsidR="00DA49AF" w:rsidP="00DA49AF" w:rsidRDefault="00DA49AF" w14:paraId="7642ACA7" w14:textId="77777777">
      <w:r w:rsidRPr="00852EF5">
        <w:t xml:space="preserve">Daarnaast wordt met </w:t>
      </w:r>
      <w:proofErr w:type="spellStart"/>
      <w:r w:rsidRPr="00852EF5">
        <w:t>Slotwet</w:t>
      </w:r>
      <w:proofErr w:type="spellEnd"/>
      <w:r w:rsidRPr="00852EF5">
        <w:t xml:space="preserve"> nog twee interdepartementale overboekingen verwacht voor SSO CN. Het betreft één overboeking ad. € 3 mln. van het ministerie van J&amp;V voor de doorberekening van de kosten van de basisdienstverlening en één overboeking van € 1,2 mln. naar het ministerie van </w:t>
      </w:r>
      <w:r w:rsidRPr="00852EF5">
        <w:lastRenderedPageBreak/>
        <w:t>Financiën voor een correctie op de verrekenbrief. Deze overboeking kon niet bij Najaarsnota plaatsvinden.</w:t>
      </w:r>
    </w:p>
    <w:p w:rsidRPr="00852EF5" w:rsidR="00DA49AF" w:rsidP="00DA49AF" w:rsidRDefault="00DA49AF" w14:paraId="00CABE48" w14:textId="77777777">
      <w:pPr>
        <w:pStyle w:val="Lijstalinea"/>
        <w:numPr>
          <w:ilvl w:val="0"/>
          <w:numId w:val="1"/>
        </w:numPr>
        <w:autoSpaceDN w:val="0"/>
        <w:spacing w:after="0" w:line="240" w:lineRule="atLeast"/>
        <w:rPr>
          <w:b/>
          <w:bCs/>
        </w:rPr>
      </w:pPr>
      <w:r w:rsidRPr="00852EF5">
        <w:rPr>
          <w:b/>
          <w:bCs/>
        </w:rPr>
        <w:t>BES-fonds (H)</w:t>
      </w:r>
    </w:p>
    <w:p w:rsidRPr="00852EF5" w:rsidR="00DA49AF" w:rsidP="00DA49AF" w:rsidRDefault="00DA49AF" w14:paraId="7CF28820" w14:textId="77777777">
      <w:pPr>
        <w:rPr>
          <w:b/>
          <w:bCs/>
        </w:rPr>
      </w:pPr>
    </w:p>
    <w:p w:rsidRPr="00852EF5" w:rsidR="00DA49AF" w:rsidP="00DA49AF" w:rsidRDefault="00DA49AF" w14:paraId="7F5D27C3" w14:textId="77777777">
      <w:r w:rsidRPr="00852EF5">
        <w:t xml:space="preserve">Er wordt geen overschrijding verwacht op het BES-fonds. </w:t>
      </w:r>
    </w:p>
    <w:bookmarkEnd w:id="0"/>
    <w:p w:rsidRPr="00852EF5" w:rsidR="00DA49AF" w:rsidP="00DA49AF" w:rsidRDefault="00DA49AF" w14:paraId="0E990122" w14:textId="77777777">
      <w:pPr>
        <w:pStyle w:val="Lijstalinea"/>
        <w:numPr>
          <w:ilvl w:val="0"/>
          <w:numId w:val="1"/>
        </w:numPr>
        <w:autoSpaceDN w:val="0"/>
        <w:spacing w:after="0" w:line="240" w:lineRule="atLeast"/>
        <w:rPr>
          <w:b/>
        </w:rPr>
      </w:pPr>
      <w:r w:rsidRPr="00852EF5">
        <w:rPr>
          <w:b/>
        </w:rPr>
        <w:t>Binnenlandse Zaken en Koninkrijksrelaties (VII)</w:t>
      </w:r>
    </w:p>
    <w:p w:rsidRPr="00852EF5" w:rsidR="00DA49AF" w:rsidP="00DA49AF" w:rsidRDefault="00DA49AF" w14:paraId="1ECD217D" w14:textId="77777777">
      <w:bookmarkStart w:name="_Hlk152681925" w:id="2"/>
    </w:p>
    <w:p w:rsidRPr="00852EF5" w:rsidR="00DA49AF" w:rsidP="00DA49AF" w:rsidRDefault="00DA49AF" w14:paraId="3E8A6B5D" w14:textId="77777777">
      <w:pPr>
        <w:rPr>
          <w:u w:val="single"/>
        </w:rPr>
      </w:pPr>
      <w:r w:rsidRPr="00852EF5">
        <w:rPr>
          <w:u w:val="single"/>
        </w:rPr>
        <w:t>Overboekingen Btw-compensatiefonds</w:t>
      </w:r>
    </w:p>
    <w:p w:rsidRPr="00852EF5" w:rsidR="00DA49AF" w:rsidP="00DA49AF" w:rsidRDefault="00DA49AF" w14:paraId="0B99F3E0" w14:textId="77777777">
      <w:r w:rsidRPr="00852EF5">
        <w:t>Medeoverheden kunnen – indien zij voldoen aan bepaalde voorwaarden – de door hen betaalde btw terugvragen via het Btw-compensatiefonds (BCF). Vaak kan pas na het toekennen van de jaarlijkse aanvragen bepaald worden welk bedrag overgeboekt moet worden naar het BCF.</w:t>
      </w:r>
      <w:bookmarkEnd w:id="2"/>
      <w:r w:rsidRPr="00852EF5">
        <w:t xml:space="preserve"> Daarom vinden er bij </w:t>
      </w:r>
      <w:proofErr w:type="spellStart"/>
      <w:r w:rsidRPr="00852EF5">
        <w:t>Slotwet</w:t>
      </w:r>
      <w:proofErr w:type="spellEnd"/>
      <w:r w:rsidRPr="00852EF5">
        <w:t xml:space="preserve"> 2024 op de volgende regelingen nog overboekingen plaats naar het BCF:</w:t>
      </w:r>
    </w:p>
    <w:p w:rsidRPr="00852EF5" w:rsidR="00DA49AF" w:rsidP="00DA49AF" w:rsidRDefault="00DA49AF" w14:paraId="2C2D7D9E" w14:textId="77777777"/>
    <w:p w:rsidRPr="00852EF5" w:rsidR="00DA49AF" w:rsidP="00DA49AF" w:rsidRDefault="00DA49AF" w14:paraId="6838D470" w14:textId="77777777">
      <w:pPr>
        <w:rPr>
          <w:b/>
        </w:rPr>
      </w:pPr>
      <w:r w:rsidRPr="00852EF5">
        <w:rPr>
          <w:bCs/>
        </w:rPr>
        <w:t>Artikel 1 – Openbaar bestuur en democratie</w:t>
      </w:r>
    </w:p>
    <w:p w:rsidRPr="00852EF5" w:rsidR="00DA49AF" w:rsidP="00DA49AF" w:rsidRDefault="00DA49AF" w14:paraId="673AB5CF" w14:textId="77777777">
      <w:pPr>
        <w:pStyle w:val="Lijstalinea"/>
        <w:numPr>
          <w:ilvl w:val="0"/>
          <w:numId w:val="2"/>
        </w:numPr>
        <w:autoSpaceDN w:val="0"/>
        <w:spacing w:after="0" w:line="240" w:lineRule="atLeast"/>
        <w:rPr>
          <w:bCs/>
        </w:rPr>
      </w:pPr>
      <w:r w:rsidRPr="00852EF5">
        <w:rPr>
          <w:bCs/>
        </w:rPr>
        <w:t>Regiodeals</w:t>
      </w:r>
      <w:r w:rsidRPr="00852EF5">
        <w:rPr>
          <w:bCs/>
        </w:rPr>
        <w:tab/>
      </w:r>
      <w:r w:rsidRPr="00852EF5">
        <w:rPr>
          <w:bCs/>
        </w:rPr>
        <w:tab/>
      </w:r>
      <w:r w:rsidRPr="00852EF5">
        <w:rPr>
          <w:bCs/>
        </w:rPr>
        <w:tab/>
      </w:r>
      <w:r w:rsidRPr="00852EF5">
        <w:rPr>
          <w:bCs/>
        </w:rPr>
        <w:tab/>
      </w:r>
      <w:r w:rsidRPr="00852EF5">
        <w:rPr>
          <w:bCs/>
        </w:rPr>
        <w:tab/>
      </w:r>
      <w:r w:rsidRPr="00852EF5">
        <w:rPr>
          <w:bCs/>
        </w:rPr>
        <w:tab/>
        <w:t>€ 11,2 mln.</w:t>
      </w:r>
    </w:p>
    <w:p w:rsidRPr="00852EF5" w:rsidR="00DA49AF" w:rsidP="00DA49AF" w:rsidRDefault="00DA49AF" w14:paraId="525DC055" w14:textId="77777777">
      <w:pPr>
        <w:pStyle w:val="Lijstalinea"/>
        <w:rPr>
          <w:bCs/>
        </w:rPr>
      </w:pPr>
    </w:p>
    <w:p w:rsidRPr="00852EF5" w:rsidR="00DA49AF" w:rsidP="00DA49AF" w:rsidRDefault="00DA49AF" w14:paraId="71A85990" w14:textId="77777777">
      <w:pPr>
        <w:rPr>
          <w:bCs/>
        </w:rPr>
      </w:pPr>
      <w:r w:rsidRPr="00852EF5">
        <w:rPr>
          <w:bCs/>
        </w:rPr>
        <w:t xml:space="preserve">Artikel 3 – Woningmarkt </w:t>
      </w:r>
    </w:p>
    <w:p w:rsidRPr="00852EF5" w:rsidR="00DA49AF" w:rsidP="00DA49AF" w:rsidRDefault="00DA49AF" w14:paraId="6280DD99" w14:textId="77777777">
      <w:pPr>
        <w:pStyle w:val="Lijstalinea"/>
        <w:numPr>
          <w:ilvl w:val="0"/>
          <w:numId w:val="2"/>
        </w:numPr>
        <w:autoSpaceDN w:val="0"/>
        <w:spacing w:after="0" w:line="240" w:lineRule="atLeast"/>
        <w:rPr>
          <w:b/>
        </w:rPr>
      </w:pPr>
      <w:r w:rsidRPr="00852EF5">
        <w:rPr>
          <w:bCs/>
        </w:rPr>
        <w:t>Volkshuisvestingsfonds</w:t>
      </w:r>
      <w:r w:rsidRPr="00852EF5">
        <w:rPr>
          <w:bCs/>
        </w:rPr>
        <w:tab/>
      </w:r>
      <w:r w:rsidRPr="00852EF5">
        <w:rPr>
          <w:bCs/>
        </w:rPr>
        <w:tab/>
      </w:r>
      <w:r w:rsidRPr="00852EF5">
        <w:rPr>
          <w:bCs/>
        </w:rPr>
        <w:tab/>
      </w:r>
      <w:r w:rsidRPr="00852EF5">
        <w:rPr>
          <w:bCs/>
        </w:rPr>
        <w:tab/>
      </w:r>
      <w:r w:rsidRPr="00852EF5">
        <w:rPr>
          <w:bCs/>
        </w:rPr>
        <w:tab/>
        <w:t>€ 4,3 mln.</w:t>
      </w:r>
    </w:p>
    <w:p w:rsidRPr="00852EF5" w:rsidR="00DA49AF" w:rsidP="00DA49AF" w:rsidRDefault="00DA49AF" w14:paraId="04C23331" w14:textId="77777777">
      <w:pPr>
        <w:pStyle w:val="Lijstalinea"/>
        <w:numPr>
          <w:ilvl w:val="0"/>
          <w:numId w:val="2"/>
        </w:numPr>
        <w:autoSpaceDN w:val="0"/>
        <w:spacing w:after="0" w:line="240" w:lineRule="atLeast"/>
        <w:rPr>
          <w:b/>
        </w:rPr>
      </w:pPr>
      <w:r w:rsidRPr="00852EF5">
        <w:rPr>
          <w:bCs/>
        </w:rPr>
        <w:t>Studentenwoningenstartbouwimpuls</w:t>
      </w:r>
      <w:r w:rsidRPr="00852EF5">
        <w:rPr>
          <w:bCs/>
        </w:rPr>
        <w:tab/>
      </w:r>
      <w:r w:rsidRPr="00852EF5">
        <w:rPr>
          <w:bCs/>
        </w:rPr>
        <w:tab/>
      </w:r>
      <w:r w:rsidRPr="00852EF5">
        <w:rPr>
          <w:bCs/>
        </w:rPr>
        <w:tab/>
        <w:t>€ 0,5 mln.</w:t>
      </w:r>
    </w:p>
    <w:p w:rsidRPr="00852EF5" w:rsidR="00DA49AF" w:rsidP="00DA49AF" w:rsidRDefault="00DA49AF" w14:paraId="293294E7" w14:textId="77777777">
      <w:pPr>
        <w:pStyle w:val="Lijstalinea"/>
        <w:rPr>
          <w:b/>
        </w:rPr>
      </w:pPr>
    </w:p>
    <w:p w:rsidRPr="00852EF5" w:rsidR="00DA49AF" w:rsidP="00DA49AF" w:rsidRDefault="00DA49AF" w14:paraId="14871AF1" w14:textId="77777777">
      <w:bookmarkStart w:name="_Hlk184294754" w:id="3"/>
      <w:r w:rsidRPr="00852EF5">
        <w:rPr>
          <w:bCs/>
        </w:rPr>
        <w:t>Artikel 4 – Energietransitie gebouwde omgeving en bouwkwaliteit</w:t>
      </w:r>
      <w:r w:rsidRPr="00852EF5">
        <w:t xml:space="preserve"> </w:t>
      </w:r>
    </w:p>
    <w:p w:rsidRPr="00852EF5" w:rsidR="00DA49AF" w:rsidP="00DA49AF" w:rsidRDefault="00DA49AF" w14:paraId="1E214BCC" w14:textId="77777777">
      <w:pPr>
        <w:pStyle w:val="Lijstalinea"/>
        <w:numPr>
          <w:ilvl w:val="0"/>
          <w:numId w:val="2"/>
        </w:numPr>
        <w:autoSpaceDN w:val="0"/>
        <w:spacing w:after="0" w:line="240" w:lineRule="atLeast"/>
      </w:pPr>
      <w:r w:rsidRPr="00852EF5">
        <w:t xml:space="preserve">Maatschappelijke vastgoed ontzorgen MKB       </w:t>
      </w:r>
      <w:r w:rsidRPr="00852EF5">
        <w:tab/>
        <w:t>€ 0,007 mln.</w:t>
      </w:r>
    </w:p>
    <w:bookmarkEnd w:id="3"/>
    <w:p w:rsidRPr="00852EF5" w:rsidR="00DA49AF" w:rsidP="00DA49AF" w:rsidRDefault="00DA49AF" w14:paraId="7E658615" w14:textId="77777777">
      <w:pPr>
        <w:pStyle w:val="Lijstalinea"/>
      </w:pPr>
    </w:p>
    <w:p w:rsidRPr="00852EF5" w:rsidR="00DA49AF" w:rsidP="00DA49AF" w:rsidRDefault="00DA49AF" w14:paraId="17D5BD95" w14:textId="77777777">
      <w:r w:rsidRPr="00852EF5">
        <w:t>Artikel 5 – Ruimtelijke ordening en Omgevingswet</w:t>
      </w:r>
      <w:r w:rsidRPr="00852EF5">
        <w:tab/>
      </w:r>
      <w:r w:rsidRPr="00852EF5">
        <w:tab/>
      </w:r>
    </w:p>
    <w:p w:rsidRPr="00852EF5" w:rsidR="00DA49AF" w:rsidP="00DA49AF" w:rsidRDefault="00DA49AF" w14:paraId="7DD6AA9B" w14:textId="77777777">
      <w:pPr>
        <w:pStyle w:val="Lijstalinea"/>
        <w:numPr>
          <w:ilvl w:val="0"/>
          <w:numId w:val="2"/>
        </w:numPr>
        <w:autoSpaceDN w:val="0"/>
        <w:spacing w:after="0" w:line="240" w:lineRule="atLeast"/>
        <w:rPr>
          <w:bCs/>
        </w:rPr>
      </w:pPr>
      <w:proofErr w:type="spellStart"/>
      <w:r w:rsidRPr="00852EF5">
        <w:rPr>
          <w:bCs/>
        </w:rPr>
        <w:t>Novex</w:t>
      </w:r>
      <w:proofErr w:type="spellEnd"/>
      <w:r w:rsidRPr="00852EF5">
        <w:rPr>
          <w:bCs/>
        </w:rPr>
        <w:t>-gebieden</w:t>
      </w:r>
      <w:r w:rsidRPr="00852EF5">
        <w:rPr>
          <w:bCs/>
        </w:rPr>
        <w:tab/>
      </w:r>
      <w:r w:rsidRPr="00852EF5">
        <w:rPr>
          <w:bCs/>
        </w:rPr>
        <w:tab/>
      </w:r>
      <w:r w:rsidRPr="00852EF5">
        <w:rPr>
          <w:bCs/>
        </w:rPr>
        <w:tab/>
      </w:r>
      <w:r w:rsidRPr="00852EF5">
        <w:rPr>
          <w:bCs/>
        </w:rPr>
        <w:tab/>
      </w:r>
      <w:r w:rsidRPr="00852EF5">
        <w:rPr>
          <w:bCs/>
        </w:rPr>
        <w:tab/>
        <w:t>€ 0,08 mln.</w:t>
      </w:r>
    </w:p>
    <w:p w:rsidRPr="00852EF5" w:rsidR="00DA49AF" w:rsidP="00DA49AF" w:rsidRDefault="00DA49AF" w14:paraId="2F5C0654" w14:textId="77777777"/>
    <w:p w:rsidRPr="00852EF5" w:rsidR="00DA49AF" w:rsidP="00DA49AF" w:rsidRDefault="00DA49AF" w14:paraId="786B8E77" w14:textId="77777777">
      <w:pPr>
        <w:rPr>
          <w:b/>
          <w:bCs/>
        </w:rPr>
      </w:pPr>
      <w:r w:rsidRPr="00852EF5">
        <w:rPr>
          <w:b/>
          <w:bCs/>
        </w:rPr>
        <w:t>Artikel 2 Nationale Veiligheid</w:t>
      </w:r>
    </w:p>
    <w:p w:rsidRPr="00852EF5" w:rsidR="00DA49AF" w:rsidP="00DA49AF" w:rsidRDefault="00DA49AF" w14:paraId="70D260A6" w14:textId="77777777">
      <w:r w:rsidRPr="00852EF5">
        <w:t>In verband met prijsverhogingen vallen de materiële uitgaven hoger uit dan verwacht. Als gevolg hiervan vindt er op artikel 2 een overschrijding plaats van naar verwachting ca. € 2 mln. op het kasbudget.</w:t>
      </w:r>
    </w:p>
    <w:p w:rsidRPr="00852EF5" w:rsidR="00DA49AF" w:rsidP="00DA49AF" w:rsidRDefault="00DA49AF" w14:paraId="1D21ADB3" w14:textId="77777777">
      <w:pPr>
        <w:rPr>
          <w:b/>
          <w:bCs/>
        </w:rPr>
      </w:pPr>
      <w:r w:rsidRPr="00852EF5">
        <w:rPr>
          <w:b/>
          <w:bCs/>
        </w:rPr>
        <w:t>Artikel 3 Woningmarkt</w:t>
      </w:r>
    </w:p>
    <w:p w:rsidRPr="00852EF5" w:rsidR="00DA49AF" w:rsidP="00DA49AF" w:rsidRDefault="00DA49AF" w14:paraId="24E5D0E9" w14:textId="77777777">
      <w:pPr>
        <w:rPr>
          <w:u w:val="single"/>
        </w:rPr>
      </w:pPr>
      <w:r w:rsidRPr="00852EF5">
        <w:rPr>
          <w:u w:val="single"/>
        </w:rPr>
        <w:t>Artikelonderdeel 3.1 Woningmarkt</w:t>
      </w:r>
    </w:p>
    <w:p w:rsidRPr="00852EF5" w:rsidR="00DA49AF" w:rsidP="00DA49AF" w:rsidRDefault="00DA49AF" w14:paraId="6076058F" w14:textId="77777777">
      <w:pPr>
        <w:rPr>
          <w:i/>
          <w:iCs/>
        </w:rPr>
      </w:pPr>
      <w:r w:rsidRPr="00852EF5">
        <w:rPr>
          <w:i/>
          <w:iCs/>
        </w:rPr>
        <w:lastRenderedPageBreak/>
        <w:t>Uitvoering huurtoeslag (inkomensoverdrachten en ontvangsten)</w:t>
      </w:r>
    </w:p>
    <w:p w:rsidRPr="00852EF5" w:rsidR="00DA49AF" w:rsidP="00DA49AF" w:rsidRDefault="00DA49AF" w14:paraId="2AC039FC" w14:textId="77777777">
      <w:r w:rsidRPr="00852EF5">
        <w:t xml:space="preserve">Tot en met oktober blijven de verplichtingen, verstrekte voorschotten en de nabetalingen van de huurtoeslag per saldo circa € 365 mln. achter op de raming voor 2024. Daarmee komen bij de uitgaven de voorschotten en de nabetalingen circa € 365 mln. lager uit. Dit komt met name door minder instroom van nieuwe huurtoeslagaanvragers dan verwacht. Bij de ontvangsten komen de invorderingen circa € 65 mln. hoger uit. </w:t>
      </w:r>
      <w:bookmarkStart w:name="_Hlk121151707" w:id="4"/>
      <w:r w:rsidRPr="00852EF5">
        <w:t xml:space="preserve">Hoe de huurtoeslag voor heel 2024 uitkomt, is nog niet bekend. Het beeld kan de laatste maanden nog wijzigen, onder andere door </w:t>
      </w:r>
      <w:bookmarkEnd w:id="4"/>
      <w:r w:rsidRPr="00852EF5">
        <w:t>nieuwe aanvragen.</w:t>
      </w:r>
    </w:p>
    <w:p w:rsidRPr="00852EF5" w:rsidR="00DA49AF" w:rsidP="00DA49AF" w:rsidRDefault="00DA49AF" w14:paraId="7D846309" w14:textId="77777777">
      <w:r w:rsidRPr="00852EF5">
        <w:rPr>
          <w:u w:val="single"/>
        </w:rPr>
        <w:t>Artikelonderdeel 3.3 Woningbouw</w:t>
      </w:r>
    </w:p>
    <w:p w:rsidRPr="00852EF5" w:rsidR="00DA49AF" w:rsidP="00DA49AF" w:rsidRDefault="00DA49AF" w14:paraId="37B68227" w14:textId="77777777">
      <w:pPr>
        <w:rPr>
          <w:i/>
          <w:iCs/>
        </w:rPr>
      </w:pPr>
      <w:r w:rsidRPr="00852EF5">
        <w:rPr>
          <w:i/>
          <w:iCs/>
        </w:rPr>
        <w:t>Herplaatsingsgarantie</w:t>
      </w:r>
    </w:p>
    <w:p w:rsidRPr="00852EF5" w:rsidR="00DA49AF" w:rsidP="00DA49AF" w:rsidRDefault="00DA49AF" w14:paraId="6FABE76F" w14:textId="77777777">
      <w:r w:rsidRPr="00852EF5">
        <w:t xml:space="preserve">Omdat er minder aanvragen zijn gedaan voor de Regeling Tegemoetkoming Herplaatsing </w:t>
      </w:r>
      <w:proofErr w:type="spellStart"/>
      <w:r w:rsidRPr="00852EF5">
        <w:t>Flexwoningen</w:t>
      </w:r>
      <w:proofErr w:type="spellEnd"/>
      <w:r w:rsidRPr="00852EF5">
        <w:t xml:space="preserve"> (financiële herplaatsingsgarantie) dan verwacht, is op het verplichtingenbudget in 2024 minder gerealiseerd dan geraamd. Daarom wordt het verplichtingenbudget in 2024 met ruim € 200 mln. verlaagd. </w:t>
      </w:r>
    </w:p>
    <w:p w:rsidRPr="00852EF5" w:rsidR="00DA49AF" w:rsidP="00DA49AF" w:rsidRDefault="00DA49AF" w14:paraId="29642B25" w14:textId="77777777">
      <w:pPr>
        <w:rPr>
          <w:i/>
          <w:iCs/>
        </w:rPr>
      </w:pPr>
      <w:r w:rsidRPr="00852EF5">
        <w:rPr>
          <w:i/>
          <w:iCs/>
        </w:rPr>
        <w:t>Versnelling Huisvesting</w:t>
      </w:r>
    </w:p>
    <w:p w:rsidRPr="00852EF5" w:rsidR="00DA49AF" w:rsidP="00DA49AF" w:rsidRDefault="00DA49AF" w14:paraId="02D7E2B7" w14:textId="77777777">
      <w:r w:rsidRPr="00852EF5">
        <w:t xml:space="preserve">De kasuitgaven voor de Stimuleringsregeling </w:t>
      </w:r>
      <w:proofErr w:type="spellStart"/>
      <w:r w:rsidRPr="00852EF5">
        <w:t>Flex</w:t>
      </w:r>
      <w:proofErr w:type="spellEnd"/>
      <w:r w:rsidRPr="00852EF5">
        <w:t xml:space="preserve">- en Transformatiewoningen zijn vertraagd, omdat er bij de verschillende woningbouwprojecten nog geen sprake is van de start van de bouwwerkzaamheden. Daarom worden de kasuitgaven in 2024 naar verwachting met circa € 27 mln. verlaagd.  </w:t>
      </w:r>
    </w:p>
    <w:p w:rsidRPr="00852EF5" w:rsidR="00DA49AF" w:rsidP="00DA49AF" w:rsidRDefault="00DA49AF" w14:paraId="2B17C264" w14:textId="77777777">
      <w:pPr>
        <w:rPr>
          <w:i/>
          <w:iCs/>
        </w:rPr>
      </w:pPr>
      <w:r w:rsidRPr="00852EF5">
        <w:rPr>
          <w:i/>
          <w:iCs/>
        </w:rPr>
        <w:t>RVB (bijdrage aan agentschappen)</w:t>
      </w:r>
    </w:p>
    <w:p w:rsidRPr="00852EF5" w:rsidR="00DA49AF" w:rsidP="00DA49AF" w:rsidRDefault="00DA49AF" w14:paraId="49894D2B" w14:textId="77777777">
      <w:r w:rsidRPr="00852EF5">
        <w:t xml:space="preserve">Door de vertraagde plaatsing van de door het RVB ingekochte </w:t>
      </w:r>
      <w:proofErr w:type="spellStart"/>
      <w:r w:rsidRPr="00852EF5">
        <w:t>flexwoningen</w:t>
      </w:r>
      <w:proofErr w:type="spellEnd"/>
      <w:r w:rsidRPr="00852EF5">
        <w:t xml:space="preserve"> worden de uitgaven later gefactureerd dan geraamd. Daarom worden de uitgaven in 2024 met € 17,3 mln. verlaagd.</w:t>
      </w:r>
    </w:p>
    <w:p w:rsidRPr="00852EF5" w:rsidR="00DA49AF" w:rsidP="00DA49AF" w:rsidRDefault="00DA49AF" w14:paraId="5EE8B202" w14:textId="77777777">
      <w:pPr>
        <w:rPr>
          <w:u w:val="single"/>
        </w:rPr>
      </w:pPr>
      <w:r w:rsidRPr="00852EF5">
        <w:rPr>
          <w:u w:val="single"/>
        </w:rPr>
        <w:t>Ontvangsten</w:t>
      </w:r>
    </w:p>
    <w:p w:rsidRPr="00852EF5" w:rsidR="00DA49AF" w:rsidP="00DA49AF" w:rsidRDefault="00DA49AF" w14:paraId="026E680C" w14:textId="77777777">
      <w:r w:rsidRPr="00852EF5">
        <w:t xml:space="preserve">Door een vertraagde plaatsing van de door het RVB ingekochte </w:t>
      </w:r>
      <w:proofErr w:type="spellStart"/>
      <w:r w:rsidRPr="00852EF5">
        <w:t>flexwoningen</w:t>
      </w:r>
      <w:proofErr w:type="spellEnd"/>
      <w:r w:rsidRPr="00852EF5">
        <w:t xml:space="preserve"> wordt er € 54,3 mln. minder ontvangen dan eerder geprognosticeerd. Voorts wordt er op de regeling Tegemoetkoming Herplaatsing </w:t>
      </w:r>
      <w:proofErr w:type="spellStart"/>
      <w:r w:rsidRPr="00852EF5">
        <w:t>Flexwoningen</w:t>
      </w:r>
      <w:proofErr w:type="spellEnd"/>
      <w:r w:rsidRPr="00852EF5">
        <w:t xml:space="preserve"> (financiële herplaatsingsgarantie) ca. € 10 mln. minder gerealiseerd. Daarmee wordt de ontvangstenraming op artikel 3 in totaal met € 64,3 mln. verlaagd.</w:t>
      </w:r>
    </w:p>
    <w:p w:rsidRPr="00852EF5" w:rsidR="00DA49AF" w:rsidP="00DA49AF" w:rsidRDefault="00DA49AF" w14:paraId="1A77C645" w14:textId="77777777">
      <w:pPr>
        <w:rPr>
          <w:b/>
          <w:bCs/>
        </w:rPr>
      </w:pPr>
      <w:r w:rsidRPr="00852EF5">
        <w:rPr>
          <w:b/>
          <w:bCs/>
        </w:rPr>
        <w:t>Artikel 11 – Centraal apparaat</w:t>
      </w:r>
    </w:p>
    <w:p w:rsidRPr="00852EF5" w:rsidR="00DA49AF" w:rsidP="00DA49AF" w:rsidRDefault="00DA49AF" w14:paraId="51EC07DA" w14:textId="77777777">
      <w:pPr>
        <w:rPr>
          <w:u w:val="single"/>
        </w:rPr>
      </w:pPr>
      <w:r w:rsidRPr="00852EF5">
        <w:rPr>
          <w:u w:val="single"/>
        </w:rPr>
        <w:t>Ontvangsten</w:t>
      </w:r>
    </w:p>
    <w:p w:rsidRPr="00852EF5" w:rsidR="00DA49AF" w:rsidP="00DA49AF" w:rsidRDefault="00DA49AF" w14:paraId="081A0339" w14:textId="77777777">
      <w:r w:rsidRPr="00852EF5">
        <w:t>In verband met het opnieuw inrichten van de projectadministratie bij de Rijksorganisatie voor Informatiehuishouding (</w:t>
      </w:r>
      <w:proofErr w:type="spellStart"/>
      <w:r w:rsidRPr="00852EF5">
        <w:t>RvIHH</w:t>
      </w:r>
      <w:proofErr w:type="spellEnd"/>
      <w:r w:rsidRPr="00852EF5">
        <w:t>) zijn niet alle facturen tijdig verstuurd. De ontvangstenraming in 2024 wordt op artikelniveau daarom met € 15 mln. verlaagd. De niet ontvangen ontvangsten schuiven door naar 2025.</w:t>
      </w:r>
    </w:p>
    <w:p w:rsidRPr="00852EF5" w:rsidR="00DA49AF" w:rsidP="00DA49AF" w:rsidRDefault="00DA49AF" w14:paraId="65D986CC" w14:textId="48D2E30D">
      <w:pPr>
        <w:rPr>
          <w:b/>
          <w:bCs/>
        </w:rPr>
      </w:pPr>
      <w:r w:rsidRPr="00852EF5">
        <w:rPr>
          <w:b/>
          <w:bCs/>
        </w:rPr>
        <w:lastRenderedPageBreak/>
        <w:t>Artikel 14 – Slavernijverleden: fonds en herdenkingscomité.</w:t>
      </w:r>
    </w:p>
    <w:p w:rsidRPr="00852EF5" w:rsidR="00DA49AF" w:rsidP="00DA49AF" w:rsidRDefault="00DA49AF" w14:paraId="787CAF52" w14:textId="77777777">
      <w:r w:rsidRPr="00852EF5">
        <w:t xml:space="preserve">Op artikel 14 is er € 7,9 mln. beschikbaar voor 2024. Op 25 oktober 2024 is de voorhangprocedure voor het voorgenomen besluit tot oprichting van de Stichting Herdenkingscomité Slavernijverleden gestart. Pas na afronding van de voorhangprocedure kan de stichting worden opgericht en kan het beschikbare budget worden aangesproken. </w:t>
      </w:r>
    </w:p>
    <w:p w:rsidRPr="00852EF5" w:rsidR="00DA49AF" w:rsidP="00DA49AF" w:rsidRDefault="00DA49AF" w14:paraId="6CA70A23" w14:textId="77777777">
      <w:pPr>
        <w:pStyle w:val="Lijstalinea"/>
        <w:numPr>
          <w:ilvl w:val="0"/>
          <w:numId w:val="1"/>
        </w:numPr>
        <w:autoSpaceDN w:val="0"/>
        <w:spacing w:after="0" w:line="240" w:lineRule="atLeast"/>
      </w:pPr>
      <w:r w:rsidRPr="00852EF5">
        <w:rPr>
          <w:b/>
          <w:bCs/>
        </w:rPr>
        <w:t>Gemeentefonds (B)</w:t>
      </w:r>
    </w:p>
    <w:p w:rsidRPr="00852EF5" w:rsidR="00DA49AF" w:rsidP="00DA49AF" w:rsidRDefault="00DA49AF" w14:paraId="5F3CDEE4" w14:textId="77777777">
      <w:bookmarkStart w:name="_Hlk184723132" w:id="5"/>
      <w:r w:rsidRPr="00852EF5">
        <w:t>Op artikelniveau is er naar verwachting geen sprake van overschrijdingen.</w:t>
      </w:r>
    </w:p>
    <w:p w:rsidRPr="00852EF5" w:rsidR="00DA49AF" w:rsidP="00DA49AF" w:rsidRDefault="00DA49AF" w14:paraId="53967956" w14:textId="77777777">
      <w:r w:rsidRPr="00852EF5">
        <w:t xml:space="preserve">Op het uitgavenbudget voor de algemene uitkering gemeentefonds wordt naar verwachting ca. € 133 miljoen minder uitgekeerd dan aan budget beschikbaar is. </w:t>
      </w:r>
      <w:bookmarkEnd w:id="5"/>
      <w:r w:rsidRPr="00852EF5">
        <w:t xml:space="preserve">Deze onderschrijding van het uitgavenbudget heeft twee oorzaken. Enerzijds zijn er in de tweede suppletoire begroting enkele taakmutaties verwerkt, die niet meer in de betalingen van december konden worden verwerkt. Anderzijds hanteert het ministerie van BZK voor de verschillende uitkeringsjaren een verdeelreserve, zolang de volumina van de verdeelmaatstaven van het gemeentefonds nog niet definitief zijn. De ca. € 133 miljoen wordt via de zogenaamde ‘wijziging betalingsverloop’ meegenomen naar 2025, zodat de uitkeringen aan gemeenten alsnog gerealiseerd kunnen worden. </w:t>
      </w:r>
    </w:p>
    <w:p w:rsidRPr="00852EF5" w:rsidR="00DA49AF" w:rsidP="00DA49AF" w:rsidRDefault="00DA49AF" w14:paraId="476FC497" w14:textId="77777777">
      <w:pPr>
        <w:pStyle w:val="Lijstalinea"/>
        <w:numPr>
          <w:ilvl w:val="0"/>
          <w:numId w:val="1"/>
        </w:numPr>
        <w:autoSpaceDN w:val="0"/>
        <w:spacing w:after="0" w:line="240" w:lineRule="atLeast"/>
        <w:rPr>
          <w:b/>
          <w:bCs/>
        </w:rPr>
      </w:pPr>
      <w:r w:rsidRPr="00852EF5">
        <w:rPr>
          <w:b/>
          <w:bCs/>
        </w:rPr>
        <w:t>Provinciefonds (C)</w:t>
      </w:r>
    </w:p>
    <w:p w:rsidRPr="00852EF5" w:rsidR="00DA49AF" w:rsidP="00DA49AF" w:rsidRDefault="00DA49AF" w14:paraId="25D5B417" w14:textId="77777777">
      <w:bookmarkStart w:name="_Hlk184723151" w:id="6"/>
      <w:r w:rsidRPr="00852EF5">
        <w:t>Op artikelniveau is er naar verwachting geen sprake van overschrijdingen.</w:t>
      </w:r>
    </w:p>
    <w:bookmarkEnd w:id="6"/>
    <w:p w:rsidRPr="00852EF5" w:rsidR="00DA49AF" w:rsidP="00DA49AF" w:rsidRDefault="00DA49AF" w14:paraId="126AAB07" w14:textId="77777777"/>
    <w:p w:rsidRPr="00852EF5" w:rsidR="00852EF5" w:rsidP="00C024A6" w:rsidRDefault="00DA49AF" w14:paraId="21B501A7" w14:textId="77777777">
      <w:pPr>
        <w:rPr>
          <w:spacing w:val="-3"/>
        </w:rPr>
      </w:pPr>
      <w:r w:rsidRPr="00852EF5">
        <w:t xml:space="preserve">Mede namens de Staatssecretaris </w:t>
      </w:r>
      <w:r w:rsidRPr="00852EF5" w:rsidR="00852EF5">
        <w:t xml:space="preserve">van </w:t>
      </w:r>
      <w:r w:rsidRPr="00852EF5" w:rsidR="00852EF5">
        <w:rPr>
          <w:spacing w:val="-3"/>
        </w:rPr>
        <w:t>Binnenlandse Zaken en Koninkrijksrelaties</w:t>
      </w:r>
    </w:p>
    <w:p w:rsidRPr="00852EF5" w:rsidR="00DA49AF" w:rsidP="00DA49AF" w:rsidRDefault="00DA49AF" w14:paraId="212FE8C3" w14:textId="380D32F1"/>
    <w:p w:rsidRPr="00852EF5" w:rsidR="00DA49AF" w:rsidP="00DA49AF" w:rsidRDefault="00DA49AF" w14:paraId="460143AD" w14:textId="77777777">
      <w:pPr>
        <w:pStyle w:val="WitregelW1bodytekst"/>
        <w:rPr>
          <w:rFonts w:asciiTheme="minorHAnsi" w:hAnsiTheme="minorHAnsi"/>
          <w:sz w:val="22"/>
          <w:szCs w:val="22"/>
        </w:rPr>
      </w:pPr>
    </w:p>
    <w:p w:rsidRPr="00852EF5" w:rsidR="00DA49AF" w:rsidP="00DA49AF" w:rsidRDefault="00DA49AF" w14:paraId="398E1E96" w14:textId="77777777">
      <w:pPr>
        <w:spacing w:line="240" w:lineRule="auto"/>
      </w:pPr>
    </w:p>
    <w:p w:rsidRPr="00852EF5" w:rsidR="00DA49AF" w:rsidP="00852EF5" w:rsidRDefault="00DA49AF" w14:paraId="1C38390F" w14:textId="318C34CE">
      <w:pPr>
        <w:pStyle w:val="Geenafstand"/>
      </w:pPr>
      <w:r w:rsidRPr="00852EF5">
        <w:t>De </w:t>
      </w:r>
      <w:r w:rsidRPr="00852EF5" w:rsidR="00852EF5">
        <w:t>m</w:t>
      </w:r>
      <w:r w:rsidRPr="00852EF5">
        <w:t>inister van Binnenlandse Zaken en Koninkrijksrelaties, </w:t>
      </w:r>
    </w:p>
    <w:p w:rsidRPr="00852EF5" w:rsidR="00DA49AF" w:rsidP="00852EF5" w:rsidRDefault="00DA49AF" w14:paraId="7A7E07EB" w14:textId="77777777">
      <w:pPr>
        <w:pStyle w:val="Geenafstand"/>
      </w:pPr>
      <w:r w:rsidRPr="00852EF5">
        <w:t xml:space="preserve">J.J.M. </w:t>
      </w:r>
      <w:proofErr w:type="spellStart"/>
      <w:r w:rsidRPr="00852EF5">
        <w:t>Uitermark</w:t>
      </w:r>
      <w:proofErr w:type="spellEnd"/>
    </w:p>
    <w:p w:rsidRPr="00852EF5" w:rsidR="00852EF5" w:rsidP="00852EF5" w:rsidRDefault="00852EF5" w14:paraId="4FD87F5C" w14:textId="77777777">
      <w:pPr>
        <w:pStyle w:val="Geenafstand"/>
      </w:pPr>
    </w:p>
    <w:p w:rsidRPr="00852EF5" w:rsidR="00DA49AF" w:rsidP="00852EF5" w:rsidRDefault="00DA49AF" w14:paraId="250693F8" w14:textId="2933D42A">
      <w:pPr>
        <w:pStyle w:val="Geenafstand"/>
      </w:pPr>
      <w:r w:rsidRPr="00852EF5">
        <w:t xml:space="preserve">De </w:t>
      </w:r>
      <w:r w:rsidRPr="00852EF5" w:rsidR="00852EF5">
        <w:t>m</w:t>
      </w:r>
      <w:r w:rsidRPr="00852EF5">
        <w:t>inister van Volkshuisvesting en Ruimtelijke Ordening,</w:t>
      </w:r>
    </w:p>
    <w:p w:rsidRPr="00852EF5" w:rsidR="00DA49AF" w:rsidP="00852EF5" w:rsidRDefault="00852EF5" w14:paraId="7628CABC" w14:textId="072C09E0">
      <w:pPr>
        <w:pStyle w:val="Geenafstand"/>
      </w:pPr>
      <w:r w:rsidRPr="00852EF5">
        <w:t xml:space="preserve">M.C.G. </w:t>
      </w:r>
      <w:r w:rsidRPr="00852EF5" w:rsidR="00DA49AF">
        <w:t>Keijzer</w:t>
      </w:r>
    </w:p>
    <w:sectPr w:rsidRPr="00852EF5" w:rsidR="00DA49AF" w:rsidSect="00DA49AF">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C9F06" w14:textId="77777777" w:rsidR="00DA49AF" w:rsidRDefault="00DA49AF" w:rsidP="00DA49AF">
      <w:pPr>
        <w:spacing w:after="0" w:line="240" w:lineRule="auto"/>
      </w:pPr>
      <w:r>
        <w:separator/>
      </w:r>
    </w:p>
  </w:endnote>
  <w:endnote w:type="continuationSeparator" w:id="0">
    <w:p w14:paraId="06E36368" w14:textId="77777777" w:rsidR="00DA49AF" w:rsidRDefault="00DA49AF" w:rsidP="00DA4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E9ADF" w14:textId="77777777" w:rsidR="00DA49AF" w:rsidRPr="00DA49AF" w:rsidRDefault="00DA49AF" w:rsidP="00DA49A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5A3C7" w14:textId="77777777" w:rsidR="00DA49AF" w:rsidRPr="00DA49AF" w:rsidRDefault="00DA49AF" w:rsidP="00DA49A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62AF8" w14:textId="77777777" w:rsidR="00DA49AF" w:rsidRPr="00DA49AF" w:rsidRDefault="00DA49AF" w:rsidP="00DA49A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447BF" w14:textId="77777777" w:rsidR="00DA49AF" w:rsidRDefault="00DA49AF" w:rsidP="00DA49AF">
      <w:pPr>
        <w:spacing w:after="0" w:line="240" w:lineRule="auto"/>
      </w:pPr>
      <w:r>
        <w:separator/>
      </w:r>
    </w:p>
  </w:footnote>
  <w:footnote w:type="continuationSeparator" w:id="0">
    <w:p w14:paraId="07ECCADD" w14:textId="77777777" w:rsidR="00DA49AF" w:rsidRDefault="00DA49AF" w:rsidP="00DA49AF">
      <w:pPr>
        <w:spacing w:after="0" w:line="240" w:lineRule="auto"/>
      </w:pPr>
      <w:r>
        <w:continuationSeparator/>
      </w:r>
    </w:p>
  </w:footnote>
  <w:footnote w:id="1">
    <w:p w14:paraId="346D9967" w14:textId="77777777" w:rsidR="00DA49AF" w:rsidRDefault="00DA49AF" w:rsidP="00DA49AF">
      <w:pPr>
        <w:pStyle w:val="Voetnoottekst"/>
      </w:pPr>
      <w:r>
        <w:rPr>
          <w:rStyle w:val="Voetnootmarkering"/>
        </w:rPr>
        <w:footnoteRef/>
      </w:r>
      <w:r>
        <w:t xml:space="preserve"> </w:t>
      </w:r>
      <w:r>
        <w:rPr>
          <w:sz w:val="16"/>
          <w:szCs w:val="16"/>
        </w:rPr>
        <w:t>Gezien het feit dat deze brief gaat over het begrotingsjaar 2024 vallen alle artikelen met betrekking tot het ministerie van Volkshuisvesting en Ruimtelijke Ordening nog onder het begrotingshoofdstuk BZK (VII).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B7427" w14:textId="77777777" w:rsidR="00DA49AF" w:rsidRPr="00DA49AF" w:rsidRDefault="00DA49AF" w:rsidP="00DA49A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A3168" w14:textId="77777777" w:rsidR="00DA49AF" w:rsidRPr="00DA49AF" w:rsidRDefault="00DA49AF" w:rsidP="00DA49A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C143D" w14:textId="77777777" w:rsidR="00DA49AF" w:rsidRPr="00DA49AF" w:rsidRDefault="00DA49AF" w:rsidP="00DA49A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9D7244"/>
    <w:multiLevelType w:val="hybridMultilevel"/>
    <w:tmpl w:val="2EE0C5A0"/>
    <w:lvl w:ilvl="0" w:tplc="7A24377E">
      <w:start w:val="2024"/>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503721F6"/>
    <w:multiLevelType w:val="hybridMultilevel"/>
    <w:tmpl w:val="4DBA450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88363901">
    <w:abstractNumId w:val="1"/>
  </w:num>
  <w:num w:numId="2" w16cid:durableId="1319387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9AF"/>
    <w:rsid w:val="0000395D"/>
    <w:rsid w:val="0025703A"/>
    <w:rsid w:val="00852EF5"/>
    <w:rsid w:val="00C57495"/>
    <w:rsid w:val="00D03022"/>
    <w:rsid w:val="00DA49AF"/>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92B8"/>
  <w15:chartTrackingRefBased/>
  <w15:docId w15:val="{590366DB-D48C-471F-B5D3-4D861B0F2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A49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A49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A49A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A49A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A49A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A49A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A49A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A49A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A49A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A49A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A49A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A49A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A49A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A49A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A49A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A49A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A49A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A49AF"/>
    <w:rPr>
      <w:rFonts w:eastAsiaTheme="majorEastAsia" w:cstheme="majorBidi"/>
      <w:color w:val="272727" w:themeColor="text1" w:themeTint="D8"/>
    </w:rPr>
  </w:style>
  <w:style w:type="paragraph" w:styleId="Titel">
    <w:name w:val="Title"/>
    <w:basedOn w:val="Standaard"/>
    <w:next w:val="Standaard"/>
    <w:link w:val="TitelChar"/>
    <w:uiPriority w:val="10"/>
    <w:qFormat/>
    <w:rsid w:val="00DA49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A49A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A49A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A49A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A49A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A49AF"/>
    <w:rPr>
      <w:i/>
      <w:iCs/>
      <w:color w:val="404040" w:themeColor="text1" w:themeTint="BF"/>
    </w:rPr>
  </w:style>
  <w:style w:type="paragraph" w:styleId="Lijstalinea">
    <w:name w:val="List Paragraph"/>
    <w:basedOn w:val="Standaard"/>
    <w:uiPriority w:val="34"/>
    <w:qFormat/>
    <w:rsid w:val="00DA49AF"/>
    <w:pPr>
      <w:ind w:left="720"/>
      <w:contextualSpacing/>
    </w:pPr>
  </w:style>
  <w:style w:type="character" w:styleId="Intensievebenadrukking">
    <w:name w:val="Intense Emphasis"/>
    <w:basedOn w:val="Standaardalinea-lettertype"/>
    <w:uiPriority w:val="21"/>
    <w:qFormat/>
    <w:rsid w:val="00DA49AF"/>
    <w:rPr>
      <w:i/>
      <w:iCs/>
      <w:color w:val="0F4761" w:themeColor="accent1" w:themeShade="BF"/>
    </w:rPr>
  </w:style>
  <w:style w:type="paragraph" w:styleId="Duidelijkcitaat">
    <w:name w:val="Intense Quote"/>
    <w:basedOn w:val="Standaard"/>
    <w:next w:val="Standaard"/>
    <w:link w:val="DuidelijkcitaatChar"/>
    <w:uiPriority w:val="30"/>
    <w:qFormat/>
    <w:rsid w:val="00DA49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A49AF"/>
    <w:rPr>
      <w:i/>
      <w:iCs/>
      <w:color w:val="0F4761" w:themeColor="accent1" w:themeShade="BF"/>
    </w:rPr>
  </w:style>
  <w:style w:type="character" w:styleId="Intensieveverwijzing">
    <w:name w:val="Intense Reference"/>
    <w:basedOn w:val="Standaardalinea-lettertype"/>
    <w:uiPriority w:val="32"/>
    <w:qFormat/>
    <w:rsid w:val="00DA49AF"/>
    <w:rPr>
      <w:b/>
      <w:bCs/>
      <w:smallCaps/>
      <w:color w:val="0F4761" w:themeColor="accent1" w:themeShade="BF"/>
      <w:spacing w:val="5"/>
    </w:rPr>
  </w:style>
  <w:style w:type="paragraph" w:customStyle="1" w:styleId="Referentiegegevens">
    <w:name w:val="Referentiegegevens"/>
    <w:basedOn w:val="Standaard"/>
    <w:next w:val="Standaard"/>
    <w:rsid w:val="00DA49A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DA49A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DA49AF"/>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DA49A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DA49A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DA49A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DA49A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DA49AF"/>
    <w:rPr>
      <w:vertAlign w:val="superscript"/>
    </w:rPr>
  </w:style>
  <w:style w:type="paragraph" w:customStyle="1" w:styleId="Afzendgegevens">
    <w:name w:val="Afzendgegevens"/>
    <w:basedOn w:val="Standaard"/>
    <w:next w:val="Standaard"/>
    <w:rsid w:val="00DA49AF"/>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Kopjeafzendgegevens">
    <w:name w:val="Kopje afzendgegevens"/>
    <w:basedOn w:val="Afzendgegevens"/>
    <w:next w:val="Standaard"/>
    <w:rsid w:val="00DA49AF"/>
    <w:rPr>
      <w:b/>
    </w:rPr>
  </w:style>
  <w:style w:type="paragraph" w:customStyle="1" w:styleId="Kopjereferentiegegevens">
    <w:name w:val="Kopje referentiegegevens"/>
    <w:basedOn w:val="Referentiegegevens"/>
    <w:next w:val="Standaard"/>
    <w:rsid w:val="00DA49AF"/>
    <w:pPr>
      <w:tabs>
        <w:tab w:val="left" w:pos="170"/>
      </w:tabs>
    </w:pPr>
    <w:rPr>
      <w:b/>
    </w:rPr>
  </w:style>
  <w:style w:type="paragraph" w:styleId="Koptekst">
    <w:name w:val="header"/>
    <w:basedOn w:val="Standaard"/>
    <w:link w:val="KoptekstChar"/>
    <w:uiPriority w:val="99"/>
    <w:unhideWhenUsed/>
    <w:rsid w:val="00DA49A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A49AF"/>
  </w:style>
  <w:style w:type="paragraph" w:styleId="Voettekst">
    <w:name w:val="footer"/>
    <w:basedOn w:val="Standaard"/>
    <w:link w:val="VoettekstChar"/>
    <w:uiPriority w:val="99"/>
    <w:unhideWhenUsed/>
    <w:rsid w:val="00DA49A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A49AF"/>
  </w:style>
  <w:style w:type="paragraph" w:styleId="Geenafstand">
    <w:name w:val="No Spacing"/>
    <w:uiPriority w:val="1"/>
    <w:qFormat/>
    <w:rsid w:val="00852E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1420</ap:Words>
  <ap:Characters>7813</ap:Characters>
  <ap:DocSecurity>0</ap:DocSecurity>
  <ap:Lines>65</ap:Lines>
  <ap:Paragraphs>18</ap:Paragraphs>
  <ap:ScaleCrop>false</ap:ScaleCrop>
  <ap:LinksUpToDate>false</ap:LinksUpToDate>
  <ap:CharactersWithSpaces>9215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2024-12-17T15:59:00.0000000Z</dcterms:created>
  <dcterms:modified xsi:type="dcterms:W3CDTF">2024-12-17T15:59:00.0000000Z</dcterms:modified>
  <version/>
  <category/>
</coreProperties>
</file>