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6182" w:rsidR="00DA6182" w:rsidP="00DA6182" w:rsidRDefault="001117C9" w14:paraId="103C0ED7" w14:textId="0327BE77">
      <w:pPr>
        <w:ind w:left="1410" w:hanging="1410"/>
        <w:rPr>
          <w:rFonts w:ascii="Calibri" w:hAnsi="Calibri" w:cs="Calibri"/>
        </w:rPr>
      </w:pPr>
      <w:r w:rsidRPr="00DA6182">
        <w:rPr>
          <w:rFonts w:ascii="Calibri" w:hAnsi="Calibri" w:cs="Calibri"/>
        </w:rPr>
        <w:t>36</w:t>
      </w:r>
      <w:r w:rsidRPr="00DA6182" w:rsidR="00DA6182">
        <w:rPr>
          <w:rFonts w:ascii="Calibri" w:hAnsi="Calibri" w:cs="Calibri"/>
        </w:rPr>
        <w:t xml:space="preserve"> </w:t>
      </w:r>
      <w:r w:rsidRPr="00DA6182">
        <w:rPr>
          <w:rFonts w:ascii="Calibri" w:hAnsi="Calibri" w:cs="Calibri"/>
        </w:rPr>
        <w:t>600</w:t>
      </w:r>
      <w:r w:rsidRPr="00DA6182" w:rsidR="00DA6182">
        <w:rPr>
          <w:rFonts w:ascii="Calibri" w:hAnsi="Calibri" w:cs="Calibri"/>
        </w:rPr>
        <w:t xml:space="preserve"> </w:t>
      </w:r>
      <w:r w:rsidRPr="00DA6182">
        <w:rPr>
          <w:rFonts w:ascii="Calibri" w:hAnsi="Calibri" w:cs="Calibri"/>
        </w:rPr>
        <w:t>VI</w:t>
      </w:r>
      <w:r w:rsidRPr="00DA6182" w:rsidR="00DA6182">
        <w:rPr>
          <w:rFonts w:ascii="Calibri" w:hAnsi="Calibri" w:cs="Calibri"/>
        </w:rPr>
        <w:tab/>
        <w:t>Vaststelling van de begrotingsstaten van het Ministerie van Justitie en Veiligheid (VI) voor het jaar 2025</w:t>
      </w:r>
    </w:p>
    <w:p w:rsidRPr="00DA6182" w:rsidR="001117C9" w:rsidP="00DA6182" w:rsidRDefault="00DA6182" w14:paraId="734A0B1B" w14:textId="604BF569">
      <w:pPr>
        <w:ind w:left="1410" w:hanging="1410"/>
        <w:rPr>
          <w:rFonts w:ascii="Calibri" w:hAnsi="Calibri" w:cs="Calibri"/>
        </w:rPr>
      </w:pPr>
      <w:r w:rsidRPr="00DA6182">
        <w:rPr>
          <w:rFonts w:ascii="Calibri" w:hAnsi="Calibri" w:cs="Calibri"/>
        </w:rPr>
        <w:t xml:space="preserve">Nr. </w:t>
      </w:r>
      <w:r w:rsidRPr="00DA6182" w:rsidR="001117C9">
        <w:rPr>
          <w:rFonts w:ascii="Calibri" w:hAnsi="Calibri" w:cs="Calibri"/>
        </w:rPr>
        <w:t>124</w:t>
      </w:r>
      <w:r w:rsidRPr="00DA6182">
        <w:rPr>
          <w:rFonts w:ascii="Calibri" w:hAnsi="Calibri" w:cs="Calibri"/>
        </w:rPr>
        <w:tab/>
      </w:r>
      <w:r w:rsidRPr="00DA6182">
        <w:rPr>
          <w:rFonts w:ascii="Calibri" w:hAnsi="Calibri" w:cs="Calibri"/>
        </w:rPr>
        <w:tab/>
        <w:t>Brief van de ministers van Justitie en Veiligheid en van Asiel en Migratie</w:t>
      </w:r>
    </w:p>
    <w:p w:rsidRPr="00DA6182" w:rsidR="001117C9" w:rsidRDefault="00DA6182" w14:paraId="5A42DB1D" w14:textId="3AB7D1DC">
      <w:pPr>
        <w:rPr>
          <w:rFonts w:ascii="Calibri" w:hAnsi="Calibri" w:cs="Calibri"/>
        </w:rPr>
      </w:pPr>
      <w:r w:rsidRPr="00DA6182">
        <w:rPr>
          <w:rFonts w:ascii="Calibri" w:hAnsi="Calibri" w:cs="Calibri"/>
        </w:rPr>
        <w:t>Aan de Voorzitter van de Tweede Kamer der Staten-Generaal</w:t>
      </w:r>
    </w:p>
    <w:p w:rsidRPr="00DA6182" w:rsidR="00DA6182" w:rsidRDefault="00DA6182" w14:paraId="05E836DA" w14:textId="14E343D5">
      <w:pPr>
        <w:rPr>
          <w:rFonts w:ascii="Calibri" w:hAnsi="Calibri" w:cs="Calibri"/>
        </w:rPr>
      </w:pPr>
      <w:r w:rsidRPr="00DA6182">
        <w:rPr>
          <w:rFonts w:ascii="Calibri" w:hAnsi="Calibri" w:cs="Calibri"/>
        </w:rPr>
        <w:t>Den Haag, 16 december 2024</w:t>
      </w:r>
    </w:p>
    <w:p w:rsidRPr="00DA6182" w:rsidR="00DA6182" w:rsidRDefault="00DA6182" w14:paraId="45506925" w14:textId="77777777">
      <w:pPr>
        <w:rPr>
          <w:rFonts w:ascii="Calibri" w:hAnsi="Calibri" w:cs="Calibri"/>
        </w:rPr>
      </w:pPr>
    </w:p>
    <w:p w:rsidRPr="00DA6182" w:rsidR="00DA6182" w:rsidP="00C73241" w:rsidRDefault="00DA6182" w14:paraId="7ABEA496" w14:textId="77777777">
      <w:pPr>
        <w:pStyle w:val="broodtekst"/>
        <w:rPr>
          <w:rFonts w:ascii="Calibri" w:hAnsi="Calibri" w:cs="Calibri"/>
          <w:sz w:val="22"/>
          <w:szCs w:val="22"/>
        </w:rPr>
      </w:pPr>
    </w:p>
    <w:p w:rsidRPr="00DA6182" w:rsidR="00DA6182" w:rsidP="00C73241" w:rsidRDefault="00DA6182" w14:paraId="7EBD0207" w14:textId="77777777">
      <w:pPr>
        <w:pStyle w:val="broodtekst"/>
        <w:rPr>
          <w:rFonts w:ascii="Calibri" w:hAnsi="Calibri" w:cs="Calibri"/>
          <w:sz w:val="22"/>
          <w:szCs w:val="22"/>
        </w:rPr>
      </w:pPr>
      <w:r w:rsidRPr="00DA6182">
        <w:rPr>
          <w:rFonts w:ascii="Calibri" w:hAnsi="Calibri" w:cs="Calibri"/>
          <w:sz w:val="22"/>
          <w:szCs w:val="22"/>
        </w:rPr>
        <w:t xml:space="preserve">Hierbij informeer ik u over de mutaties die na de Najaarsnota 2024 en de bijbehorende 2e suppletoire wet zijn opgetreden op de begroting van JenV. </w:t>
      </w:r>
    </w:p>
    <w:p w:rsidRPr="00DA6182" w:rsidR="00DA6182" w:rsidP="00C73241" w:rsidRDefault="00DA6182" w14:paraId="3403CA58" w14:textId="77777777">
      <w:pPr>
        <w:rPr>
          <w:rFonts w:ascii="Calibri" w:hAnsi="Calibri" w:cs="Calibri"/>
        </w:rPr>
      </w:pPr>
    </w:p>
    <w:p w:rsidRPr="00DA6182" w:rsidR="00DA6182" w:rsidP="00C73241" w:rsidRDefault="00DA6182" w14:paraId="107658EE" w14:textId="77777777">
      <w:pPr>
        <w:rPr>
          <w:rFonts w:ascii="Calibri" w:hAnsi="Calibri" w:cs="Calibri"/>
          <w:b/>
        </w:rPr>
      </w:pPr>
      <w:r w:rsidRPr="00DA6182">
        <w:rPr>
          <w:rFonts w:ascii="Calibri" w:hAnsi="Calibri" w:cs="Calibri"/>
          <w:b/>
        </w:rPr>
        <w:t>Uitgaven</w:t>
      </w:r>
    </w:p>
    <w:p w:rsidRPr="00DA6182" w:rsidR="00DA6182" w:rsidP="00DA6182" w:rsidRDefault="00DA6182" w14:paraId="273E5677" w14:textId="77777777">
      <w:pPr>
        <w:pStyle w:val="Geenafstand"/>
      </w:pPr>
    </w:p>
    <w:p w:rsidRPr="00DA6182" w:rsidR="00DA6182" w:rsidP="00C73241" w:rsidRDefault="00DA6182" w14:paraId="1D87C8F5" w14:textId="77777777">
      <w:pPr>
        <w:rPr>
          <w:rFonts w:ascii="Calibri" w:hAnsi="Calibri" w:cs="Calibri"/>
          <w:iCs/>
          <w:u w:val="single"/>
        </w:rPr>
      </w:pPr>
      <w:r w:rsidRPr="00DA6182">
        <w:rPr>
          <w:rFonts w:ascii="Calibri" w:hAnsi="Calibri" w:cs="Calibri"/>
          <w:iCs/>
          <w:u w:val="single"/>
        </w:rPr>
        <w:t>Artikel 93</w:t>
      </w:r>
    </w:p>
    <w:p w:rsidRPr="00DA6182" w:rsidR="00DA6182" w:rsidP="00C73241" w:rsidRDefault="00DA6182" w14:paraId="7D351B8B" w14:textId="77777777">
      <w:pPr>
        <w:rPr>
          <w:rFonts w:ascii="Calibri" w:hAnsi="Calibri" w:cs="Calibri"/>
        </w:rPr>
      </w:pPr>
      <w:r w:rsidRPr="00DA6182">
        <w:rPr>
          <w:rFonts w:ascii="Calibri" w:hAnsi="Calibri" w:cs="Calibri"/>
        </w:rPr>
        <w:t xml:space="preserve">Op artikel 93 wordt een overschrijding verwacht van ca. € 0,6 mln. </w:t>
      </w:r>
    </w:p>
    <w:p w:rsidRPr="00DA6182" w:rsidR="00DA6182" w:rsidP="00C73241" w:rsidRDefault="00DA6182" w14:paraId="796E9AB4" w14:textId="77777777">
      <w:pPr>
        <w:rPr>
          <w:rFonts w:ascii="Calibri" w:hAnsi="Calibri" w:cs="Calibri"/>
        </w:rPr>
      </w:pPr>
    </w:p>
    <w:p w:rsidRPr="00DA6182" w:rsidR="00DA6182" w:rsidP="00C73241" w:rsidRDefault="00DA6182" w14:paraId="2331EB4C" w14:textId="77777777">
      <w:pPr>
        <w:rPr>
          <w:rFonts w:ascii="Calibri" w:hAnsi="Calibri" w:cs="Calibri"/>
          <w:b/>
        </w:rPr>
      </w:pPr>
      <w:r w:rsidRPr="00DA6182">
        <w:rPr>
          <w:rFonts w:ascii="Calibri" w:hAnsi="Calibri" w:cs="Calibri"/>
          <w:b/>
        </w:rPr>
        <w:t xml:space="preserve">Verplichtingen </w:t>
      </w:r>
    </w:p>
    <w:p w:rsidRPr="00DA6182" w:rsidR="00DA6182" w:rsidP="00DA6182" w:rsidRDefault="00DA6182" w14:paraId="4D1C787B" w14:textId="77777777">
      <w:pPr>
        <w:pStyle w:val="Geenafstand"/>
      </w:pPr>
    </w:p>
    <w:p w:rsidRPr="00DA6182" w:rsidR="00DA6182" w:rsidP="00C73241" w:rsidRDefault="00DA6182" w14:paraId="5846F786" w14:textId="77777777">
      <w:pPr>
        <w:rPr>
          <w:rFonts w:ascii="Calibri" w:hAnsi="Calibri" w:cs="Calibri"/>
          <w:u w:val="single"/>
        </w:rPr>
      </w:pPr>
      <w:r w:rsidRPr="00DA6182">
        <w:rPr>
          <w:rFonts w:ascii="Calibri" w:hAnsi="Calibri" w:cs="Calibri"/>
          <w:u w:val="single"/>
        </w:rPr>
        <w:t>Artikel 32</w:t>
      </w:r>
    </w:p>
    <w:p w:rsidRPr="00DA6182" w:rsidR="00DA6182" w:rsidP="00C73241" w:rsidRDefault="00DA6182" w14:paraId="3592BEA6" w14:textId="77777777">
      <w:pPr>
        <w:rPr>
          <w:rFonts w:ascii="Calibri" w:hAnsi="Calibri" w:cs="Calibri"/>
        </w:rPr>
      </w:pPr>
      <w:r w:rsidRPr="00DA6182">
        <w:rPr>
          <w:rFonts w:ascii="Calibri" w:hAnsi="Calibri" w:cs="Calibri"/>
        </w:rPr>
        <w:t>Op artikel 32 wordt een maximale overschrijding verwacht van € 20 mln. Dit komt onder andere door een hogere bijdrage in 2025 die dit jaar wordt verplicht aan de Autoriteit Persoonsgegevens en het Juridisch Loket.</w:t>
      </w:r>
    </w:p>
    <w:p w:rsidRPr="00DA6182" w:rsidR="00DA6182" w:rsidP="00C73241" w:rsidRDefault="00DA6182" w14:paraId="59A8C084" w14:textId="77777777">
      <w:pPr>
        <w:rPr>
          <w:rFonts w:ascii="Calibri" w:hAnsi="Calibri" w:cs="Calibri"/>
          <w:u w:val="single"/>
        </w:rPr>
      </w:pPr>
    </w:p>
    <w:p w:rsidRPr="00DA6182" w:rsidR="00DA6182" w:rsidP="00C73241" w:rsidRDefault="00DA6182" w14:paraId="39EE7C78" w14:textId="77777777">
      <w:pPr>
        <w:rPr>
          <w:rFonts w:ascii="Calibri" w:hAnsi="Calibri" w:cs="Calibri"/>
          <w:u w:val="single"/>
        </w:rPr>
      </w:pPr>
      <w:r w:rsidRPr="00DA6182">
        <w:rPr>
          <w:rFonts w:ascii="Calibri" w:hAnsi="Calibri" w:cs="Calibri"/>
          <w:u w:val="single"/>
        </w:rPr>
        <w:t>Artikel 33</w:t>
      </w:r>
    </w:p>
    <w:p w:rsidRPr="00DA6182" w:rsidR="00DA6182" w:rsidP="00C73241" w:rsidRDefault="00DA6182" w14:paraId="0D29CC62" w14:textId="77777777">
      <w:pPr>
        <w:rPr>
          <w:rFonts w:ascii="Calibri" w:hAnsi="Calibri" w:cs="Calibri"/>
        </w:rPr>
      </w:pPr>
      <w:r w:rsidRPr="00DA6182">
        <w:rPr>
          <w:rFonts w:ascii="Calibri" w:hAnsi="Calibri" w:cs="Calibri"/>
        </w:rPr>
        <w:t>Op artikel 33 wordt een maximale overschrijding verwacht van € 50 mln. bij het OM als gevolg van een meerjarige betaling waarvoor de verplichting dit jaar wordt aangegaan.</w:t>
      </w:r>
    </w:p>
    <w:p w:rsidRPr="00DA6182" w:rsidR="00DA6182" w:rsidP="00C73241" w:rsidRDefault="00DA6182" w14:paraId="17927557" w14:textId="77777777">
      <w:pPr>
        <w:rPr>
          <w:rFonts w:ascii="Calibri" w:hAnsi="Calibri" w:cs="Calibri"/>
          <w:u w:val="single"/>
        </w:rPr>
      </w:pPr>
    </w:p>
    <w:p w:rsidRPr="00DA6182" w:rsidR="00DA6182" w:rsidP="00C73241" w:rsidRDefault="00DA6182" w14:paraId="68AC44BF" w14:textId="77777777">
      <w:pPr>
        <w:rPr>
          <w:rFonts w:ascii="Calibri" w:hAnsi="Calibri" w:cs="Calibri"/>
          <w:u w:val="single"/>
        </w:rPr>
      </w:pPr>
      <w:r w:rsidRPr="00DA6182">
        <w:rPr>
          <w:rFonts w:ascii="Calibri" w:hAnsi="Calibri" w:cs="Calibri"/>
          <w:u w:val="single"/>
        </w:rPr>
        <w:t>Artikel 34</w:t>
      </w:r>
    </w:p>
    <w:p w:rsidRPr="00DA6182" w:rsidR="00DA6182" w:rsidP="00C73241" w:rsidRDefault="00DA6182" w14:paraId="33D651CB" w14:textId="77777777">
      <w:pPr>
        <w:rPr>
          <w:rFonts w:ascii="Calibri" w:hAnsi="Calibri" w:cs="Calibri"/>
        </w:rPr>
      </w:pPr>
      <w:r w:rsidRPr="00DA6182">
        <w:rPr>
          <w:rFonts w:ascii="Calibri" w:hAnsi="Calibri" w:cs="Calibri"/>
        </w:rPr>
        <w:t>Op artikel 34 wordt een maximale overschrijding verwacht van € 40 mln., onder andere doordat de bijdrage voor 2025 aan de Reclassering, Slachtofferhulp en het Leger des Heils de verplichtingenruimte in 2024 overschrijdt.</w:t>
      </w:r>
    </w:p>
    <w:p w:rsidRPr="00DA6182" w:rsidR="00DA6182" w:rsidP="00C73241" w:rsidRDefault="00DA6182" w14:paraId="400C9CA2" w14:textId="77777777">
      <w:pPr>
        <w:rPr>
          <w:rFonts w:ascii="Calibri" w:hAnsi="Calibri" w:cs="Calibri"/>
          <w:u w:val="single"/>
        </w:rPr>
      </w:pPr>
    </w:p>
    <w:p w:rsidRPr="00DA6182" w:rsidR="00DA6182" w:rsidP="00C73241" w:rsidRDefault="00DA6182" w14:paraId="3EE1BC0F" w14:textId="77777777">
      <w:pPr>
        <w:rPr>
          <w:rFonts w:ascii="Calibri" w:hAnsi="Calibri" w:cs="Calibri"/>
          <w:u w:val="single"/>
        </w:rPr>
      </w:pPr>
      <w:r w:rsidRPr="00DA6182">
        <w:rPr>
          <w:rFonts w:ascii="Calibri" w:hAnsi="Calibri" w:cs="Calibri"/>
          <w:u w:val="single"/>
        </w:rPr>
        <w:lastRenderedPageBreak/>
        <w:t>Artikel 36</w:t>
      </w:r>
    </w:p>
    <w:p w:rsidRPr="00DA6182" w:rsidR="00DA6182" w:rsidP="00C73241" w:rsidRDefault="00DA6182" w14:paraId="74F850AE" w14:textId="77777777">
      <w:pPr>
        <w:rPr>
          <w:rFonts w:ascii="Calibri" w:hAnsi="Calibri" w:cs="Calibri"/>
        </w:rPr>
      </w:pPr>
      <w:r w:rsidRPr="00DA6182">
        <w:rPr>
          <w:rFonts w:ascii="Calibri" w:hAnsi="Calibri" w:cs="Calibri"/>
        </w:rPr>
        <w:t>Op artikel wordt een geringe overschrijding verwacht van € 5 mln. door het aangaan van een meerjarige verplichting voor het Landelijk Expertisecentrum Industriële Veiligheid en het dit jaar toekennen van de subsidie voor 2025 aan het Rode Kruis Nederland.</w:t>
      </w:r>
    </w:p>
    <w:p w:rsidRPr="00DA6182" w:rsidR="00DA6182" w:rsidP="00C73241" w:rsidRDefault="00DA6182" w14:paraId="753C1D1E" w14:textId="77777777">
      <w:pPr>
        <w:rPr>
          <w:rFonts w:ascii="Calibri" w:hAnsi="Calibri" w:cs="Calibri"/>
        </w:rPr>
      </w:pPr>
    </w:p>
    <w:p w:rsidRPr="00DA6182" w:rsidR="00DA6182" w:rsidP="00C73241" w:rsidRDefault="00DA6182" w14:paraId="1E35F61F" w14:textId="77777777">
      <w:pPr>
        <w:rPr>
          <w:rFonts w:ascii="Calibri" w:hAnsi="Calibri" w:cs="Calibri"/>
          <w:u w:val="single"/>
        </w:rPr>
      </w:pPr>
      <w:r w:rsidRPr="00DA6182">
        <w:rPr>
          <w:rFonts w:ascii="Calibri" w:hAnsi="Calibri" w:cs="Calibri"/>
          <w:u w:val="single"/>
        </w:rPr>
        <w:t>Artikel 37</w:t>
      </w:r>
    </w:p>
    <w:p w:rsidRPr="00DA6182" w:rsidR="00DA6182" w:rsidP="00C73241" w:rsidRDefault="00DA6182" w14:paraId="172FBE3C" w14:textId="77777777">
      <w:pPr>
        <w:rPr>
          <w:rFonts w:ascii="Calibri" w:hAnsi="Calibri" w:cs="Calibri"/>
        </w:rPr>
      </w:pPr>
      <w:r w:rsidRPr="00DA6182">
        <w:rPr>
          <w:rFonts w:ascii="Calibri" w:hAnsi="Calibri" w:cs="Calibri"/>
        </w:rPr>
        <w:t>Op artikel 37 wordt een overschrijding van € 130 mln. verwacht. Deze bestaat uit overschrijding op het budget van NIDOS doordat het kasbudget in 2025 oploopt als gevolg van de hoge instroom en de verplichting voor de kasbetaling in 2025 dit jaar wordt aangegaan. Ook het budget van de DTenV wordt overschreden doordat dit jaar de verplichting aan de Internationale Organisatie voor Migratie voor drie jaar (2025 t/m 2027) wordt aangegaan.</w:t>
      </w:r>
    </w:p>
    <w:p w:rsidRPr="00DA6182" w:rsidR="00DA6182" w:rsidP="00C73241" w:rsidRDefault="00DA6182" w14:paraId="1DA1B567" w14:textId="77777777">
      <w:pPr>
        <w:rPr>
          <w:rFonts w:ascii="Calibri" w:hAnsi="Calibri" w:cs="Calibri"/>
        </w:rPr>
      </w:pPr>
    </w:p>
    <w:p w:rsidRPr="00DA6182" w:rsidR="00DA6182" w:rsidP="00C73241" w:rsidRDefault="00DA6182" w14:paraId="5FB8ED55" w14:textId="77777777">
      <w:pPr>
        <w:rPr>
          <w:rFonts w:ascii="Calibri" w:hAnsi="Calibri" w:cs="Calibri"/>
          <w:u w:val="single"/>
        </w:rPr>
      </w:pPr>
      <w:r w:rsidRPr="00DA6182">
        <w:rPr>
          <w:rFonts w:ascii="Calibri" w:hAnsi="Calibri" w:cs="Calibri"/>
          <w:u w:val="single"/>
        </w:rPr>
        <w:t>Artikel 93</w:t>
      </w:r>
    </w:p>
    <w:p w:rsidRPr="00DA6182" w:rsidR="00DA6182" w:rsidP="00C73241" w:rsidRDefault="00DA6182" w14:paraId="5475C991" w14:textId="77777777">
      <w:pPr>
        <w:rPr>
          <w:rFonts w:ascii="Calibri" w:hAnsi="Calibri" w:cs="Calibri"/>
        </w:rPr>
      </w:pPr>
      <w:r w:rsidRPr="00DA6182">
        <w:rPr>
          <w:rFonts w:ascii="Calibri" w:hAnsi="Calibri" w:cs="Calibri"/>
        </w:rPr>
        <w:t xml:space="preserve">Naast de overschrijding van het kasbudget is er op artikel 93 eveneens sprake van een verwachte overschrijding van het verplichtingenbudget van € 0,6 mln. </w:t>
      </w:r>
    </w:p>
    <w:p w:rsidRPr="00DA6182" w:rsidR="00DA6182" w:rsidP="00C73241" w:rsidRDefault="00DA6182" w14:paraId="45C2AAE6" w14:textId="77777777">
      <w:pPr>
        <w:rPr>
          <w:rFonts w:ascii="Calibri" w:hAnsi="Calibri" w:cs="Calibri"/>
        </w:rPr>
      </w:pPr>
    </w:p>
    <w:p w:rsidRPr="00DA6182" w:rsidR="00DA6182" w:rsidP="00C73241" w:rsidRDefault="00DA6182" w14:paraId="5823109F" w14:textId="77777777">
      <w:pPr>
        <w:rPr>
          <w:rFonts w:ascii="Calibri" w:hAnsi="Calibri" w:cs="Calibri"/>
          <w:b/>
        </w:rPr>
      </w:pPr>
      <w:r w:rsidRPr="00DA6182">
        <w:rPr>
          <w:rFonts w:ascii="Calibri" w:hAnsi="Calibri" w:cs="Calibri"/>
          <w:b/>
        </w:rPr>
        <w:t>Slotwet</w:t>
      </w:r>
    </w:p>
    <w:p w:rsidRPr="00DA6182" w:rsidR="00DA6182" w:rsidP="00C73241" w:rsidRDefault="00DA6182" w14:paraId="54418026" w14:textId="77777777">
      <w:pPr>
        <w:pStyle w:val="broodtekst"/>
        <w:rPr>
          <w:rFonts w:ascii="Calibri" w:hAnsi="Calibri" w:cs="Calibri"/>
          <w:sz w:val="22"/>
          <w:szCs w:val="22"/>
        </w:rPr>
      </w:pPr>
      <w:r w:rsidRPr="00DA6182">
        <w:rPr>
          <w:rFonts w:ascii="Calibri" w:hAnsi="Calibri" w:cs="Calibri"/>
          <w:sz w:val="22"/>
          <w:szCs w:val="22"/>
        </w:rPr>
        <w:t>In de Slotwet 2024 van JenV zullen alle mutaties ten opzichte van de stand Najaarsnota 2024 van een toelichting worden voorzien.</w:t>
      </w:r>
    </w:p>
    <w:p w:rsidR="00DA6182" w:rsidP="00C73241" w:rsidRDefault="00DA6182" w14:paraId="6FDE0A38" w14:textId="77777777">
      <w:pPr>
        <w:pStyle w:val="broodtekst"/>
        <w:rPr>
          <w:rFonts w:ascii="Calibri" w:hAnsi="Calibri" w:cs="Calibri"/>
          <w:sz w:val="22"/>
          <w:szCs w:val="22"/>
        </w:rPr>
      </w:pPr>
    </w:p>
    <w:p w:rsidRPr="00DA6182" w:rsidR="00DA6182" w:rsidP="00C73241" w:rsidRDefault="00DA6182" w14:paraId="7C6D16E1" w14:textId="77777777">
      <w:pPr>
        <w:pStyle w:val="broodtekst"/>
        <w:rPr>
          <w:rFonts w:ascii="Calibri" w:hAnsi="Calibri" w:cs="Calibri"/>
          <w:sz w:val="22"/>
          <w:szCs w:val="22"/>
        </w:rPr>
      </w:pPr>
    </w:p>
    <w:p w:rsidRPr="00DA6182" w:rsidR="00DA6182" w:rsidP="00C73241" w:rsidRDefault="00DA6182" w14:paraId="40BCB51A" w14:textId="77777777">
      <w:pPr>
        <w:pStyle w:val="broodtekst"/>
        <w:rPr>
          <w:rFonts w:ascii="Calibri" w:hAnsi="Calibri" w:cs="Calibri"/>
          <w:sz w:val="22"/>
          <w:szCs w:val="22"/>
        </w:rPr>
      </w:pPr>
    </w:p>
    <w:p w:rsidRPr="00DA6182" w:rsidR="00DA6182" w:rsidP="00DA6182" w:rsidRDefault="00DA6182" w14:paraId="03EE08E5" w14:textId="4AA0B98C">
      <w:pPr>
        <w:pStyle w:val="Geenafstand"/>
        <w:rPr>
          <w:rFonts w:ascii="Calibri" w:hAnsi="Calibri" w:cs="Calibri"/>
        </w:rPr>
      </w:pPr>
      <w:bookmarkStart w:name="cursor" w:id="0"/>
      <w:bookmarkStart w:name="ondertekening" w:id="1"/>
      <w:bookmarkStart w:name="ondertekening_bk" w:id="2"/>
      <w:bookmarkEnd w:id="0"/>
      <w:bookmarkEnd w:id="1"/>
      <w:r w:rsidRPr="00DA6182">
        <w:rPr>
          <w:rFonts w:ascii="Calibri" w:hAnsi="Calibri" w:cs="Calibri"/>
        </w:rPr>
        <w:t>De minister van Justitie en Veiligheid,</w:t>
      </w:r>
    </w:p>
    <w:p w:rsidRPr="00DA6182" w:rsidR="00DA6182" w:rsidP="00DA6182" w:rsidRDefault="00DA6182" w14:paraId="3DCD82BF" w14:textId="43E35AFA">
      <w:pPr>
        <w:pStyle w:val="Geenafstand"/>
        <w:rPr>
          <w:rFonts w:ascii="Calibri" w:hAnsi="Calibri" w:cs="Calibri"/>
        </w:rPr>
      </w:pPr>
      <w:r w:rsidRPr="00DA6182">
        <w:rPr>
          <w:rFonts w:ascii="Calibri" w:hAnsi="Calibri" w:cs="Calibri"/>
        </w:rPr>
        <w:t>D.M. van Weel</w:t>
      </w:r>
    </w:p>
    <w:p w:rsidRPr="00DA6182" w:rsidR="00DA6182" w:rsidP="00DA6182" w:rsidRDefault="00DA6182" w14:paraId="43CD61B6" w14:textId="77777777">
      <w:pPr>
        <w:pStyle w:val="Geenafstand"/>
        <w:rPr>
          <w:rFonts w:ascii="Calibri" w:hAnsi="Calibri" w:cs="Calibri"/>
        </w:rPr>
      </w:pPr>
    </w:p>
    <w:p w:rsidRPr="00DA6182" w:rsidR="00DA6182" w:rsidP="00DA6182" w:rsidRDefault="00DA6182" w14:paraId="53A5A693" w14:textId="44006614">
      <w:pPr>
        <w:pStyle w:val="Geenafstand"/>
        <w:rPr>
          <w:rFonts w:ascii="Calibri" w:hAnsi="Calibri" w:cs="Calibri"/>
        </w:rPr>
      </w:pPr>
      <w:r w:rsidRPr="00DA6182">
        <w:rPr>
          <w:rFonts w:ascii="Calibri" w:hAnsi="Calibri" w:cs="Calibri"/>
        </w:rPr>
        <w:t>De minister van Asiel en Migratie,</w:t>
      </w:r>
    </w:p>
    <w:p w:rsidRPr="00DA6182" w:rsidR="00DA6182" w:rsidP="00DA6182" w:rsidRDefault="00DA6182" w14:paraId="6EC7CFCA" w14:textId="1A51CCD2">
      <w:pPr>
        <w:pStyle w:val="Geenafstand"/>
        <w:rPr>
          <w:rFonts w:ascii="Calibri" w:hAnsi="Calibri" w:cs="Calibri"/>
        </w:rPr>
      </w:pPr>
      <w:r w:rsidRPr="00DA6182">
        <w:rPr>
          <w:rFonts w:ascii="Calibri" w:hAnsi="Calibri" w:cs="Calibri"/>
        </w:rPr>
        <w:t>M.H.M. Faber-van de Klashorst</w:t>
      </w:r>
    </w:p>
    <w:p w:rsidRPr="00DA6182" w:rsidR="00DA6182" w:rsidP="00C73241" w:rsidRDefault="00DA6182" w14:paraId="027B7A63" w14:textId="77777777">
      <w:pPr>
        <w:pStyle w:val="broodtekst"/>
        <w:rPr>
          <w:rFonts w:ascii="Calibri" w:hAnsi="Calibri" w:cs="Calibri"/>
          <w:sz w:val="22"/>
          <w:szCs w:val="22"/>
        </w:rPr>
      </w:pPr>
    </w:p>
    <w:bookmarkEnd w:id="2"/>
    <w:sectPr w:rsidRPr="00DA6182" w:rsidR="00DA6182" w:rsidSect="001117C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180A" w14:textId="77777777" w:rsidR="001117C9" w:rsidRDefault="001117C9" w:rsidP="001117C9">
      <w:pPr>
        <w:spacing w:after="0" w:line="240" w:lineRule="auto"/>
      </w:pPr>
      <w:r>
        <w:separator/>
      </w:r>
    </w:p>
  </w:endnote>
  <w:endnote w:type="continuationSeparator" w:id="0">
    <w:p w14:paraId="01DCB0E0" w14:textId="77777777" w:rsidR="001117C9" w:rsidRDefault="001117C9" w:rsidP="0011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FA9B" w14:textId="77777777" w:rsidR="001117C9" w:rsidRPr="001117C9" w:rsidRDefault="001117C9" w:rsidP="001117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18B7" w14:textId="77777777" w:rsidR="001117C9" w:rsidRPr="001117C9" w:rsidRDefault="001117C9" w:rsidP="001117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4B6D" w14:textId="77777777" w:rsidR="001117C9" w:rsidRPr="001117C9" w:rsidRDefault="001117C9" w:rsidP="001117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1E8F" w14:textId="77777777" w:rsidR="001117C9" w:rsidRDefault="001117C9" w:rsidP="001117C9">
      <w:pPr>
        <w:spacing w:after="0" w:line="240" w:lineRule="auto"/>
      </w:pPr>
      <w:r>
        <w:separator/>
      </w:r>
    </w:p>
  </w:footnote>
  <w:footnote w:type="continuationSeparator" w:id="0">
    <w:p w14:paraId="29541D40" w14:textId="77777777" w:rsidR="001117C9" w:rsidRDefault="001117C9" w:rsidP="00111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77B1" w14:textId="77777777" w:rsidR="001117C9" w:rsidRPr="001117C9" w:rsidRDefault="001117C9" w:rsidP="001117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4EE94" w14:textId="77777777" w:rsidR="001117C9" w:rsidRPr="001117C9" w:rsidRDefault="001117C9" w:rsidP="001117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DEFE" w14:textId="77777777" w:rsidR="001117C9" w:rsidRPr="001117C9" w:rsidRDefault="001117C9" w:rsidP="001117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C9"/>
    <w:rsid w:val="001117C9"/>
    <w:rsid w:val="0025703A"/>
    <w:rsid w:val="00357BDE"/>
    <w:rsid w:val="00BE720B"/>
    <w:rsid w:val="00C57495"/>
    <w:rsid w:val="00DA618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03E3"/>
  <w15:chartTrackingRefBased/>
  <w15:docId w15:val="{FF3CC2AA-AA35-4527-AA92-3B4128EC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1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1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17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17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17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17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17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17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17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7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17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17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17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17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17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17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17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17C9"/>
    <w:rPr>
      <w:rFonts w:eastAsiaTheme="majorEastAsia" w:cstheme="majorBidi"/>
      <w:color w:val="272727" w:themeColor="text1" w:themeTint="D8"/>
    </w:rPr>
  </w:style>
  <w:style w:type="paragraph" w:styleId="Titel">
    <w:name w:val="Title"/>
    <w:basedOn w:val="Standaard"/>
    <w:next w:val="Standaard"/>
    <w:link w:val="TitelChar"/>
    <w:uiPriority w:val="10"/>
    <w:qFormat/>
    <w:rsid w:val="00111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17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17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17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17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17C9"/>
    <w:rPr>
      <w:i/>
      <w:iCs/>
      <w:color w:val="404040" w:themeColor="text1" w:themeTint="BF"/>
    </w:rPr>
  </w:style>
  <w:style w:type="paragraph" w:styleId="Lijstalinea">
    <w:name w:val="List Paragraph"/>
    <w:basedOn w:val="Standaard"/>
    <w:uiPriority w:val="34"/>
    <w:qFormat/>
    <w:rsid w:val="001117C9"/>
    <w:pPr>
      <w:ind w:left="720"/>
      <w:contextualSpacing/>
    </w:pPr>
  </w:style>
  <w:style w:type="character" w:styleId="Intensievebenadrukking">
    <w:name w:val="Intense Emphasis"/>
    <w:basedOn w:val="Standaardalinea-lettertype"/>
    <w:uiPriority w:val="21"/>
    <w:qFormat/>
    <w:rsid w:val="001117C9"/>
    <w:rPr>
      <w:i/>
      <w:iCs/>
      <w:color w:val="0F4761" w:themeColor="accent1" w:themeShade="BF"/>
    </w:rPr>
  </w:style>
  <w:style w:type="paragraph" w:styleId="Duidelijkcitaat">
    <w:name w:val="Intense Quote"/>
    <w:basedOn w:val="Standaard"/>
    <w:next w:val="Standaard"/>
    <w:link w:val="DuidelijkcitaatChar"/>
    <w:uiPriority w:val="30"/>
    <w:qFormat/>
    <w:rsid w:val="00111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17C9"/>
    <w:rPr>
      <w:i/>
      <w:iCs/>
      <w:color w:val="0F4761" w:themeColor="accent1" w:themeShade="BF"/>
    </w:rPr>
  </w:style>
  <w:style w:type="character" w:styleId="Intensieveverwijzing">
    <w:name w:val="Intense Reference"/>
    <w:basedOn w:val="Standaardalinea-lettertype"/>
    <w:uiPriority w:val="32"/>
    <w:qFormat/>
    <w:rsid w:val="001117C9"/>
    <w:rPr>
      <w:b/>
      <w:bCs/>
      <w:smallCaps/>
      <w:color w:val="0F4761" w:themeColor="accent1" w:themeShade="BF"/>
      <w:spacing w:val="5"/>
    </w:rPr>
  </w:style>
  <w:style w:type="paragraph" w:customStyle="1" w:styleId="broodtekst">
    <w:name w:val="broodtekst"/>
    <w:basedOn w:val="Standaard"/>
    <w:qFormat/>
    <w:rsid w:val="001117C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1117C9"/>
    <w:rPr>
      <w:rFonts w:ascii="Verdana" w:hAnsi="Verdana"/>
      <w:noProof/>
      <w:sz w:val="13"/>
      <w:szCs w:val="24"/>
      <w:lang w:val="nl-NL" w:eastAsia="nl-NL" w:bidi="ar-SA"/>
    </w:rPr>
  </w:style>
  <w:style w:type="paragraph" w:customStyle="1" w:styleId="Huisstijl-Rubricering">
    <w:name w:val="Huisstijl-Rubricering"/>
    <w:basedOn w:val="broodtekst"/>
    <w:rsid w:val="001117C9"/>
    <w:pPr>
      <w:spacing w:line="180" w:lineRule="exact"/>
    </w:pPr>
    <w:rPr>
      <w:b/>
      <w:bCs/>
      <w:noProof/>
      <w:sz w:val="13"/>
      <w:szCs w:val="13"/>
    </w:rPr>
  </w:style>
  <w:style w:type="paragraph" w:customStyle="1" w:styleId="Huisstijl-Paginanummering">
    <w:name w:val="Huisstijl-Paginanummering"/>
    <w:basedOn w:val="broodtekst"/>
    <w:rsid w:val="001117C9"/>
    <w:pPr>
      <w:spacing w:line="180" w:lineRule="exact"/>
    </w:pPr>
    <w:rPr>
      <w:noProof/>
      <w:sz w:val="13"/>
    </w:rPr>
  </w:style>
  <w:style w:type="character" w:styleId="Paginanummer">
    <w:name w:val="page number"/>
    <w:basedOn w:val="Standaardalinea-lettertype"/>
    <w:rsid w:val="001117C9"/>
  </w:style>
  <w:style w:type="paragraph" w:customStyle="1" w:styleId="in-table">
    <w:name w:val="in-table"/>
    <w:basedOn w:val="broodtekst"/>
    <w:rsid w:val="001117C9"/>
    <w:pPr>
      <w:spacing w:line="0" w:lineRule="atLeast"/>
    </w:pPr>
    <w:rPr>
      <w:sz w:val="2"/>
    </w:rPr>
  </w:style>
  <w:style w:type="table" w:styleId="Tabelraster">
    <w:name w:val="Table Grid"/>
    <w:basedOn w:val="Standaardtabel"/>
    <w:rsid w:val="001117C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117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17C9"/>
  </w:style>
  <w:style w:type="paragraph" w:styleId="Voettekst">
    <w:name w:val="footer"/>
    <w:basedOn w:val="Standaard"/>
    <w:link w:val="VoettekstChar"/>
    <w:uiPriority w:val="99"/>
    <w:unhideWhenUsed/>
    <w:rsid w:val="001117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17C9"/>
  </w:style>
  <w:style w:type="paragraph" w:styleId="Geenafstand">
    <w:name w:val="No Spacing"/>
    <w:uiPriority w:val="1"/>
    <w:qFormat/>
    <w:rsid w:val="00DA6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359</ap:Words>
  <ap:Characters>1976</ap:Characters>
  <ap:DocSecurity>0</ap:DocSecurity>
  <ap:Lines>16</ap:Lines>
  <ap:Paragraphs>4</ap:Paragraphs>
  <ap:ScaleCrop>false</ap:ScaleCrop>
  <ap:LinksUpToDate>false</ap:LinksUpToDate>
  <ap:CharactersWithSpaces>2331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2024-12-18T13:23:00.0000000Z</dcterms:created>
  <dcterms:modified xsi:type="dcterms:W3CDTF">2024-12-18T13:23:00.0000000Z</dcterms:modified>
  <version/>
  <category/>
</coreProperties>
</file>