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57B7B" w:rsidR="00357B7B" w:rsidP="00357B7B" w:rsidRDefault="00F4401C" w14:paraId="619D69EF" w14:textId="28BEEE5F">
      <w:pPr>
        <w:ind w:left="2124" w:hanging="2121"/>
      </w:pPr>
      <w:r w:rsidRPr="00357B7B">
        <w:rPr>
          <w:rFonts w:eastAsia="Verdana" w:cs="Verdana"/>
          <w:color w:val="000000" w:themeColor="text1"/>
        </w:rPr>
        <w:t>36600</w:t>
      </w:r>
      <w:r w:rsidRPr="00357B7B" w:rsidR="00357B7B">
        <w:rPr>
          <w:rFonts w:eastAsia="Verdana" w:cs="Verdana"/>
          <w:color w:val="000000" w:themeColor="text1"/>
        </w:rPr>
        <w:t xml:space="preserve"> </w:t>
      </w:r>
      <w:r w:rsidRPr="00357B7B">
        <w:rPr>
          <w:rFonts w:eastAsia="Verdana" w:cs="Verdana"/>
          <w:color w:val="000000" w:themeColor="text1"/>
        </w:rPr>
        <w:t>XIII</w:t>
      </w:r>
      <w:r w:rsidRPr="00357B7B" w:rsidR="00357B7B">
        <w:rPr>
          <w:rFonts w:eastAsia="Verdana" w:cs="Verdana"/>
          <w:color w:val="000000" w:themeColor="text1"/>
        </w:rPr>
        <w:tab/>
      </w:r>
      <w:r w:rsidRPr="00357B7B" w:rsidR="00357B7B">
        <w:t>Vaststelling van de begrotingsstaten van het Ministerie van Economische Zaken (XIII) voor het jaar 2025</w:t>
      </w:r>
    </w:p>
    <w:p w:rsidRPr="00357B7B" w:rsidR="00357B7B" w:rsidP="00357B7B" w:rsidRDefault="00357B7B" w14:paraId="7A47FEBE" w14:textId="0B8FE6AF">
      <w:pPr>
        <w:ind w:left="2124" w:hanging="2121"/>
        <w:rPr>
          <w:rFonts w:eastAsia="Verdana" w:cs="Verdana"/>
          <w:color w:val="000000" w:themeColor="text1"/>
        </w:rPr>
      </w:pPr>
      <w:r w:rsidRPr="00357B7B">
        <w:t xml:space="preserve">Nr. </w:t>
      </w:r>
      <w:r w:rsidRPr="00357B7B">
        <w:rPr>
          <w:rFonts w:eastAsia="Verdana" w:cs="Verdana"/>
          <w:color w:val="000000" w:themeColor="text1"/>
        </w:rPr>
        <w:t>56</w:t>
      </w:r>
      <w:r w:rsidRPr="00357B7B">
        <w:rPr>
          <w:rFonts w:eastAsia="Verdana" w:cs="Verdana"/>
          <w:color w:val="000000" w:themeColor="text1"/>
        </w:rPr>
        <w:tab/>
        <w:t>Brief van de ministers van Economische Zaken en van Klimaat en Groene Groei</w:t>
      </w:r>
    </w:p>
    <w:p w:rsidRPr="00357B7B" w:rsidR="00357B7B" w:rsidP="00357B7B" w:rsidRDefault="00357B7B" w14:paraId="29C2F80D" w14:textId="5DDD0368">
      <w:pPr>
        <w:ind w:left="2124" w:hanging="2121"/>
        <w:rPr>
          <w:rFonts w:eastAsia="Verdana" w:cs="Verdana"/>
          <w:color w:val="000000" w:themeColor="text1"/>
        </w:rPr>
      </w:pPr>
      <w:r w:rsidRPr="00357B7B">
        <w:rPr>
          <w:rFonts w:eastAsia="Verdana" w:cs="Verdana"/>
          <w:color w:val="000000" w:themeColor="text1"/>
        </w:rPr>
        <w:t>Aan de Voorzitter van de Tweede Kamer der Staten-Generaal</w:t>
      </w:r>
    </w:p>
    <w:p w:rsidRPr="00357B7B" w:rsidR="00357B7B" w:rsidP="00357B7B" w:rsidRDefault="00357B7B" w14:paraId="4A23F73D" w14:textId="6C21BC8A">
      <w:pPr>
        <w:ind w:left="2124" w:hanging="2121"/>
      </w:pPr>
      <w:r w:rsidRPr="00357B7B">
        <w:rPr>
          <w:rFonts w:eastAsia="Verdana" w:cs="Verdana"/>
          <w:color w:val="000000" w:themeColor="text1"/>
        </w:rPr>
        <w:t>Den Haag, 16 december 2024</w:t>
      </w:r>
    </w:p>
    <w:p w:rsidRPr="00357B7B" w:rsidR="00357B7B" w:rsidP="00F4401C" w:rsidRDefault="00357B7B" w14:paraId="06AC725B" w14:textId="77777777">
      <w:pPr>
        <w:rPr>
          <w:rFonts w:eastAsia="Verdana" w:cs="Verdana"/>
          <w:color w:val="000000" w:themeColor="text1"/>
        </w:rPr>
      </w:pPr>
    </w:p>
    <w:p w:rsidRPr="00357B7B" w:rsidR="00F4401C" w:rsidP="00F4401C" w:rsidRDefault="00F4401C" w14:paraId="0B514071" w14:textId="654AEE7F">
      <w:pPr>
        <w:rPr>
          <w:rFonts w:eastAsia="Verdana" w:cs="Verdana"/>
          <w:color w:val="000000" w:themeColor="text1"/>
        </w:rPr>
      </w:pPr>
      <w:r w:rsidRPr="00357B7B">
        <w:rPr>
          <w:rFonts w:eastAsia="Verdana" w:cs="Verdana"/>
          <w:color w:val="000000" w:themeColor="text1"/>
        </w:rPr>
        <w:t xml:space="preserve">Met deze brief informeren wij u, mede namens de staatssecretaris Herstel Groningen, over de nu voorziene begrotingswijzigingen ten opzichte van de tweede suppletoire begroting 2024 van het ministerie van Economische Zaken en Klimaat (Kamerstuk 36 625 XIII, nr. 1 en 2). Het betreft verhogingen voor de verplichtingen en uitgaven en verlagingen van de ontvangsten sinds de tweede suppletoire begroting 2024 die nu in beeld zijn. Daarnaast bevat het overzicht een aantal niet-beleidsmatige wijzigingen in een afzonderlijke categorie “informatievoorziening over andere relevante wijzigingen”. Op basis van de definitieve realisatiecijfers kunnen de exacte begrotingswijzigingen, die worden verwerkt in de </w:t>
      </w:r>
      <w:proofErr w:type="spellStart"/>
      <w:r w:rsidRPr="00357B7B">
        <w:rPr>
          <w:rFonts w:eastAsia="Verdana" w:cs="Verdana"/>
          <w:color w:val="000000" w:themeColor="text1"/>
        </w:rPr>
        <w:t>Slotwet</w:t>
      </w:r>
      <w:proofErr w:type="spellEnd"/>
      <w:r w:rsidRPr="00357B7B">
        <w:rPr>
          <w:rFonts w:eastAsia="Verdana" w:cs="Verdana"/>
          <w:color w:val="000000" w:themeColor="text1"/>
        </w:rPr>
        <w:t xml:space="preserve"> 2024, afwijken. </w:t>
      </w:r>
    </w:p>
    <w:p w:rsidRPr="00357B7B" w:rsidR="00F4401C" w:rsidP="00F4401C" w:rsidRDefault="00F4401C" w14:paraId="4721D68A" w14:textId="77777777">
      <w:pPr>
        <w:rPr>
          <w:rFonts w:eastAsia="Verdana" w:cs="Verdana"/>
          <w:color w:val="000000" w:themeColor="text1"/>
        </w:rPr>
      </w:pPr>
      <w:r w:rsidRPr="00357B7B">
        <w:rPr>
          <w:rFonts w:eastAsia="Verdana" w:cs="Verdana"/>
          <w:color w:val="000000" w:themeColor="text1"/>
        </w:rPr>
        <w:t>De in deze Veegbrief opgenomen verhogingen worden budgettair gedekt binnen de EZK-begroting (</w:t>
      </w:r>
      <w:proofErr w:type="spellStart"/>
      <w:r w:rsidRPr="00357B7B">
        <w:rPr>
          <w:rFonts w:eastAsia="Verdana" w:cs="Verdana"/>
          <w:color w:val="000000" w:themeColor="text1"/>
        </w:rPr>
        <w:t>onderuitputting</w:t>
      </w:r>
      <w:proofErr w:type="spellEnd"/>
      <w:r w:rsidRPr="00357B7B">
        <w:rPr>
          <w:rFonts w:eastAsia="Verdana" w:cs="Verdana"/>
          <w:color w:val="000000" w:themeColor="text1"/>
        </w:rPr>
        <w:t>).</w:t>
      </w:r>
    </w:p>
    <w:p w:rsidRPr="00357B7B" w:rsidR="00F4401C" w:rsidP="00F4401C" w:rsidRDefault="00F4401C" w14:paraId="78303B67" w14:textId="77777777">
      <w:pPr>
        <w:rPr>
          <w:rFonts w:eastAsia="Verdana" w:cs="Verdana"/>
          <w:color w:val="000000" w:themeColor="text1"/>
        </w:rPr>
      </w:pPr>
      <w:r w:rsidRPr="00357B7B">
        <w:rPr>
          <w:rFonts w:eastAsia="Verdana" w:cs="Verdana"/>
          <w:color w:val="000000" w:themeColor="text1"/>
        </w:rPr>
        <w:t xml:space="preserve"> </w:t>
      </w:r>
    </w:p>
    <w:p w:rsidRPr="00357B7B" w:rsidR="00F4401C" w:rsidP="00F4401C" w:rsidRDefault="00F4401C" w14:paraId="6D63E55D" w14:textId="77777777">
      <w:pPr>
        <w:rPr>
          <w:rFonts w:eastAsia="Verdana" w:cs="Verdana"/>
          <w:color w:val="000000" w:themeColor="text1"/>
        </w:rPr>
      </w:pPr>
      <w:r w:rsidRPr="00357B7B">
        <w:rPr>
          <w:rFonts w:eastAsia="Verdana" w:cs="Verdana"/>
          <w:color w:val="000000" w:themeColor="text1"/>
        </w:rPr>
        <w:t xml:space="preserve">In onderstaand overzicht treft u de betreffende mutaties aan. </w:t>
      </w:r>
      <w:r w:rsidRPr="00357B7B">
        <w:rPr>
          <w:rFonts w:eastAsia="Verdana" w:cs="Verdana"/>
          <w:color w:val="000000" w:themeColor="text1"/>
        </w:rPr>
        <w:br/>
      </w:r>
      <w:r w:rsidRPr="00357B7B">
        <w:rPr>
          <w:rFonts w:eastAsia="Verdana" w:cs="Verdana"/>
          <w:color w:val="000000" w:themeColor="text1"/>
        </w:rPr>
        <w:br/>
      </w:r>
      <w:r w:rsidRPr="00357B7B">
        <w:rPr>
          <w:rFonts w:eastAsia="Verdana" w:cs="Verdana"/>
          <w:b/>
          <w:bCs/>
          <w:color w:val="000000" w:themeColor="text1"/>
        </w:rPr>
        <w:t>(bedragen x € 1.000)</w:t>
      </w:r>
    </w:p>
    <w:tbl>
      <w:tblPr>
        <w:tblStyle w:val="Tabelraster"/>
        <w:tblW w:w="8515" w:type="dxa"/>
        <w:tblInd w:w="-10" w:type="dxa"/>
        <w:tblLayout w:type="fixed"/>
        <w:tblLook w:val="06A0" w:firstRow="1" w:lastRow="0" w:firstColumn="1" w:lastColumn="0" w:noHBand="1" w:noVBand="1"/>
      </w:tblPr>
      <w:tblGrid>
        <w:gridCol w:w="730"/>
        <w:gridCol w:w="2880"/>
        <w:gridCol w:w="1785"/>
        <w:gridCol w:w="1275"/>
        <w:gridCol w:w="1845"/>
      </w:tblGrid>
      <w:tr w:rsidRPr="00357B7B" w:rsidR="00F4401C" w:rsidTr="00C73241" w14:paraId="70629E19" w14:textId="77777777">
        <w:trPr>
          <w:trHeight w:val="285"/>
        </w:trPr>
        <w:tc>
          <w:tcPr>
            <w:tcW w:w="730" w:type="dxa"/>
            <w:tcBorders>
              <w:top w:val="single" w:color="auto" w:sz="8" w:space="0"/>
              <w:left w:val="single" w:color="auto" w:sz="8" w:space="0"/>
              <w:bottom w:val="single" w:color="000000" w:themeColor="text1" w:sz="8" w:space="0"/>
              <w:right w:val="single" w:color="000000" w:themeColor="text1" w:sz="8" w:space="0"/>
            </w:tcBorders>
            <w:tcMar>
              <w:left w:w="105" w:type="dxa"/>
              <w:right w:w="105" w:type="dxa"/>
            </w:tcMar>
            <w:vAlign w:val="center"/>
          </w:tcPr>
          <w:p w:rsidRPr="00357B7B" w:rsidR="00F4401C" w:rsidP="00C73241" w:rsidRDefault="00F4401C" w14:paraId="2C62FFDF" w14:textId="77777777">
            <w:pPr>
              <w:rPr>
                <w:rFonts w:eastAsia="Verdana" w:cs="Verdana" w:asciiTheme="minorHAnsi" w:hAnsiTheme="minorHAnsi"/>
                <w:b/>
                <w:bCs/>
                <w:color w:val="000000" w:themeColor="text1"/>
                <w:sz w:val="22"/>
                <w:szCs w:val="22"/>
              </w:rPr>
            </w:pPr>
            <w:r w:rsidRPr="00357B7B">
              <w:rPr>
                <w:rFonts w:eastAsia="Verdana" w:cs="Verdana" w:asciiTheme="minorHAnsi" w:hAnsiTheme="minorHAnsi"/>
                <w:b/>
                <w:bCs/>
                <w:color w:val="000000" w:themeColor="text1"/>
                <w:sz w:val="22"/>
                <w:szCs w:val="22"/>
              </w:rPr>
              <w:t>Art.</w:t>
            </w:r>
          </w:p>
        </w:tc>
        <w:tc>
          <w:tcPr>
            <w:tcW w:w="2880" w:type="dxa"/>
            <w:tcBorders>
              <w:top w:val="single" w:color="auto"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Pr="00357B7B" w:rsidR="00F4401C" w:rsidP="00C73241" w:rsidRDefault="00F4401C" w14:paraId="6CFED4D1" w14:textId="77777777">
            <w:pPr>
              <w:rPr>
                <w:rFonts w:eastAsia="Verdana" w:cs="Verdana" w:asciiTheme="minorHAnsi" w:hAnsiTheme="minorHAnsi"/>
                <w:b/>
                <w:bCs/>
                <w:color w:val="000000" w:themeColor="text1"/>
                <w:sz w:val="22"/>
                <w:szCs w:val="22"/>
              </w:rPr>
            </w:pPr>
            <w:proofErr w:type="spellStart"/>
            <w:r w:rsidRPr="00357B7B">
              <w:rPr>
                <w:rFonts w:eastAsia="Verdana" w:cs="Verdana" w:asciiTheme="minorHAnsi" w:hAnsiTheme="minorHAnsi"/>
                <w:b/>
                <w:bCs/>
                <w:color w:val="000000" w:themeColor="text1"/>
                <w:sz w:val="22"/>
                <w:szCs w:val="22"/>
              </w:rPr>
              <w:t>Omschrijving</w:t>
            </w:r>
            <w:proofErr w:type="spellEnd"/>
          </w:p>
        </w:tc>
        <w:tc>
          <w:tcPr>
            <w:tcW w:w="1785" w:type="dxa"/>
            <w:tcBorders>
              <w:top w:val="single" w:color="auto"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Pr="00357B7B" w:rsidR="00F4401C" w:rsidP="00C73241" w:rsidRDefault="00F4401C" w14:paraId="073748B8" w14:textId="77777777">
            <w:pPr>
              <w:rPr>
                <w:rFonts w:eastAsia="Verdana" w:cs="Verdana" w:asciiTheme="minorHAnsi" w:hAnsiTheme="minorHAnsi"/>
                <w:b/>
                <w:bCs/>
                <w:color w:val="000000" w:themeColor="text1"/>
                <w:sz w:val="22"/>
                <w:szCs w:val="22"/>
              </w:rPr>
            </w:pPr>
            <w:proofErr w:type="spellStart"/>
            <w:r w:rsidRPr="00357B7B">
              <w:rPr>
                <w:rFonts w:eastAsia="Verdana" w:cs="Verdana" w:asciiTheme="minorHAnsi" w:hAnsiTheme="minorHAnsi"/>
                <w:b/>
                <w:bCs/>
                <w:color w:val="000000" w:themeColor="text1"/>
                <w:sz w:val="22"/>
                <w:szCs w:val="22"/>
              </w:rPr>
              <w:t>Verplichtingen</w:t>
            </w:r>
            <w:proofErr w:type="spellEnd"/>
          </w:p>
        </w:tc>
        <w:tc>
          <w:tcPr>
            <w:tcW w:w="1275" w:type="dxa"/>
            <w:tcBorders>
              <w:top w:val="single" w:color="auto"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Pr="00357B7B" w:rsidR="00F4401C" w:rsidP="00C73241" w:rsidRDefault="00F4401C" w14:paraId="6EED78CF" w14:textId="77777777">
            <w:pPr>
              <w:rPr>
                <w:rFonts w:eastAsia="Verdana" w:cs="Verdana" w:asciiTheme="minorHAnsi" w:hAnsiTheme="minorHAnsi"/>
                <w:b/>
                <w:bCs/>
                <w:color w:val="000000" w:themeColor="text1"/>
                <w:sz w:val="22"/>
                <w:szCs w:val="22"/>
              </w:rPr>
            </w:pPr>
            <w:proofErr w:type="spellStart"/>
            <w:r w:rsidRPr="00357B7B">
              <w:rPr>
                <w:rFonts w:eastAsia="Verdana" w:cs="Verdana" w:asciiTheme="minorHAnsi" w:hAnsiTheme="minorHAnsi"/>
                <w:b/>
                <w:bCs/>
                <w:color w:val="000000" w:themeColor="text1"/>
                <w:sz w:val="22"/>
                <w:szCs w:val="22"/>
              </w:rPr>
              <w:t>Uitgaven</w:t>
            </w:r>
            <w:proofErr w:type="spellEnd"/>
          </w:p>
        </w:tc>
        <w:tc>
          <w:tcPr>
            <w:tcW w:w="1845" w:type="dxa"/>
            <w:tcBorders>
              <w:top w:val="single" w:color="auto"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Pr="00357B7B" w:rsidR="00F4401C" w:rsidP="00C73241" w:rsidRDefault="00F4401C" w14:paraId="27407F5B" w14:textId="77777777">
            <w:pPr>
              <w:rPr>
                <w:rFonts w:eastAsia="Verdana" w:cs="Verdana" w:asciiTheme="minorHAnsi" w:hAnsiTheme="minorHAnsi"/>
                <w:b/>
                <w:bCs/>
                <w:color w:val="000000" w:themeColor="text1"/>
                <w:sz w:val="22"/>
                <w:szCs w:val="22"/>
              </w:rPr>
            </w:pPr>
            <w:proofErr w:type="spellStart"/>
            <w:r w:rsidRPr="00357B7B">
              <w:rPr>
                <w:rFonts w:eastAsia="Verdana" w:cs="Verdana" w:asciiTheme="minorHAnsi" w:hAnsiTheme="minorHAnsi"/>
                <w:b/>
                <w:bCs/>
                <w:color w:val="000000" w:themeColor="text1"/>
                <w:sz w:val="22"/>
                <w:szCs w:val="22"/>
              </w:rPr>
              <w:t>Ontvangsten</w:t>
            </w:r>
            <w:proofErr w:type="spellEnd"/>
          </w:p>
        </w:tc>
      </w:tr>
      <w:tr w:rsidRPr="00357B7B" w:rsidR="00F4401C" w:rsidTr="00C73241" w14:paraId="5750F93C" w14:textId="77777777">
        <w:trPr>
          <w:trHeight w:val="285"/>
        </w:trPr>
        <w:tc>
          <w:tcPr>
            <w:tcW w:w="8515" w:type="dxa"/>
            <w:gridSpan w:val="5"/>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Pr="00357B7B" w:rsidR="00F4401C" w:rsidP="00C73241" w:rsidRDefault="00F4401C" w14:paraId="12580F55" w14:textId="77777777">
            <w:pPr>
              <w:rPr>
                <w:rFonts w:eastAsia="Verdana" w:cs="Verdana" w:asciiTheme="minorHAnsi" w:hAnsiTheme="minorHAnsi"/>
                <w:b/>
                <w:bCs/>
                <w:color w:val="000000" w:themeColor="text1"/>
                <w:sz w:val="22"/>
                <w:szCs w:val="22"/>
              </w:rPr>
            </w:pPr>
            <w:proofErr w:type="spellStart"/>
            <w:r w:rsidRPr="00357B7B">
              <w:rPr>
                <w:rFonts w:eastAsia="Verdana" w:cs="Verdana" w:asciiTheme="minorHAnsi" w:hAnsiTheme="minorHAnsi"/>
                <w:b/>
                <w:bCs/>
                <w:color w:val="000000" w:themeColor="text1"/>
                <w:sz w:val="22"/>
                <w:szCs w:val="22"/>
              </w:rPr>
              <w:t>Beleidsmatige</w:t>
            </w:r>
            <w:proofErr w:type="spellEnd"/>
            <w:r w:rsidRPr="00357B7B">
              <w:rPr>
                <w:rFonts w:eastAsia="Verdana" w:cs="Verdana" w:asciiTheme="minorHAnsi" w:hAnsiTheme="minorHAnsi"/>
                <w:b/>
                <w:bCs/>
                <w:color w:val="000000" w:themeColor="text1"/>
                <w:sz w:val="22"/>
                <w:szCs w:val="22"/>
              </w:rPr>
              <w:t xml:space="preserve"> </w:t>
            </w:r>
            <w:proofErr w:type="spellStart"/>
            <w:r w:rsidRPr="00357B7B">
              <w:rPr>
                <w:rFonts w:eastAsia="Verdana" w:cs="Verdana" w:asciiTheme="minorHAnsi" w:hAnsiTheme="minorHAnsi"/>
                <w:b/>
                <w:bCs/>
                <w:color w:val="000000" w:themeColor="text1"/>
                <w:sz w:val="22"/>
                <w:szCs w:val="22"/>
              </w:rPr>
              <w:t>wijzigingen</w:t>
            </w:r>
            <w:proofErr w:type="spellEnd"/>
          </w:p>
        </w:tc>
      </w:tr>
      <w:tr w:rsidRPr="00357B7B" w:rsidR="00F4401C" w:rsidTr="00C73241" w14:paraId="7165593B"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587645F7"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w:t>
            </w:r>
          </w:p>
        </w:tc>
        <w:tc>
          <w:tcPr>
            <w:tcW w:w="2880"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4C670665"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 xml:space="preserve">Lening </w:t>
            </w:r>
            <w:proofErr w:type="spellStart"/>
            <w:r w:rsidRPr="00357B7B">
              <w:rPr>
                <w:rFonts w:eastAsia="Verdana" w:cs="Verdana" w:asciiTheme="minorHAnsi" w:hAnsiTheme="minorHAnsi"/>
                <w:color w:val="000000" w:themeColor="text1"/>
                <w:sz w:val="22"/>
                <w:szCs w:val="22"/>
              </w:rPr>
              <w:t>Dunagro</w:t>
            </w:r>
            <w:proofErr w:type="spellEnd"/>
          </w:p>
        </w:tc>
        <w:tc>
          <w:tcPr>
            <w:tcW w:w="1785"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276D3F96"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2.500</w:t>
            </w:r>
          </w:p>
        </w:tc>
        <w:tc>
          <w:tcPr>
            <w:tcW w:w="1275"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252D30BD"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2.500</w:t>
            </w:r>
          </w:p>
        </w:tc>
        <w:tc>
          <w:tcPr>
            <w:tcW w:w="1845" w:type="dxa"/>
            <w:tcBorders>
              <w:top w:val="nil"/>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51B394EE"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7A551E73"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581D266A"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4</w:t>
            </w:r>
          </w:p>
        </w:tc>
        <w:tc>
          <w:tcPr>
            <w:tcW w:w="2880"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7157A59E"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Lening NRG</w:t>
            </w:r>
          </w:p>
        </w:tc>
        <w:tc>
          <w:tcPr>
            <w:tcW w:w="1785"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4A799AEE"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25.000</w:t>
            </w:r>
          </w:p>
        </w:tc>
        <w:tc>
          <w:tcPr>
            <w:tcW w:w="1275"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3639721B"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25.000</w:t>
            </w:r>
          </w:p>
        </w:tc>
        <w:tc>
          <w:tcPr>
            <w:tcW w:w="1845" w:type="dxa"/>
            <w:tcBorders>
              <w:top w:val="nil"/>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54DB40E3"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2371DE2C"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2E7E27C0"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4</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38C7C1E6"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Subsidie</w:t>
            </w:r>
            <w:proofErr w:type="spellEnd"/>
            <w:r w:rsidRPr="00357B7B">
              <w:rPr>
                <w:rFonts w:eastAsia="Verdana" w:cs="Verdana" w:asciiTheme="minorHAnsi" w:hAnsiTheme="minorHAnsi"/>
                <w:color w:val="000000" w:themeColor="text1"/>
                <w:sz w:val="22"/>
                <w:szCs w:val="22"/>
              </w:rPr>
              <w:t xml:space="preserve"> EBN</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62666387"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30.000</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0D051D1E"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30.000</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183AD108"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524EA7F2"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626515A6"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 xml:space="preserve"> </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5AFC6F13"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Departementale</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overboekingen</w:t>
            </w:r>
            <w:proofErr w:type="spellEnd"/>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213E09B7"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-4.307</w:t>
            </w:r>
          </w:p>
          <w:p w:rsidRPr="00357B7B" w:rsidR="00F4401C" w:rsidP="00C73241" w:rsidRDefault="00F4401C" w14:paraId="640774D7"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 xml:space="preserve"> </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0D1A4143"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-407</w:t>
            </w:r>
          </w:p>
          <w:p w:rsidRPr="00357B7B" w:rsidR="00F4401C" w:rsidP="00C73241" w:rsidRDefault="00F4401C" w14:paraId="4346630F"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 xml:space="preserve"> </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7E53075E"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0F0DF4CA" w14:textId="77777777">
        <w:trPr>
          <w:trHeight w:val="285"/>
        </w:trPr>
        <w:tc>
          <w:tcPr>
            <w:tcW w:w="8515" w:type="dxa"/>
            <w:gridSpan w:val="5"/>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Pr="00357B7B" w:rsidR="00F4401C" w:rsidP="00C73241" w:rsidRDefault="00F4401C" w14:paraId="2E8DC010" w14:textId="77777777">
            <w:pPr>
              <w:rPr>
                <w:rFonts w:eastAsia="Verdana" w:cs="Verdana" w:asciiTheme="minorHAnsi" w:hAnsiTheme="minorHAnsi"/>
                <w:b/>
                <w:bCs/>
                <w:color w:val="000000" w:themeColor="text1"/>
                <w:sz w:val="22"/>
                <w:szCs w:val="22"/>
                <w:lang w:val="nl-NL"/>
              </w:rPr>
            </w:pPr>
            <w:r w:rsidRPr="00357B7B">
              <w:rPr>
                <w:rFonts w:eastAsia="Verdana" w:cs="Verdana" w:asciiTheme="minorHAnsi" w:hAnsiTheme="minorHAnsi"/>
                <w:b/>
                <w:bCs/>
                <w:color w:val="000000" w:themeColor="text1"/>
                <w:sz w:val="22"/>
                <w:szCs w:val="22"/>
                <w:lang w:val="nl-NL"/>
              </w:rPr>
              <w:t>Informatievoorziening over andere relevante wijzigingen</w:t>
            </w:r>
          </w:p>
        </w:tc>
      </w:tr>
      <w:tr w:rsidRPr="00357B7B" w:rsidR="00F4401C" w:rsidTr="00C73241" w14:paraId="32EAD929"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2574AE18"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4</w:t>
            </w:r>
          </w:p>
        </w:tc>
        <w:tc>
          <w:tcPr>
            <w:tcW w:w="2880"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084797DA"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Storting</w:t>
            </w:r>
            <w:proofErr w:type="spellEnd"/>
            <w:r w:rsidRPr="00357B7B">
              <w:rPr>
                <w:rFonts w:eastAsia="Verdana" w:cs="Verdana" w:asciiTheme="minorHAnsi" w:hAnsiTheme="minorHAnsi"/>
                <w:color w:val="000000" w:themeColor="text1"/>
                <w:sz w:val="22"/>
                <w:szCs w:val="22"/>
              </w:rPr>
              <w:t xml:space="preserve"> reserve </w:t>
            </w:r>
            <w:proofErr w:type="spellStart"/>
            <w:r w:rsidRPr="00357B7B">
              <w:rPr>
                <w:rFonts w:eastAsia="Verdana" w:cs="Verdana" w:asciiTheme="minorHAnsi" w:hAnsiTheme="minorHAnsi"/>
                <w:color w:val="000000" w:themeColor="text1"/>
                <w:sz w:val="22"/>
                <w:szCs w:val="22"/>
              </w:rPr>
              <w:t>duurzame</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energie</w:t>
            </w:r>
            <w:proofErr w:type="spellEnd"/>
          </w:p>
        </w:tc>
        <w:tc>
          <w:tcPr>
            <w:tcW w:w="1785"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3D994476"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509.772</w:t>
            </w:r>
          </w:p>
        </w:tc>
        <w:tc>
          <w:tcPr>
            <w:tcW w:w="1275" w:type="dxa"/>
            <w:tcBorders>
              <w:top w:val="nil"/>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3BE43A89"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509.772</w:t>
            </w:r>
          </w:p>
        </w:tc>
        <w:tc>
          <w:tcPr>
            <w:tcW w:w="1845" w:type="dxa"/>
            <w:tcBorders>
              <w:top w:val="nil"/>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3DA6612D"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79429AB0"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7699BD41"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4</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02FE4BC5" w14:textId="77777777">
            <w:pPr>
              <w:rPr>
                <w:rFonts w:eastAsia="Verdana" w:cs="Verdana" w:asciiTheme="minorHAnsi" w:hAnsiTheme="minorHAnsi"/>
                <w:color w:val="000000" w:themeColor="text1"/>
                <w:sz w:val="22"/>
                <w:szCs w:val="22"/>
                <w:lang w:val="nl-NL"/>
              </w:rPr>
            </w:pPr>
            <w:proofErr w:type="spellStart"/>
            <w:r w:rsidRPr="00357B7B">
              <w:rPr>
                <w:rFonts w:eastAsia="Verdana" w:cs="Verdana" w:asciiTheme="minorHAnsi" w:hAnsiTheme="minorHAnsi"/>
                <w:color w:val="000000" w:themeColor="text1"/>
                <w:sz w:val="22"/>
                <w:szCs w:val="22"/>
                <w:lang w:val="nl-NL"/>
              </w:rPr>
              <w:t>Onderuitputting</w:t>
            </w:r>
            <w:proofErr w:type="spellEnd"/>
            <w:r w:rsidRPr="00357B7B">
              <w:rPr>
                <w:rFonts w:eastAsia="Verdana" w:cs="Verdana" w:asciiTheme="minorHAnsi" w:hAnsiTheme="minorHAnsi"/>
                <w:color w:val="000000" w:themeColor="text1"/>
                <w:sz w:val="22"/>
                <w:szCs w:val="22"/>
                <w:lang w:val="nl-NL"/>
              </w:rPr>
              <w:t xml:space="preserve"> Subsidieregeling Stimulering Duurzame Energie (SDE ++)</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70AD806E"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-673.933</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4B25012F"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-509.772</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65AB5757"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5B77D2FA"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0B355C55"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4</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1923EF3D"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Onderuitputting</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opschalingsinstrument</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waterstof</w:t>
            </w:r>
            <w:proofErr w:type="spellEnd"/>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129DC025"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-1.125.676</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48E0FBC5"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-6.972</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7A279479"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66C35781"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1EE5A5C0"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lastRenderedPageBreak/>
              <w:t>4</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6B1483ED"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Onderuitputting</w:t>
            </w:r>
            <w:proofErr w:type="spellEnd"/>
            <w:r w:rsidRPr="00357B7B">
              <w:rPr>
                <w:rFonts w:eastAsia="Verdana" w:cs="Verdana" w:asciiTheme="minorHAnsi" w:hAnsiTheme="minorHAnsi"/>
                <w:color w:val="000000" w:themeColor="text1"/>
                <w:sz w:val="22"/>
                <w:szCs w:val="22"/>
              </w:rPr>
              <w:t xml:space="preserve"> IPCEI </w:t>
            </w:r>
            <w:proofErr w:type="spellStart"/>
            <w:r w:rsidRPr="00357B7B">
              <w:rPr>
                <w:rFonts w:eastAsia="Verdana" w:cs="Verdana" w:asciiTheme="minorHAnsi" w:hAnsiTheme="minorHAnsi"/>
                <w:color w:val="000000" w:themeColor="text1"/>
                <w:sz w:val="22"/>
                <w:szCs w:val="22"/>
              </w:rPr>
              <w:t>Waterstof</w:t>
            </w:r>
            <w:proofErr w:type="spellEnd"/>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0D15F863"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-370.056</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1EE6A6FD"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11A0F428"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52BD61BB"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6F00D9CF"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4</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0EB0D443"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Overuitputting</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Djewels</w:t>
            </w:r>
            <w:proofErr w:type="spellEnd"/>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30CBBDC5"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133C0796"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7.644</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00FBB0E1"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1C2EA583"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465B3367"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5</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33CFCE03"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Onderuitputting</w:t>
            </w:r>
            <w:proofErr w:type="spellEnd"/>
            <w:r w:rsidRPr="00357B7B">
              <w:rPr>
                <w:rFonts w:eastAsia="Verdana" w:cs="Verdana" w:asciiTheme="minorHAnsi" w:hAnsiTheme="minorHAnsi"/>
                <w:color w:val="000000" w:themeColor="text1"/>
                <w:sz w:val="22"/>
                <w:szCs w:val="22"/>
              </w:rPr>
              <w:t xml:space="preserve"> Norg-</w:t>
            </w:r>
            <w:proofErr w:type="spellStart"/>
            <w:r w:rsidRPr="00357B7B">
              <w:rPr>
                <w:rFonts w:eastAsia="Verdana" w:cs="Verdana" w:asciiTheme="minorHAnsi" w:hAnsiTheme="minorHAnsi"/>
                <w:color w:val="000000" w:themeColor="text1"/>
                <w:sz w:val="22"/>
                <w:szCs w:val="22"/>
              </w:rPr>
              <w:t>akkoord</w:t>
            </w:r>
            <w:proofErr w:type="spellEnd"/>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461F0987"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-257.497</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2FBD61FA"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-257.497</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0F6476CF"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 xml:space="preserve"> </w:t>
            </w:r>
          </w:p>
        </w:tc>
      </w:tr>
      <w:tr w:rsidRPr="00357B7B" w:rsidR="00F4401C" w:rsidTr="00C73241" w14:paraId="2A7A4BC8"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449062EA"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5</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722F7A0E"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Overschrijding</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uitgaven</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immateriële</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schade</w:t>
            </w:r>
            <w:proofErr w:type="spellEnd"/>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226A5D21"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65838025"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5.000</w:t>
            </w:r>
          </w:p>
          <w:p w:rsidRPr="00357B7B" w:rsidR="00F4401C" w:rsidP="00C73241" w:rsidRDefault="00F4401C" w14:paraId="00D7FE63"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 xml:space="preserve"> </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7946C180"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16E033E2"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30B9F579"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5</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690AF72D" w14:textId="77777777">
            <w:pPr>
              <w:rPr>
                <w:rFonts w:eastAsia="Verdana" w:cs="Verdana" w:asciiTheme="minorHAnsi" w:hAnsiTheme="minorHAnsi"/>
                <w:color w:val="000000" w:themeColor="text1"/>
                <w:sz w:val="22"/>
                <w:szCs w:val="22"/>
                <w:lang w:val="nl-NL"/>
              </w:rPr>
            </w:pPr>
            <w:r w:rsidRPr="00357B7B">
              <w:rPr>
                <w:rFonts w:eastAsia="Verdana" w:cs="Verdana" w:asciiTheme="minorHAnsi" w:hAnsiTheme="minorHAnsi"/>
                <w:color w:val="000000" w:themeColor="text1"/>
                <w:sz w:val="22"/>
                <w:szCs w:val="22"/>
                <w:lang w:val="nl-NL"/>
              </w:rPr>
              <w:t>Overschrijding verplichtingen en uitgaven budget Duurzaam herstel</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64B9597B"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12.600</w:t>
            </w:r>
          </w:p>
          <w:p w:rsidRPr="00357B7B" w:rsidR="00F4401C" w:rsidP="00C73241" w:rsidRDefault="00F4401C" w14:paraId="35AA9F3F"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 xml:space="preserve"> </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6DAC0C60"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7.600</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7C63AC91"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28B2284C" w14:textId="77777777">
        <w:trPr>
          <w:trHeight w:val="285"/>
        </w:trPr>
        <w:tc>
          <w:tcPr>
            <w:tcW w:w="7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32332CA9"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5</w:t>
            </w:r>
          </w:p>
        </w:tc>
        <w:tc>
          <w:tcPr>
            <w:tcW w:w="28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704514C7"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Overschrijding</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knelpuntenbudget</w:t>
            </w:r>
            <w:proofErr w:type="spellEnd"/>
            <w:r w:rsidRPr="00357B7B">
              <w:rPr>
                <w:rFonts w:eastAsia="Verdana" w:cs="Verdana" w:asciiTheme="minorHAnsi" w:hAnsiTheme="minorHAnsi"/>
                <w:color w:val="000000" w:themeColor="text1"/>
                <w:sz w:val="22"/>
                <w:szCs w:val="22"/>
              </w:rPr>
              <w:t xml:space="preserve"> IMG</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253AF7C7"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2.300</w:t>
            </w:r>
          </w:p>
          <w:p w:rsidRPr="00357B7B" w:rsidR="00F4401C" w:rsidP="00C73241" w:rsidRDefault="00F4401C" w14:paraId="62404CE8"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 xml:space="preserve"> </w:t>
            </w:r>
          </w:p>
        </w:tc>
        <w:tc>
          <w:tcPr>
            <w:tcW w:w="12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357B7B" w:rsidR="00F4401C" w:rsidP="00C73241" w:rsidRDefault="00F4401C" w14:paraId="57D34249"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2.300</w:t>
            </w:r>
          </w:p>
        </w:tc>
        <w:tc>
          <w:tcPr>
            <w:tcW w:w="184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357B7B" w:rsidR="00F4401C" w:rsidP="00C73241" w:rsidRDefault="00F4401C" w14:paraId="5EA2DAD6"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r>
      <w:tr w:rsidRPr="00357B7B" w:rsidR="00F4401C" w:rsidTr="00C73241" w14:paraId="197C016B" w14:textId="77777777">
        <w:trPr>
          <w:trHeight w:val="285"/>
        </w:trPr>
        <w:tc>
          <w:tcPr>
            <w:tcW w:w="730" w:type="dxa"/>
            <w:tcBorders>
              <w:top w:val="single" w:color="000000" w:themeColor="text1" w:sz="8" w:space="0"/>
              <w:left w:val="single" w:color="auto" w:sz="8" w:space="0"/>
              <w:bottom w:val="single" w:color="auto" w:sz="8" w:space="0"/>
              <w:right w:val="single" w:color="000000" w:themeColor="text1" w:sz="8" w:space="0"/>
            </w:tcBorders>
            <w:tcMar>
              <w:left w:w="105" w:type="dxa"/>
              <w:right w:w="105" w:type="dxa"/>
            </w:tcMar>
          </w:tcPr>
          <w:p w:rsidRPr="00357B7B" w:rsidR="00F4401C" w:rsidP="00C73241" w:rsidRDefault="00F4401C" w14:paraId="55C0BC4E" w14:textId="77777777">
            <w:pPr>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5</w:t>
            </w:r>
          </w:p>
        </w:tc>
        <w:tc>
          <w:tcPr>
            <w:tcW w:w="2880" w:type="dxa"/>
            <w:tcBorders>
              <w:top w:val="single" w:color="000000" w:themeColor="text1" w:sz="8" w:space="0"/>
              <w:left w:val="single" w:color="000000" w:themeColor="text1" w:sz="8" w:space="0"/>
              <w:bottom w:val="single" w:color="auto" w:sz="8" w:space="0"/>
              <w:right w:val="single" w:color="000000" w:themeColor="text1" w:sz="8" w:space="0"/>
            </w:tcBorders>
            <w:tcMar>
              <w:left w:w="105" w:type="dxa"/>
              <w:right w:w="105" w:type="dxa"/>
            </w:tcMar>
          </w:tcPr>
          <w:p w:rsidRPr="00357B7B" w:rsidR="00F4401C" w:rsidP="00C73241" w:rsidRDefault="00F4401C" w14:paraId="5E04EE3A" w14:textId="77777777">
            <w:pPr>
              <w:rPr>
                <w:rFonts w:eastAsia="Verdana" w:cs="Verdana" w:asciiTheme="minorHAnsi" w:hAnsiTheme="minorHAnsi"/>
                <w:color w:val="000000" w:themeColor="text1"/>
                <w:sz w:val="22"/>
                <w:szCs w:val="22"/>
              </w:rPr>
            </w:pPr>
            <w:proofErr w:type="spellStart"/>
            <w:r w:rsidRPr="00357B7B">
              <w:rPr>
                <w:rFonts w:eastAsia="Verdana" w:cs="Verdana" w:asciiTheme="minorHAnsi" w:hAnsiTheme="minorHAnsi"/>
                <w:color w:val="000000" w:themeColor="text1"/>
                <w:sz w:val="22"/>
                <w:szCs w:val="22"/>
              </w:rPr>
              <w:t>Lagere</w:t>
            </w:r>
            <w:proofErr w:type="spellEnd"/>
            <w:r w:rsidRPr="00357B7B">
              <w:rPr>
                <w:rFonts w:eastAsia="Verdana" w:cs="Verdana" w:asciiTheme="minorHAnsi" w:hAnsiTheme="minorHAnsi"/>
                <w:color w:val="000000" w:themeColor="text1"/>
                <w:sz w:val="22"/>
                <w:szCs w:val="22"/>
              </w:rPr>
              <w:t xml:space="preserve"> </w:t>
            </w:r>
            <w:proofErr w:type="spellStart"/>
            <w:r w:rsidRPr="00357B7B">
              <w:rPr>
                <w:rFonts w:eastAsia="Verdana" w:cs="Verdana" w:asciiTheme="minorHAnsi" w:hAnsiTheme="minorHAnsi"/>
                <w:color w:val="000000" w:themeColor="text1"/>
                <w:sz w:val="22"/>
                <w:szCs w:val="22"/>
              </w:rPr>
              <w:t>dividenduitkering</w:t>
            </w:r>
            <w:proofErr w:type="spellEnd"/>
            <w:r w:rsidRPr="00357B7B">
              <w:rPr>
                <w:rFonts w:eastAsia="Verdana" w:cs="Verdana" w:asciiTheme="minorHAnsi" w:hAnsiTheme="minorHAnsi"/>
                <w:color w:val="000000" w:themeColor="text1"/>
                <w:sz w:val="22"/>
                <w:szCs w:val="22"/>
              </w:rPr>
              <w:t xml:space="preserve"> EBN</w:t>
            </w:r>
          </w:p>
        </w:tc>
        <w:tc>
          <w:tcPr>
            <w:tcW w:w="1785" w:type="dxa"/>
            <w:tcBorders>
              <w:top w:val="single" w:color="000000" w:themeColor="text1" w:sz="8" w:space="0"/>
              <w:left w:val="single" w:color="000000" w:themeColor="text1" w:sz="8" w:space="0"/>
              <w:bottom w:val="single" w:color="auto" w:sz="8" w:space="0"/>
              <w:right w:val="single" w:color="000000" w:themeColor="text1" w:sz="8" w:space="0"/>
            </w:tcBorders>
            <w:tcMar>
              <w:left w:w="105" w:type="dxa"/>
              <w:right w:w="105" w:type="dxa"/>
            </w:tcMar>
          </w:tcPr>
          <w:p w:rsidRPr="00357B7B" w:rsidR="00F4401C" w:rsidP="00C73241" w:rsidRDefault="00F4401C" w14:paraId="7E340481"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c>
          <w:tcPr>
            <w:tcW w:w="1275" w:type="dxa"/>
            <w:tcBorders>
              <w:top w:val="single" w:color="000000" w:themeColor="text1" w:sz="8" w:space="0"/>
              <w:left w:val="single" w:color="000000" w:themeColor="text1" w:sz="8" w:space="0"/>
              <w:bottom w:val="single" w:color="auto" w:sz="8" w:space="0"/>
              <w:right w:val="single" w:color="000000" w:themeColor="text1" w:sz="8" w:space="0"/>
            </w:tcBorders>
            <w:tcMar>
              <w:left w:w="105" w:type="dxa"/>
              <w:right w:w="105" w:type="dxa"/>
            </w:tcMar>
          </w:tcPr>
          <w:p w:rsidRPr="00357B7B" w:rsidR="00F4401C" w:rsidP="00C73241" w:rsidRDefault="00F4401C" w14:paraId="2C9DB61C"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0</w:t>
            </w:r>
          </w:p>
        </w:tc>
        <w:tc>
          <w:tcPr>
            <w:tcW w:w="1845" w:type="dxa"/>
            <w:tcBorders>
              <w:top w:val="single" w:color="000000" w:themeColor="text1" w:sz="8" w:space="0"/>
              <w:left w:val="single" w:color="000000" w:themeColor="text1" w:sz="8" w:space="0"/>
              <w:bottom w:val="single" w:color="auto" w:sz="8" w:space="0"/>
              <w:right w:val="single" w:color="auto" w:sz="8" w:space="0"/>
            </w:tcBorders>
            <w:tcMar>
              <w:left w:w="105" w:type="dxa"/>
              <w:right w:w="105" w:type="dxa"/>
            </w:tcMar>
          </w:tcPr>
          <w:p w:rsidRPr="00357B7B" w:rsidR="00F4401C" w:rsidP="00C73241" w:rsidRDefault="00F4401C" w14:paraId="396023B8"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-242.000</w:t>
            </w:r>
          </w:p>
          <w:p w:rsidRPr="00357B7B" w:rsidR="00F4401C" w:rsidP="00C73241" w:rsidRDefault="00F4401C" w14:paraId="384711A0" w14:textId="77777777">
            <w:pPr>
              <w:jc w:val="right"/>
              <w:rPr>
                <w:rFonts w:eastAsia="Verdana" w:cs="Verdana" w:asciiTheme="minorHAnsi" w:hAnsiTheme="minorHAnsi"/>
                <w:color w:val="000000" w:themeColor="text1"/>
                <w:sz w:val="22"/>
                <w:szCs w:val="22"/>
              </w:rPr>
            </w:pPr>
            <w:r w:rsidRPr="00357B7B">
              <w:rPr>
                <w:rFonts w:eastAsia="Verdana" w:cs="Verdana" w:asciiTheme="minorHAnsi" w:hAnsiTheme="minorHAnsi"/>
                <w:color w:val="000000" w:themeColor="text1"/>
                <w:sz w:val="22"/>
                <w:szCs w:val="22"/>
              </w:rPr>
              <w:t xml:space="preserve"> </w:t>
            </w:r>
          </w:p>
        </w:tc>
      </w:tr>
    </w:tbl>
    <w:p w:rsidRPr="00357B7B" w:rsidR="00F4401C" w:rsidP="00F4401C" w:rsidRDefault="00F4401C" w14:paraId="454F14A0" w14:textId="77777777">
      <w:pPr>
        <w:rPr>
          <w:rFonts w:eastAsia="Verdana" w:cs="Verdana"/>
          <w:color w:val="000000" w:themeColor="text1"/>
        </w:rPr>
      </w:pPr>
    </w:p>
    <w:p w:rsidRPr="00357B7B" w:rsidR="00F4401C" w:rsidP="00F4401C" w:rsidRDefault="00F4401C" w14:paraId="05D72528" w14:textId="77777777">
      <w:pPr>
        <w:rPr>
          <w:rFonts w:eastAsia="Verdana" w:cs="Verdana"/>
          <w:i/>
          <w:iCs/>
          <w:color w:val="000000" w:themeColor="text1"/>
        </w:rPr>
      </w:pPr>
      <w:r w:rsidRPr="00357B7B">
        <w:rPr>
          <w:b/>
          <w:bCs/>
        </w:rPr>
        <w:t>Toelichting</w:t>
      </w:r>
      <w:r w:rsidRPr="00357B7B">
        <w:rPr>
          <w:rFonts w:eastAsia="Verdana" w:cs="Verdana"/>
          <w:b/>
          <w:bCs/>
        </w:rPr>
        <w:br/>
      </w:r>
      <w:r w:rsidRPr="00357B7B">
        <w:rPr>
          <w:rFonts w:eastAsia="Verdana" w:cs="Verdana"/>
          <w:b/>
          <w:bCs/>
        </w:rPr>
        <w:br/>
      </w:r>
      <w:bookmarkStart w:name="_Hlk184728206" w:id="0"/>
      <w:r w:rsidRPr="00357B7B">
        <w:rPr>
          <w:rFonts w:eastAsia="Verdana" w:cs="Verdana"/>
          <w:b/>
          <w:bCs/>
        </w:rPr>
        <w:t>Artikel 2 Bedrijvenbeleid: innovatie en ondernemerschap voor duurzame welvaartsgroei</w:t>
      </w:r>
      <w:r w:rsidRPr="00357B7B">
        <w:rPr>
          <w:rFonts w:eastAsia="Verdana" w:cs="Verdana"/>
          <w:i/>
          <w:iCs/>
          <w:color w:val="000000" w:themeColor="text1"/>
        </w:rPr>
        <w:t xml:space="preserve"> </w:t>
      </w:r>
    </w:p>
    <w:p w:rsidRPr="00357B7B" w:rsidR="00F4401C" w:rsidP="00F4401C" w:rsidRDefault="00F4401C" w14:paraId="29B919A5" w14:textId="77777777">
      <w:pPr>
        <w:rPr>
          <w:rFonts w:eastAsia="Verdana" w:cs="Verdana"/>
          <w:b/>
          <w:bCs/>
        </w:rPr>
      </w:pPr>
      <w:r w:rsidRPr="00357B7B">
        <w:rPr>
          <w:rFonts w:eastAsia="Verdana" w:cs="Verdana"/>
          <w:i/>
          <w:iCs/>
          <w:color w:val="000000" w:themeColor="text1"/>
        </w:rPr>
        <w:t xml:space="preserve">Lening </w:t>
      </w:r>
      <w:proofErr w:type="spellStart"/>
      <w:r w:rsidRPr="00357B7B">
        <w:rPr>
          <w:rFonts w:eastAsia="Verdana" w:cs="Verdana"/>
          <w:i/>
          <w:iCs/>
          <w:color w:val="000000" w:themeColor="text1"/>
        </w:rPr>
        <w:t>Dunagro</w:t>
      </w:r>
      <w:proofErr w:type="spellEnd"/>
      <w:r w:rsidRPr="00357B7B">
        <w:rPr>
          <w:rFonts w:eastAsia="Verdana" w:cs="Verdana"/>
          <w:i/>
          <w:iCs/>
          <w:color w:val="000000" w:themeColor="text1"/>
        </w:rPr>
        <w:br/>
      </w:r>
      <w:r w:rsidRPr="00357B7B">
        <w:rPr>
          <w:rFonts w:eastAsia="Verdana" w:cs="Verdana"/>
          <w:color w:val="000000" w:themeColor="text1"/>
        </w:rPr>
        <w:t>Ten behoeve van het programma ‘</w:t>
      </w:r>
      <w:proofErr w:type="spellStart"/>
      <w:r w:rsidRPr="00357B7B">
        <w:rPr>
          <w:rFonts w:eastAsia="Verdana" w:cs="Verdana"/>
          <w:color w:val="000000" w:themeColor="text1"/>
        </w:rPr>
        <w:t>biobased</w:t>
      </w:r>
      <w:proofErr w:type="spellEnd"/>
      <w:r w:rsidRPr="00357B7B">
        <w:rPr>
          <w:rFonts w:eastAsia="Verdana" w:cs="Verdana"/>
          <w:color w:val="000000" w:themeColor="text1"/>
        </w:rPr>
        <w:t xml:space="preserve"> bouwen’ zijn in 2024 middelen toegekend aan de begroting van EZK vanuit het Klimaatfonds. Hiertoe wordt in 2024 tenminste één subsidie in de vorm van een lening verstrekt aan een producent van </w:t>
      </w:r>
      <w:proofErr w:type="spellStart"/>
      <w:r w:rsidRPr="00357B7B">
        <w:rPr>
          <w:rFonts w:eastAsia="Verdana" w:cs="Verdana"/>
          <w:color w:val="000000" w:themeColor="text1"/>
        </w:rPr>
        <w:t>biobased</w:t>
      </w:r>
      <w:proofErr w:type="spellEnd"/>
      <w:r w:rsidRPr="00357B7B">
        <w:rPr>
          <w:rFonts w:eastAsia="Verdana" w:cs="Verdana"/>
          <w:color w:val="000000" w:themeColor="text1"/>
        </w:rPr>
        <w:t xml:space="preserve"> bouwmaterialen. Deze subsidie kwalificeert als lening en kan derhalve niet op een subsidie-instrument geboekt worden. Daarom is voor het bestaande (Klimaatfonds)instrument in de begroting de categorie aangepast van subsidies naar leningen. Dit vergt een overboeking en leidt dit nu tot een overschrijding op het “nieuwe” instrument. Feitelijk betreft het hier een technische mutatie en is er geen sprake van een overschrijding. Kasdekking voor deze lening is op de begroting aanwezig.</w:t>
      </w:r>
      <w:r w:rsidRPr="00357B7B">
        <w:rPr>
          <w:rFonts w:eastAsia="Verdana" w:cs="Verdana"/>
          <w:color w:val="000000" w:themeColor="text1"/>
        </w:rPr>
        <w:br/>
      </w:r>
    </w:p>
    <w:p w:rsidRPr="00357B7B" w:rsidR="00F4401C" w:rsidP="00F4401C" w:rsidRDefault="00F4401C" w14:paraId="3D198591" w14:textId="77777777">
      <w:pPr>
        <w:rPr>
          <w:rFonts w:eastAsia="Verdana" w:cs="Verdana"/>
          <w:b/>
          <w:bCs/>
        </w:rPr>
      </w:pPr>
      <w:r w:rsidRPr="00357B7B">
        <w:rPr>
          <w:rFonts w:eastAsia="Verdana" w:cs="Verdana"/>
          <w:b/>
          <w:bCs/>
        </w:rPr>
        <w:t>Artikel 4 Een doelmatige energievoorziening en beperking van de klimaatverandering</w:t>
      </w:r>
    </w:p>
    <w:bookmarkEnd w:id="0"/>
    <w:p w:rsidRPr="00357B7B" w:rsidR="00F4401C" w:rsidP="00F4401C" w:rsidRDefault="00F4401C" w14:paraId="1725CF1D" w14:textId="77777777">
      <w:pPr>
        <w:rPr>
          <w:rFonts w:eastAsia="Verdana" w:cs="Verdana"/>
          <w:color w:val="000000" w:themeColor="text1"/>
        </w:rPr>
      </w:pPr>
      <w:r w:rsidRPr="00357B7B">
        <w:rPr>
          <w:rFonts w:eastAsia="Verdana" w:cs="Verdana"/>
          <w:i/>
          <w:iCs/>
          <w:color w:val="000000" w:themeColor="text1"/>
        </w:rPr>
        <w:t>Lening NRG</w:t>
      </w:r>
      <w:r w:rsidRPr="00357B7B">
        <w:br/>
      </w:r>
      <w:r w:rsidRPr="00357B7B">
        <w:rPr>
          <w:rFonts w:eastAsia="Verdana" w:cs="Verdana"/>
          <w:color w:val="000000" w:themeColor="text1"/>
        </w:rPr>
        <w:t>KGG stelt als gevolg van een gemiste productiecyclus dit najaar een liquiditeitsfaciliteit op voor NRG om de nu voorziene periode tot de fusie met de Pallas-organisatie te overbruggen.</w:t>
      </w:r>
      <w:r w:rsidRPr="00357B7B">
        <w:rPr>
          <w:rFonts w:eastAsia="Verdana" w:cs="Verdana"/>
          <w:color w:val="000000" w:themeColor="text1"/>
        </w:rPr>
        <w:br/>
      </w:r>
    </w:p>
    <w:p w:rsidRPr="00357B7B" w:rsidR="00F4401C" w:rsidP="00F4401C" w:rsidRDefault="00F4401C" w14:paraId="2087514C" w14:textId="77777777">
      <w:pPr>
        <w:rPr>
          <w:rFonts w:eastAsia="Verdana" w:cs="Verdana"/>
          <w:color w:val="000000" w:themeColor="text1"/>
        </w:rPr>
      </w:pPr>
      <w:r w:rsidRPr="00357B7B">
        <w:rPr>
          <w:rFonts w:eastAsia="Verdana" w:cs="Verdana"/>
          <w:i/>
          <w:iCs/>
          <w:color w:val="000000" w:themeColor="text1"/>
        </w:rPr>
        <w:t>Subsidie EBN</w:t>
      </w:r>
      <w:r w:rsidRPr="00357B7B">
        <w:br/>
      </w:r>
      <w:r w:rsidRPr="00357B7B">
        <w:rPr>
          <w:rFonts w:eastAsia="Verdana" w:cs="Verdana"/>
          <w:color w:val="000000" w:themeColor="text1"/>
        </w:rPr>
        <w:t xml:space="preserve">Hiermee stelt KGG EBN in staat om een investering van € 30 miljoen te doen in het onderhoud in de Piekgasinstallatie (PGI) Alkmaar. Deze opslag is nog jaren nodig om de gasleveringszekerheid in Nederland te garanderen. Mede dankzij de investering in het onderhoud kan de opslag vanaf de start van het vulseizoen </w:t>
      </w:r>
      <w:r w:rsidRPr="00357B7B">
        <w:rPr>
          <w:rFonts w:eastAsia="Verdana" w:cs="Verdana"/>
          <w:color w:val="000000" w:themeColor="text1"/>
        </w:rPr>
        <w:lastRenderedPageBreak/>
        <w:t xml:space="preserve">gevuld worden om in de zomer van 2025-2026 operationeel te zijn. </w:t>
      </w:r>
      <w:r w:rsidRPr="00357B7B">
        <w:rPr>
          <w:rFonts w:eastAsia="Verdana" w:cs="Verdana"/>
          <w:color w:val="000000" w:themeColor="text1"/>
        </w:rPr>
        <w:br/>
      </w:r>
    </w:p>
    <w:p w:rsidRPr="00357B7B" w:rsidR="00F4401C" w:rsidP="00F4401C" w:rsidRDefault="00F4401C" w14:paraId="02468836" w14:textId="77777777">
      <w:pPr>
        <w:rPr>
          <w:rFonts w:eastAsia="Verdana" w:cs="Verdana"/>
          <w:b/>
          <w:bCs/>
          <w:color w:val="000000" w:themeColor="text1"/>
        </w:rPr>
      </w:pPr>
      <w:r w:rsidRPr="00357B7B">
        <w:rPr>
          <w:rFonts w:eastAsia="Verdana" w:cs="Verdana"/>
          <w:b/>
          <w:bCs/>
          <w:color w:val="000000" w:themeColor="text1"/>
        </w:rPr>
        <w:t>Overige mutaties</w:t>
      </w:r>
    </w:p>
    <w:p w:rsidRPr="00357B7B" w:rsidR="00F4401C" w:rsidP="00F4401C" w:rsidRDefault="00F4401C" w14:paraId="66E42A8D" w14:textId="77777777">
      <w:pPr>
        <w:rPr>
          <w:i/>
          <w:iCs/>
        </w:rPr>
      </w:pPr>
      <w:r w:rsidRPr="00357B7B">
        <w:rPr>
          <w:rFonts w:eastAsia="Verdana" w:cs="Verdana"/>
          <w:i/>
          <w:iCs/>
          <w:color w:val="000000" w:themeColor="text1"/>
        </w:rPr>
        <w:t>Departementale overboekingen</w:t>
      </w:r>
      <w:r w:rsidRPr="00357B7B">
        <w:br/>
      </w:r>
      <w:r w:rsidRPr="00357B7B">
        <w:rPr>
          <w:rFonts w:eastAsia="Verdana" w:cs="Verdana"/>
        </w:rPr>
        <w:t xml:space="preserve">Bestaat uit verschillende departementale overboekingen, bijvoorbeeld naar het btw- compensatiefonds, provinciefonds, het ministerie van Binnenlandse Zaken en Koninkrijkrelaties en het ministerie van Volksgezondheid, Welzijn en Sport. EZK ontvangt </w:t>
      </w:r>
      <w:r w:rsidRPr="00357B7B">
        <w:rPr>
          <w:rFonts w:eastAsia="Verdana" w:cs="Verdana"/>
          <w:color w:val="000000" w:themeColor="text1"/>
        </w:rPr>
        <w:t xml:space="preserve">€ </w:t>
      </w:r>
      <w:r w:rsidRPr="00357B7B">
        <w:rPr>
          <w:rFonts w:eastAsia="Verdana" w:cs="Verdana"/>
        </w:rPr>
        <w:t xml:space="preserve">3,9 miljoen van VWS en boekt EZK </w:t>
      </w:r>
      <w:r w:rsidRPr="00357B7B">
        <w:rPr>
          <w:rFonts w:eastAsia="Verdana" w:cs="Verdana"/>
          <w:color w:val="000000" w:themeColor="text1"/>
        </w:rPr>
        <w:t>€</w:t>
      </w:r>
      <w:r w:rsidRPr="00357B7B">
        <w:rPr>
          <w:rFonts w:eastAsia="Verdana" w:cs="Verdana"/>
        </w:rPr>
        <w:t>4,3 miljoen over naar LVVN (</w:t>
      </w:r>
      <w:r w:rsidRPr="00357B7B">
        <w:rPr>
          <w:rFonts w:eastAsia="Verdana" w:cs="Verdana"/>
          <w:color w:val="000000" w:themeColor="text1"/>
        </w:rPr>
        <w:t xml:space="preserve">€ </w:t>
      </w:r>
      <w:r w:rsidRPr="00357B7B">
        <w:rPr>
          <w:rFonts w:eastAsia="Verdana" w:cs="Verdana"/>
        </w:rPr>
        <w:t>391 duizend), BZK (</w:t>
      </w:r>
      <w:r w:rsidRPr="00357B7B">
        <w:rPr>
          <w:rFonts w:eastAsia="Verdana" w:cs="Verdana"/>
          <w:color w:val="000000" w:themeColor="text1"/>
        </w:rPr>
        <w:t xml:space="preserve">€ 122 duizend) en BTW Compensatiefonds (€ 3,8 miljoen). </w:t>
      </w:r>
      <w:r w:rsidRPr="00357B7B">
        <w:rPr>
          <w:rFonts w:eastAsia="Verdana" w:cs="Verdana"/>
        </w:rPr>
        <w:t xml:space="preserve">  </w:t>
      </w:r>
    </w:p>
    <w:p w:rsidRPr="00357B7B" w:rsidR="00F4401C" w:rsidP="00F4401C" w:rsidRDefault="00F4401C" w14:paraId="5A414023" w14:textId="77777777">
      <w:pPr>
        <w:rPr>
          <w:i/>
          <w:iCs/>
        </w:rPr>
      </w:pPr>
    </w:p>
    <w:p w:rsidRPr="00357B7B" w:rsidR="00F4401C" w:rsidP="00F4401C" w:rsidRDefault="00F4401C" w14:paraId="14465230" w14:textId="77777777">
      <w:pPr>
        <w:rPr>
          <w:rFonts w:eastAsia="Verdana" w:cs="Verdana"/>
          <w:b/>
          <w:bCs/>
        </w:rPr>
      </w:pPr>
      <w:r w:rsidRPr="00357B7B">
        <w:rPr>
          <w:rFonts w:eastAsia="Verdana" w:cs="Verdana"/>
          <w:b/>
          <w:bCs/>
        </w:rPr>
        <w:t>Informatievoorziening over andere relevante wijzigingen</w:t>
      </w:r>
      <w:r w:rsidRPr="00357B7B">
        <w:rPr>
          <w:rFonts w:eastAsia="Verdana" w:cs="Verdana"/>
          <w:b/>
          <w:bCs/>
        </w:rPr>
        <w:br/>
        <w:t>Artikel 4 Een doelmatige energievoorziening en beperking van de klimaatverandering</w:t>
      </w:r>
    </w:p>
    <w:p w:rsidRPr="00357B7B" w:rsidR="00F4401C" w:rsidP="00F4401C" w:rsidRDefault="00F4401C" w14:paraId="68CBBC40" w14:textId="77777777">
      <w:pPr>
        <w:rPr>
          <w:rFonts w:eastAsia="Verdana" w:cs="Verdana"/>
          <w:color w:val="000000" w:themeColor="text1"/>
        </w:rPr>
      </w:pPr>
      <w:r w:rsidRPr="00357B7B">
        <w:rPr>
          <w:rFonts w:eastAsia="Verdana" w:cs="Verdana"/>
          <w:i/>
          <w:iCs/>
          <w:color w:val="000000" w:themeColor="text1"/>
        </w:rPr>
        <w:t>Storting reserve duurzame energie</w:t>
      </w:r>
      <w:r w:rsidRPr="00357B7B">
        <w:br/>
      </w:r>
      <w:proofErr w:type="spellStart"/>
      <w:r w:rsidRPr="00357B7B">
        <w:rPr>
          <w:rFonts w:eastAsia="Verdana" w:cs="Verdana"/>
          <w:color w:val="000000" w:themeColor="text1"/>
        </w:rPr>
        <w:t>Onderuitputting</w:t>
      </w:r>
      <w:proofErr w:type="spellEnd"/>
      <w:r w:rsidRPr="00357B7B">
        <w:rPr>
          <w:rFonts w:eastAsia="Verdana" w:cs="Verdana"/>
          <w:color w:val="000000" w:themeColor="text1"/>
        </w:rPr>
        <w:t xml:space="preserve"> op de diverse SDE-gefinancierde budgetten wordt gestort in de reserve duurzame energie.</w:t>
      </w:r>
      <w:r w:rsidRPr="00357B7B">
        <w:rPr>
          <w:rFonts w:eastAsia="Verdana" w:cs="Verdana"/>
          <w:color w:val="000000" w:themeColor="text1"/>
        </w:rPr>
        <w:br/>
      </w:r>
    </w:p>
    <w:p w:rsidRPr="00357B7B" w:rsidR="00F4401C" w:rsidP="00F4401C" w:rsidRDefault="00F4401C" w14:paraId="6B01C1A8" w14:textId="77777777">
      <w:pPr>
        <w:rPr>
          <w:rFonts w:eastAsia="Verdana" w:cs="Verdana"/>
          <w:color w:val="000000" w:themeColor="text1"/>
        </w:rPr>
      </w:pPr>
      <w:proofErr w:type="spellStart"/>
      <w:r w:rsidRPr="00357B7B">
        <w:rPr>
          <w:rFonts w:eastAsia="Verdana" w:cs="Verdana"/>
          <w:i/>
          <w:iCs/>
          <w:color w:val="000000" w:themeColor="text1"/>
        </w:rPr>
        <w:t>Onderuitputting</w:t>
      </w:r>
      <w:proofErr w:type="spellEnd"/>
      <w:r w:rsidRPr="00357B7B">
        <w:rPr>
          <w:rFonts w:eastAsia="Verdana" w:cs="Verdana"/>
          <w:i/>
          <w:iCs/>
          <w:color w:val="000000" w:themeColor="text1"/>
        </w:rPr>
        <w:t xml:space="preserve"> Subsidieregeling Stimulering Duurzame Energie SDE ++</w:t>
      </w:r>
      <w:r w:rsidRPr="00357B7B">
        <w:br/>
      </w:r>
      <w:r w:rsidRPr="00357B7B">
        <w:rPr>
          <w:rFonts w:eastAsia="Verdana" w:cs="Verdana"/>
          <w:color w:val="000000" w:themeColor="text1"/>
        </w:rPr>
        <w:t>De SDE++ is in 2024 niet volledig verplicht waardoor er een onderschrijding op het verplichtingenbudget plaatsvindt van € 175 miljoen. Daarnaast is de, met SDE-middelen gefinancierde, nadeelcompensatie voor de productiebeperking van kolencentrales in 2024 niet benut.</w:t>
      </w:r>
      <w:r w:rsidRPr="00357B7B">
        <w:rPr>
          <w:rFonts w:eastAsia="Verdana" w:cs="Verdana"/>
          <w:color w:val="000000" w:themeColor="text1"/>
        </w:rPr>
        <w:br/>
      </w:r>
    </w:p>
    <w:p w:rsidRPr="00357B7B" w:rsidR="00F4401C" w:rsidP="00F4401C" w:rsidRDefault="00F4401C" w14:paraId="3D6F4524" w14:textId="77777777">
      <w:pPr>
        <w:rPr>
          <w:rFonts w:eastAsia="Verdana" w:cs="Verdana"/>
          <w:color w:val="000000" w:themeColor="text1"/>
        </w:rPr>
      </w:pPr>
      <w:proofErr w:type="spellStart"/>
      <w:r w:rsidRPr="00357B7B">
        <w:rPr>
          <w:rFonts w:eastAsia="Verdana" w:cs="Verdana"/>
          <w:i/>
          <w:iCs/>
          <w:color w:val="000000" w:themeColor="text1"/>
        </w:rPr>
        <w:t>Onderuitputting</w:t>
      </w:r>
      <w:proofErr w:type="spellEnd"/>
      <w:r w:rsidRPr="00357B7B">
        <w:rPr>
          <w:rFonts w:eastAsia="Verdana" w:cs="Verdana"/>
          <w:i/>
          <w:iCs/>
          <w:color w:val="000000" w:themeColor="text1"/>
        </w:rPr>
        <w:t xml:space="preserve"> opschalingsinstrument waterstof</w:t>
      </w:r>
      <w:r w:rsidRPr="00357B7B">
        <w:br/>
      </w:r>
      <w:r w:rsidRPr="00357B7B">
        <w:rPr>
          <w:rFonts w:eastAsia="Verdana" w:cs="Verdana"/>
          <w:color w:val="000000" w:themeColor="text1"/>
        </w:rPr>
        <w:t>Bij de kas- en verplichtingenschuiven in de ontwerpbegroting op diverse waterstofmiddelen is er onverhoopt geen rekening gehouden met te schuiven verplichtingenruimte voor deze regeling. Deze regeling is in 2024 niet volledig verplicht. Hierdoor wordt de verplichtingenruimte met € 101 miljoen onderschreden voor het waterstofnetwerk op zee. Tot slot is de openstellingsperiode voor de OWE vertraagd als gevolg van de vertraging in de uitrol van het waterstofnetwerk op land.</w:t>
      </w:r>
      <w:r w:rsidRPr="00357B7B">
        <w:rPr>
          <w:rFonts w:eastAsia="Verdana" w:cs="Verdana"/>
          <w:color w:val="000000" w:themeColor="text1"/>
        </w:rPr>
        <w:br/>
      </w:r>
    </w:p>
    <w:p w:rsidRPr="00357B7B" w:rsidR="00F4401C" w:rsidP="00F4401C" w:rsidRDefault="00F4401C" w14:paraId="70BC3A56" w14:textId="77777777">
      <w:pPr>
        <w:rPr>
          <w:rFonts w:eastAsia="Verdana" w:cs="Verdana"/>
        </w:rPr>
      </w:pPr>
      <w:proofErr w:type="spellStart"/>
      <w:r w:rsidRPr="00357B7B">
        <w:rPr>
          <w:rFonts w:eastAsia="Verdana" w:cs="Verdana"/>
          <w:i/>
          <w:iCs/>
          <w:color w:val="000000" w:themeColor="text1"/>
        </w:rPr>
        <w:t>Onderuitputting</w:t>
      </w:r>
      <w:proofErr w:type="spellEnd"/>
      <w:r w:rsidRPr="00357B7B">
        <w:rPr>
          <w:rFonts w:eastAsia="Verdana" w:cs="Verdana"/>
          <w:i/>
          <w:iCs/>
          <w:color w:val="000000" w:themeColor="text1"/>
        </w:rPr>
        <w:t xml:space="preserve"> IPCEI Waterstof</w:t>
      </w:r>
      <w:r w:rsidRPr="00357B7B">
        <w:br/>
      </w:r>
      <w:r w:rsidRPr="00357B7B">
        <w:rPr>
          <w:rFonts w:eastAsia="Verdana" w:cs="Verdana"/>
          <w:color w:val="000000" w:themeColor="text1"/>
        </w:rPr>
        <w:t>Er zijn minder aanvragen voor IPCEI Golf 3 binnengekomen dan het totaal beschikbaar aan verplichtingenruimte.</w:t>
      </w:r>
      <w:r w:rsidRPr="00357B7B">
        <w:rPr>
          <w:rFonts w:eastAsia="Verdana" w:cs="Verdana"/>
          <w:color w:val="000000" w:themeColor="text1"/>
        </w:rPr>
        <w:br/>
      </w:r>
    </w:p>
    <w:p w:rsidRPr="00357B7B" w:rsidR="00F4401C" w:rsidP="00F4401C" w:rsidRDefault="00F4401C" w14:paraId="0016E14B" w14:textId="77777777">
      <w:pPr>
        <w:rPr>
          <w:rFonts w:eastAsia="Verdana" w:cs="Verdana"/>
          <w:color w:val="000000" w:themeColor="text1"/>
        </w:rPr>
      </w:pPr>
      <w:proofErr w:type="spellStart"/>
      <w:r w:rsidRPr="00357B7B">
        <w:rPr>
          <w:rFonts w:eastAsia="Verdana" w:cs="Verdana"/>
          <w:i/>
          <w:iCs/>
          <w:color w:val="000000" w:themeColor="text1"/>
        </w:rPr>
        <w:t>Overuitputting</w:t>
      </w:r>
      <w:proofErr w:type="spellEnd"/>
      <w:r w:rsidRPr="00357B7B">
        <w:rPr>
          <w:rFonts w:eastAsia="Verdana" w:cs="Verdana"/>
          <w:i/>
          <w:iCs/>
          <w:color w:val="000000" w:themeColor="text1"/>
        </w:rPr>
        <w:t xml:space="preserve"> </w:t>
      </w:r>
      <w:proofErr w:type="spellStart"/>
      <w:r w:rsidRPr="00357B7B">
        <w:rPr>
          <w:rFonts w:eastAsia="Verdana" w:cs="Verdana"/>
          <w:i/>
          <w:iCs/>
          <w:color w:val="000000" w:themeColor="text1"/>
        </w:rPr>
        <w:t>Djewels</w:t>
      </w:r>
      <w:proofErr w:type="spellEnd"/>
      <w:r w:rsidRPr="00357B7B">
        <w:br/>
      </w:r>
      <w:r w:rsidRPr="00357B7B">
        <w:rPr>
          <w:rFonts w:eastAsia="Verdana" w:cs="Verdana"/>
          <w:color w:val="000000" w:themeColor="text1"/>
        </w:rPr>
        <w:t xml:space="preserve">De eerste voorschotbetaling aan het innovatieve elektrolyseproject </w:t>
      </w:r>
      <w:proofErr w:type="spellStart"/>
      <w:r w:rsidRPr="00357B7B">
        <w:rPr>
          <w:rFonts w:eastAsia="Verdana" w:cs="Verdana"/>
          <w:color w:val="000000" w:themeColor="text1"/>
        </w:rPr>
        <w:t>Djewels</w:t>
      </w:r>
      <w:proofErr w:type="spellEnd"/>
      <w:r w:rsidRPr="00357B7B">
        <w:rPr>
          <w:rFonts w:eastAsia="Verdana" w:cs="Verdana"/>
          <w:color w:val="000000" w:themeColor="text1"/>
        </w:rPr>
        <w:t xml:space="preserve"> valt hoger uit dan de raming van RVO. Hiermee wordt het beschikbare kasbudget in 2024 met € 7,6 miljoen overschreden.</w:t>
      </w:r>
    </w:p>
    <w:p w:rsidRPr="00357B7B" w:rsidR="00F4401C" w:rsidP="00F4401C" w:rsidRDefault="00F4401C" w14:paraId="08CDAB07" w14:textId="77777777">
      <w:pPr>
        <w:rPr>
          <w:rFonts w:eastAsia="Verdana" w:cs="Verdana"/>
          <w:b/>
          <w:bCs/>
        </w:rPr>
      </w:pPr>
    </w:p>
    <w:p w:rsidRPr="00357B7B" w:rsidR="00F4401C" w:rsidP="00F4401C" w:rsidRDefault="00F4401C" w14:paraId="5526E889" w14:textId="77777777">
      <w:pPr>
        <w:rPr>
          <w:rFonts w:eastAsia="Verdana" w:cs="Verdana"/>
          <w:b/>
          <w:bCs/>
        </w:rPr>
      </w:pPr>
      <w:r w:rsidRPr="00357B7B">
        <w:rPr>
          <w:rFonts w:eastAsia="Verdana" w:cs="Verdana"/>
          <w:b/>
          <w:bCs/>
        </w:rPr>
        <w:t>Artikel 5 Een veilig Groningen met perspectief</w:t>
      </w:r>
      <w:r w:rsidRPr="00357B7B">
        <w:rPr>
          <w:rFonts w:eastAsia="Verdana" w:cs="Verdana"/>
          <w:b/>
          <w:bCs/>
        </w:rPr>
        <w:br/>
      </w:r>
      <w:bookmarkStart w:name="_Hlk184729264" w:id="1"/>
      <w:proofErr w:type="spellStart"/>
      <w:r w:rsidRPr="00357B7B">
        <w:rPr>
          <w:rFonts w:eastAsia="Verdana" w:cs="Verdana"/>
          <w:i/>
          <w:iCs/>
          <w:color w:val="000000" w:themeColor="text1"/>
        </w:rPr>
        <w:t>Onderuitputting</w:t>
      </w:r>
      <w:proofErr w:type="spellEnd"/>
      <w:r w:rsidRPr="00357B7B">
        <w:rPr>
          <w:rFonts w:eastAsia="Verdana" w:cs="Verdana"/>
          <w:i/>
          <w:iCs/>
          <w:color w:val="000000" w:themeColor="text1"/>
        </w:rPr>
        <w:t xml:space="preserve"> Norg-akkoord</w:t>
      </w:r>
      <w:r w:rsidRPr="00357B7B">
        <w:br/>
      </w:r>
      <w:r w:rsidRPr="00357B7B">
        <w:rPr>
          <w:rFonts w:eastAsia="Verdana" w:cs="Verdana"/>
          <w:color w:val="000000" w:themeColor="text1"/>
        </w:rPr>
        <w:t>Er resteert nog een voorschot van € 215,8 miljoen (ex. btw) van een eerdere betaling uit 2019. Dit is met de laatste betaling voor de vergoeding Norg verrekend. Hierdoor ontstaat een meevaller van € 257,5 miljoen</w:t>
      </w:r>
      <w:r w:rsidRPr="00357B7B">
        <w:rPr>
          <w:rFonts w:eastAsia="Verdana" w:cs="Verdana"/>
          <w:i/>
          <w:iCs/>
          <w:color w:val="000000" w:themeColor="text1"/>
        </w:rPr>
        <w:t>.</w:t>
      </w:r>
      <w:r w:rsidRPr="00357B7B">
        <w:rPr>
          <w:rFonts w:eastAsia="Verdana" w:cs="Verdana"/>
          <w:i/>
          <w:iCs/>
          <w:color w:val="000000" w:themeColor="text1"/>
        </w:rPr>
        <w:br/>
      </w:r>
      <w:r w:rsidRPr="00357B7B">
        <w:rPr>
          <w:rFonts w:eastAsia="Verdana" w:cs="Verdana"/>
          <w:i/>
          <w:iCs/>
        </w:rPr>
        <w:br/>
      </w:r>
      <w:r w:rsidRPr="00357B7B">
        <w:rPr>
          <w:rFonts w:eastAsia="Verdana" w:cs="Verdana"/>
          <w:i/>
          <w:iCs/>
        </w:rPr>
        <w:br/>
        <w:t>Overschrijding uitgaven immateriële schade</w:t>
      </w:r>
      <w:r w:rsidRPr="00357B7B">
        <w:br/>
      </w:r>
      <w:r w:rsidRPr="00357B7B">
        <w:rPr>
          <w:rFonts w:eastAsia="Verdana" w:cs="Verdana"/>
        </w:rPr>
        <w:t>Er zijn meer aanvragen ontvangen voor de regelingen immateriële schade (IMS) en immateriële schade kinderen en jongeren (IMKJ), dan opgenomen in de ramingen voor 2024. Dit leidt tot een overschrijding van het budget van € 5 miljoen.</w:t>
      </w:r>
      <w:r w:rsidRPr="00357B7B">
        <w:rPr>
          <w:rFonts w:eastAsia="Verdana" w:cs="Verdana"/>
        </w:rPr>
        <w:br/>
      </w:r>
      <w:r w:rsidRPr="00357B7B">
        <w:rPr>
          <w:rFonts w:eastAsia="Verdana" w:cs="Verdana"/>
        </w:rPr>
        <w:br/>
      </w:r>
      <w:r w:rsidRPr="00357B7B">
        <w:rPr>
          <w:rFonts w:eastAsia="Verdana" w:cs="Verdana"/>
          <w:i/>
          <w:iCs/>
        </w:rPr>
        <w:t>Overschrijding verplichtingen &amp; uitgaven budget Duurzaam herstel</w:t>
      </w:r>
      <w:r w:rsidRPr="00357B7B">
        <w:br/>
      </w:r>
      <w:r w:rsidRPr="00357B7B">
        <w:rPr>
          <w:rFonts w:eastAsia="Verdana" w:cs="Verdana"/>
          <w:color w:val="000000" w:themeColor="text1"/>
        </w:rPr>
        <w:t>De regeling Duurzaam herstel is in 2024 op gang gekomen. Dit is sneller gegaan dan verwacht, waardoor enkele dossiers in 2024 tot uitbetaling komen, in plaats van in 2025. Dit zorgt voor een kasoverschrijding van € 7,6 miljoen en een overschrijding op het verplichtingenbudget van € 12,6 miljoen.</w:t>
      </w:r>
      <w:r w:rsidRPr="00357B7B">
        <w:rPr>
          <w:rFonts w:eastAsia="Verdana" w:cs="Verdana"/>
          <w:color w:val="000000" w:themeColor="text1"/>
        </w:rPr>
        <w:br/>
      </w:r>
      <w:r w:rsidRPr="00357B7B">
        <w:rPr>
          <w:rFonts w:eastAsia="Verdana" w:cs="Verdana"/>
          <w:color w:val="000000" w:themeColor="text1"/>
        </w:rPr>
        <w:br/>
      </w:r>
      <w:r w:rsidRPr="00357B7B">
        <w:rPr>
          <w:rFonts w:eastAsia="Verdana" w:cs="Verdana"/>
          <w:i/>
          <w:iCs/>
        </w:rPr>
        <w:t>Overschrijding knelpuntenbudget IMG</w:t>
      </w:r>
      <w:r w:rsidRPr="00357B7B">
        <w:br/>
      </w:r>
      <w:r w:rsidRPr="00357B7B">
        <w:rPr>
          <w:rFonts w:eastAsia="Verdana" w:cs="Verdana"/>
          <w:color w:val="000000" w:themeColor="text1"/>
        </w:rPr>
        <w:t xml:space="preserve">Eind 2023 kregen bewoners die bezwaar hebben gemaakt tegen een besluit voor de afhandeling van fysieke schade, een aanbod waarmee hun bezwaarzaak snel en eenvoudig afgehandeld kon worden. De kosten voor deze regeling worden omgeboekt naar de </w:t>
      </w:r>
      <w:proofErr w:type="spellStart"/>
      <w:r w:rsidRPr="00357B7B">
        <w:rPr>
          <w:rFonts w:eastAsia="Verdana" w:cs="Verdana"/>
          <w:color w:val="000000" w:themeColor="text1"/>
        </w:rPr>
        <w:t>knelpuntenpot</w:t>
      </w:r>
      <w:proofErr w:type="spellEnd"/>
      <w:r w:rsidRPr="00357B7B">
        <w:rPr>
          <w:rFonts w:eastAsia="Verdana" w:cs="Verdana"/>
          <w:color w:val="000000" w:themeColor="text1"/>
        </w:rPr>
        <w:t>. Hierdoor zal zowel het verplichtingen als het realisatiebudget van het knelpuntenbudget IMG overschreden worden met € 2,3 miljoen.</w:t>
      </w:r>
      <w:r w:rsidRPr="00357B7B">
        <w:rPr>
          <w:rFonts w:eastAsia="Verdana" w:cs="Verdana"/>
          <w:color w:val="000000" w:themeColor="text1"/>
        </w:rPr>
        <w:br/>
      </w:r>
      <w:r w:rsidRPr="00357B7B">
        <w:rPr>
          <w:rFonts w:eastAsia="Verdana" w:cs="Verdana"/>
          <w:color w:val="000000" w:themeColor="text1"/>
        </w:rPr>
        <w:br/>
      </w:r>
      <w:r w:rsidRPr="00357B7B">
        <w:rPr>
          <w:rFonts w:eastAsia="Verdana" w:cs="Verdana"/>
          <w:i/>
          <w:iCs/>
          <w:color w:val="000000" w:themeColor="text1"/>
        </w:rPr>
        <w:t>Lagere dividenduitkering EBN</w:t>
      </w:r>
      <w:r w:rsidRPr="00357B7B">
        <w:br/>
      </w:r>
      <w:r w:rsidRPr="00357B7B">
        <w:rPr>
          <w:rFonts w:eastAsia="Verdana" w:cs="Verdana"/>
          <w:color w:val="000000" w:themeColor="text1"/>
        </w:rPr>
        <w:t xml:space="preserve">De dividenduitkering EBN is lager dan verwacht. Dit wordt veroorzaakt door een hogere voorziening die EBN heeft moeten treffen voor de uitvoer van de wettelijke taak ‘opruimverplichtingen’. </w:t>
      </w:r>
    </w:p>
    <w:bookmarkEnd w:id="1"/>
    <w:p w:rsidRPr="00357B7B" w:rsidR="00F4401C" w:rsidP="00F4401C" w:rsidRDefault="00F4401C" w14:paraId="50B3B1B8" w14:textId="77777777">
      <w:pPr>
        <w:rPr>
          <w:b/>
          <w:bCs/>
        </w:rPr>
      </w:pPr>
    </w:p>
    <w:p w:rsidR="00F4401C" w:rsidP="00357B7B" w:rsidRDefault="00357B7B" w14:paraId="2EA6087A" w14:textId="595A9BC0">
      <w:pPr>
        <w:pStyle w:val="Geenafstand"/>
      </w:pPr>
      <w:r>
        <w:t>De m</w:t>
      </w:r>
      <w:r w:rsidRPr="00357B7B" w:rsidR="00F4401C">
        <w:t>inister van Economische Zaken</w:t>
      </w:r>
      <w:r>
        <w:t>,</w:t>
      </w:r>
    </w:p>
    <w:p w:rsidRPr="00357B7B" w:rsidR="00357B7B" w:rsidP="00357B7B" w:rsidRDefault="00357B7B" w14:paraId="4CBA0F8A" w14:textId="362B6018">
      <w:pPr>
        <w:pStyle w:val="Geenafstand"/>
      </w:pPr>
      <w:r>
        <w:t xml:space="preserve">D.S. </w:t>
      </w:r>
      <w:proofErr w:type="spellStart"/>
      <w:r w:rsidRPr="00357B7B">
        <w:t>Beljaarts</w:t>
      </w:r>
      <w:proofErr w:type="spellEnd"/>
    </w:p>
    <w:p w:rsidR="00357B7B" w:rsidP="00357B7B" w:rsidRDefault="00357B7B" w14:paraId="25635064" w14:textId="77777777">
      <w:pPr>
        <w:pStyle w:val="Geenafstand"/>
      </w:pPr>
    </w:p>
    <w:p w:rsidR="00F4401C" w:rsidP="00357B7B" w:rsidRDefault="00357B7B" w14:paraId="5251144A" w14:textId="03931E4E">
      <w:pPr>
        <w:pStyle w:val="Geenafstand"/>
      </w:pPr>
      <w:r>
        <w:t>De m</w:t>
      </w:r>
      <w:r w:rsidRPr="00357B7B" w:rsidR="00F4401C">
        <w:t>inister van Klimaat en Groene Groei</w:t>
      </w:r>
      <w:r>
        <w:t>,</w:t>
      </w:r>
    </w:p>
    <w:p w:rsidRPr="00357B7B" w:rsidR="00357B7B" w:rsidP="00357B7B" w:rsidRDefault="00357B7B" w14:paraId="57897FC2" w14:textId="07DBD85A">
      <w:pPr>
        <w:pStyle w:val="Geenafstand"/>
      </w:pPr>
      <w:r>
        <w:t>S.T.M.</w:t>
      </w:r>
      <w:r w:rsidRPr="00357B7B">
        <w:t xml:space="preserve"> Hermans</w:t>
      </w:r>
    </w:p>
    <w:p w:rsidRPr="00357B7B" w:rsidR="00357B7B" w:rsidP="00F4401C" w:rsidRDefault="00357B7B" w14:paraId="5E17F11B" w14:textId="77777777">
      <w:pPr>
        <w:rPr>
          <w:rFonts w:eastAsia="Verdana" w:cs="Verdana"/>
          <w:color w:val="000000" w:themeColor="text1"/>
        </w:rPr>
      </w:pPr>
    </w:p>
    <w:p w:rsidRPr="00357B7B" w:rsidR="00F4401C" w:rsidP="00F4401C" w:rsidRDefault="00F4401C" w14:paraId="0B844E6D" w14:textId="77777777"/>
    <w:p w:rsidRPr="00357B7B" w:rsidR="00F4401C" w:rsidP="00F4401C" w:rsidRDefault="00F4401C" w14:paraId="6DC16285" w14:textId="77777777"/>
    <w:p w:rsidRPr="00357B7B" w:rsidR="00E6311E" w:rsidRDefault="00E6311E" w14:paraId="2EED67A0" w14:textId="77777777"/>
    <w:sectPr w:rsidRPr="00357B7B" w:rsidR="00E6311E" w:rsidSect="00F4401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2B71" w14:textId="77777777" w:rsidR="00F4401C" w:rsidRDefault="00F4401C" w:rsidP="00F4401C">
      <w:pPr>
        <w:spacing w:after="0" w:line="240" w:lineRule="auto"/>
      </w:pPr>
      <w:r>
        <w:separator/>
      </w:r>
    </w:p>
  </w:endnote>
  <w:endnote w:type="continuationSeparator" w:id="0">
    <w:p w14:paraId="58D7C2B7" w14:textId="77777777" w:rsidR="00F4401C" w:rsidRDefault="00F4401C" w:rsidP="00F4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0D43" w14:textId="77777777" w:rsidR="00F4401C" w:rsidRPr="00F4401C" w:rsidRDefault="00F4401C" w:rsidP="00F440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FC98" w14:textId="77777777" w:rsidR="00F4401C" w:rsidRPr="00F4401C" w:rsidRDefault="00F4401C" w:rsidP="00F440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8E6D" w14:textId="77777777" w:rsidR="00F4401C" w:rsidRPr="00F4401C" w:rsidRDefault="00F4401C" w:rsidP="00F440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DDA2" w14:textId="77777777" w:rsidR="00F4401C" w:rsidRDefault="00F4401C" w:rsidP="00F4401C">
      <w:pPr>
        <w:spacing w:after="0" w:line="240" w:lineRule="auto"/>
      </w:pPr>
      <w:r>
        <w:separator/>
      </w:r>
    </w:p>
  </w:footnote>
  <w:footnote w:type="continuationSeparator" w:id="0">
    <w:p w14:paraId="294BB737" w14:textId="77777777" w:rsidR="00F4401C" w:rsidRDefault="00F4401C" w:rsidP="00F4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FA8E" w14:textId="77777777" w:rsidR="00F4401C" w:rsidRPr="00F4401C" w:rsidRDefault="00F4401C" w:rsidP="00F440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3E9F" w14:textId="77777777" w:rsidR="00F4401C" w:rsidRPr="00F4401C" w:rsidRDefault="00F4401C" w:rsidP="00F440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840B" w14:textId="77777777" w:rsidR="00F4401C" w:rsidRPr="00F4401C" w:rsidRDefault="00F4401C" w:rsidP="00F440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1C"/>
    <w:rsid w:val="0025703A"/>
    <w:rsid w:val="00357B7B"/>
    <w:rsid w:val="00357BDE"/>
    <w:rsid w:val="00747638"/>
    <w:rsid w:val="00C57495"/>
    <w:rsid w:val="00E6311E"/>
    <w:rsid w:val="00F44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CAB9"/>
  <w15:chartTrackingRefBased/>
  <w15:docId w15:val="{D0C787C7-4AB6-418B-B0D4-B9592761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4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4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40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40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40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40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40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40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40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40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40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40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40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40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40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40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40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401C"/>
    <w:rPr>
      <w:rFonts w:eastAsiaTheme="majorEastAsia" w:cstheme="majorBidi"/>
      <w:color w:val="272727" w:themeColor="text1" w:themeTint="D8"/>
    </w:rPr>
  </w:style>
  <w:style w:type="paragraph" w:styleId="Titel">
    <w:name w:val="Title"/>
    <w:basedOn w:val="Standaard"/>
    <w:next w:val="Standaard"/>
    <w:link w:val="TitelChar"/>
    <w:uiPriority w:val="10"/>
    <w:qFormat/>
    <w:rsid w:val="00F44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40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40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40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40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401C"/>
    <w:rPr>
      <w:i/>
      <w:iCs/>
      <w:color w:val="404040" w:themeColor="text1" w:themeTint="BF"/>
    </w:rPr>
  </w:style>
  <w:style w:type="paragraph" w:styleId="Lijstalinea">
    <w:name w:val="List Paragraph"/>
    <w:basedOn w:val="Standaard"/>
    <w:uiPriority w:val="34"/>
    <w:qFormat/>
    <w:rsid w:val="00F4401C"/>
    <w:pPr>
      <w:ind w:left="720"/>
      <w:contextualSpacing/>
    </w:pPr>
  </w:style>
  <w:style w:type="character" w:styleId="Intensievebenadrukking">
    <w:name w:val="Intense Emphasis"/>
    <w:basedOn w:val="Standaardalinea-lettertype"/>
    <w:uiPriority w:val="21"/>
    <w:qFormat/>
    <w:rsid w:val="00F4401C"/>
    <w:rPr>
      <w:i/>
      <w:iCs/>
      <w:color w:val="0F4761" w:themeColor="accent1" w:themeShade="BF"/>
    </w:rPr>
  </w:style>
  <w:style w:type="paragraph" w:styleId="Duidelijkcitaat">
    <w:name w:val="Intense Quote"/>
    <w:basedOn w:val="Standaard"/>
    <w:next w:val="Standaard"/>
    <w:link w:val="DuidelijkcitaatChar"/>
    <w:uiPriority w:val="30"/>
    <w:qFormat/>
    <w:rsid w:val="00F44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401C"/>
    <w:rPr>
      <w:i/>
      <w:iCs/>
      <w:color w:val="0F4761" w:themeColor="accent1" w:themeShade="BF"/>
    </w:rPr>
  </w:style>
  <w:style w:type="character" w:styleId="Intensieveverwijzing">
    <w:name w:val="Intense Reference"/>
    <w:basedOn w:val="Standaardalinea-lettertype"/>
    <w:uiPriority w:val="32"/>
    <w:qFormat/>
    <w:rsid w:val="00F4401C"/>
    <w:rPr>
      <w:b/>
      <w:bCs/>
      <w:smallCaps/>
      <w:color w:val="0F4761" w:themeColor="accent1" w:themeShade="BF"/>
      <w:spacing w:val="5"/>
    </w:rPr>
  </w:style>
  <w:style w:type="paragraph" w:styleId="Koptekst">
    <w:name w:val="header"/>
    <w:basedOn w:val="Standaard"/>
    <w:link w:val="KoptekstChar1"/>
    <w:rsid w:val="00F440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4401C"/>
  </w:style>
  <w:style w:type="paragraph" w:styleId="Voettekst">
    <w:name w:val="footer"/>
    <w:basedOn w:val="Standaard"/>
    <w:link w:val="VoettekstChar1"/>
    <w:rsid w:val="00F440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4401C"/>
  </w:style>
  <w:style w:type="table" w:styleId="Tabelraster">
    <w:name w:val="Table Grid"/>
    <w:basedOn w:val="Standaardtabel"/>
    <w:uiPriority w:val="59"/>
    <w:rsid w:val="00F4401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F440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401C"/>
    <w:rPr>
      <w:rFonts w:ascii="Verdana" w:hAnsi="Verdana"/>
      <w:noProof/>
      <w:sz w:val="13"/>
      <w:szCs w:val="24"/>
      <w:lang w:eastAsia="nl-NL"/>
    </w:rPr>
  </w:style>
  <w:style w:type="paragraph" w:customStyle="1" w:styleId="Huisstijl-Gegeven">
    <w:name w:val="Huisstijl-Gegeven"/>
    <w:basedOn w:val="Standaard"/>
    <w:link w:val="Huisstijl-GegevenCharChar"/>
    <w:rsid w:val="00F440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40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4401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4401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4401C"/>
    <w:pPr>
      <w:spacing w:after="0"/>
    </w:pPr>
    <w:rPr>
      <w:b/>
    </w:rPr>
  </w:style>
  <w:style w:type="paragraph" w:customStyle="1" w:styleId="Huisstijl-Paginanummering">
    <w:name w:val="Huisstijl-Paginanummering"/>
    <w:basedOn w:val="Standaard"/>
    <w:rsid w:val="00F4401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4401C"/>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4401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4401C"/>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357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1113</ap:Words>
  <ap:Characters>6124</ap:Characters>
  <ap:DocSecurity>0</ap:DocSecurity>
  <ap:Lines>51</ap:Lines>
  <ap:Paragraphs>14</ap:Paragraphs>
  <ap:ScaleCrop>false</ap:ScaleCrop>
  <ap:LinksUpToDate>false</ap:LinksUpToDate>
  <ap:CharactersWithSpaces>7223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2024-12-17T11:02:00.0000000Z</dcterms:created>
  <dcterms:modified xsi:type="dcterms:W3CDTF">2024-12-17T11:02:00.0000000Z</dcterms:modified>
  <version/>
  <category/>
</coreProperties>
</file>