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E60E2D" w14:paraId="121A652A" w14:textId="77777777">
        <w:tc>
          <w:tcPr>
            <w:tcW w:w="8717" w:type="dxa"/>
            <w:gridSpan w:val="2"/>
            <w:tcBorders>
              <w:top w:val="nil"/>
              <w:left w:val="nil"/>
              <w:bottom w:val="nil"/>
              <w:right w:val="nil"/>
            </w:tcBorders>
            <w:vAlign w:val="center"/>
          </w:tcPr>
          <w:p w:rsidR="00470846" w:rsidP="00FB349A" w:rsidRDefault="00470846" w14:paraId="6788DBDE"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0867D31B"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E60E2D" w14:paraId="51698CD4" w14:textId="77777777">
        <w:trPr>
          <w:cantSplit/>
        </w:trPr>
        <w:tc>
          <w:tcPr>
            <w:tcW w:w="10348" w:type="dxa"/>
            <w:gridSpan w:val="3"/>
            <w:tcBorders>
              <w:top w:val="single" w:color="auto" w:sz="4" w:space="0"/>
              <w:left w:val="nil"/>
              <w:bottom w:val="nil"/>
              <w:right w:val="nil"/>
            </w:tcBorders>
          </w:tcPr>
          <w:p w:rsidR="00470846" w:rsidP="00F9022B" w:rsidRDefault="00833C90" w14:paraId="19A7B222"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E60E2D" w14:paraId="7D38130E" w14:textId="77777777">
        <w:trPr>
          <w:cantSplit/>
        </w:trPr>
        <w:tc>
          <w:tcPr>
            <w:tcW w:w="10348" w:type="dxa"/>
            <w:gridSpan w:val="3"/>
            <w:tcBorders>
              <w:top w:val="nil"/>
              <w:left w:val="nil"/>
              <w:bottom w:val="single" w:color="auto" w:sz="4" w:space="0"/>
              <w:right w:val="nil"/>
            </w:tcBorders>
          </w:tcPr>
          <w:p w:rsidR="00470846" w:rsidP="00F8109A" w:rsidRDefault="00470846" w14:paraId="538A56FD" w14:textId="77777777">
            <w:pPr>
              <w:pStyle w:val="Amendement"/>
              <w:tabs>
                <w:tab w:val="clear" w:pos="3310"/>
                <w:tab w:val="clear" w:pos="3600"/>
              </w:tabs>
              <w:rPr>
                <w:rFonts w:ascii="Times New Roman" w:hAnsi="Times New Roman"/>
              </w:rPr>
            </w:pPr>
          </w:p>
        </w:tc>
      </w:tr>
      <w:tr w:rsidR="00470846" w:rsidTr="00E60E2D" w14:paraId="74C283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B3FF68C"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0FE23972" w14:textId="77777777">
            <w:pPr>
              <w:suppressAutoHyphens/>
              <w:rPr>
                <w:rFonts w:ascii="Times New Roman" w:hAnsi="Times New Roman"/>
                <w:b/>
              </w:rPr>
            </w:pPr>
          </w:p>
        </w:tc>
      </w:tr>
      <w:tr w:rsidR="00470846" w:rsidTr="00E60E2D" w14:paraId="6A1DBF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Pr="006F18F7" w:rsidR="00470846" w:rsidP="00FB349A" w:rsidRDefault="00F10889" w14:paraId="652D9C72" w14:textId="29A47E24">
            <w:pPr>
              <w:pStyle w:val="Amendement"/>
              <w:tabs>
                <w:tab w:val="clear" w:pos="3310"/>
                <w:tab w:val="clear" w:pos="3600"/>
              </w:tabs>
              <w:rPr>
                <w:rFonts w:ascii="Times New Roman" w:hAnsi="Times New Roman"/>
                <w:highlight w:val="yellow"/>
              </w:rPr>
            </w:pPr>
            <w:r w:rsidRPr="00F10889">
              <w:rPr>
                <w:rFonts w:ascii="Times New Roman" w:hAnsi="Times New Roman"/>
              </w:rPr>
              <w:t>36 600</w:t>
            </w:r>
            <w:r>
              <w:rPr>
                <w:rFonts w:ascii="Times New Roman" w:hAnsi="Times New Roman"/>
              </w:rPr>
              <w:t xml:space="preserve"> III</w:t>
            </w:r>
          </w:p>
        </w:tc>
        <w:tc>
          <w:tcPr>
            <w:tcW w:w="7654" w:type="dxa"/>
            <w:gridSpan w:val="2"/>
          </w:tcPr>
          <w:p w:rsidRPr="00B36EDF" w:rsidR="00470846" w:rsidP="00B36EDF" w:rsidRDefault="00F10889" w14:paraId="21D7AD3D" w14:textId="2C05F34A">
            <w:pPr>
              <w:rPr>
                <w:rFonts w:ascii="Times New Roman" w:hAnsi="Times New Roman"/>
                <w:b/>
                <w:bCs/>
                <w:szCs w:val="24"/>
              </w:rPr>
            </w:pPr>
            <w:r w:rsidRPr="00F10889">
              <w:rPr>
                <w:rFonts w:ascii="Times New Roman" w:hAnsi="Times New Roman"/>
                <w:b/>
                <w:bCs/>
                <w:szCs w:val="24"/>
              </w:rPr>
              <w:t>Vaststelling van de begrotingsstaat van het Ministerie van Algemene Zaken (IIIA), de begrotingsstaat van het Kabinet van de Koning (IIIB) en de begrotingsstaat van de Commissie van Toezicht op de Inlichtingen- en Veiligheidsdiensten (IIIC) voor het jaar 2025</w:t>
            </w:r>
          </w:p>
        </w:tc>
      </w:tr>
      <w:tr w:rsidR="00470846" w:rsidTr="00E60E2D" w14:paraId="11BB16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Pr="006F18F7" w:rsidR="00470846" w:rsidP="00FB349A" w:rsidRDefault="00470846" w14:paraId="6F0725B9" w14:textId="77777777">
            <w:pPr>
              <w:pStyle w:val="Amendement"/>
              <w:tabs>
                <w:tab w:val="clear" w:pos="3310"/>
                <w:tab w:val="clear" w:pos="3600"/>
              </w:tabs>
              <w:rPr>
                <w:rFonts w:ascii="Times New Roman" w:hAnsi="Times New Roman"/>
                <w:highlight w:val="yellow"/>
              </w:rPr>
            </w:pPr>
          </w:p>
        </w:tc>
        <w:tc>
          <w:tcPr>
            <w:tcW w:w="7654" w:type="dxa"/>
            <w:gridSpan w:val="2"/>
          </w:tcPr>
          <w:p w:rsidR="00470846" w:rsidP="00FB349A" w:rsidRDefault="00470846" w14:paraId="003F26AB" w14:textId="77777777">
            <w:pPr>
              <w:pStyle w:val="Amendement"/>
              <w:tabs>
                <w:tab w:val="clear" w:pos="3310"/>
                <w:tab w:val="clear" w:pos="3600"/>
              </w:tabs>
              <w:rPr>
                <w:rFonts w:ascii="Times New Roman" w:hAnsi="Times New Roman"/>
              </w:rPr>
            </w:pPr>
          </w:p>
        </w:tc>
      </w:tr>
      <w:tr w:rsidR="00470846" w:rsidTr="00E60E2D" w14:paraId="519F9C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Pr="006F18F7" w:rsidR="00470846" w:rsidP="00FB349A" w:rsidRDefault="00470846" w14:paraId="51558FA7" w14:textId="3BC23F1B">
            <w:pPr>
              <w:pStyle w:val="Amendement"/>
              <w:tabs>
                <w:tab w:val="clear" w:pos="3310"/>
                <w:tab w:val="clear" w:pos="3600"/>
              </w:tabs>
              <w:rPr>
                <w:rFonts w:ascii="Times New Roman" w:hAnsi="Times New Roman"/>
                <w:highlight w:val="yellow"/>
              </w:rPr>
            </w:pPr>
            <w:r w:rsidRPr="00F10889">
              <w:rPr>
                <w:rFonts w:ascii="Times New Roman" w:hAnsi="Times New Roman"/>
              </w:rPr>
              <w:t xml:space="preserve">Nr. </w:t>
            </w:r>
            <w:r w:rsidR="00441EA1">
              <w:rPr>
                <w:rFonts w:ascii="Times New Roman" w:hAnsi="Times New Roman"/>
              </w:rPr>
              <w:t>12</w:t>
            </w:r>
          </w:p>
        </w:tc>
        <w:tc>
          <w:tcPr>
            <w:tcW w:w="7654" w:type="dxa"/>
            <w:gridSpan w:val="2"/>
          </w:tcPr>
          <w:p w:rsidRPr="001A2A63" w:rsidR="00470846" w:rsidP="00FB349A" w:rsidRDefault="00470846" w14:paraId="5A74E5C5" w14:textId="68F101D0">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w:t>
            </w:r>
            <w:r w:rsidR="00F10889">
              <w:rPr>
                <w:rFonts w:ascii="Times New Roman" w:hAnsi="Times New Roman"/>
                <w:caps/>
              </w:rPr>
              <w:t>het lid bontenbal c.s.</w:t>
            </w:r>
          </w:p>
        </w:tc>
      </w:tr>
      <w:tr w:rsidR="00470846" w:rsidTr="00E60E2D" w14:paraId="0C866E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33FA2C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6B53E509" w14:textId="6AF40126">
            <w:pPr>
              <w:pStyle w:val="Amendement"/>
              <w:tabs>
                <w:tab w:val="clear" w:pos="3310"/>
                <w:tab w:val="clear" w:pos="3600"/>
              </w:tabs>
              <w:rPr>
                <w:rFonts w:ascii="Times New Roman" w:hAnsi="Times New Roman"/>
              </w:rPr>
            </w:pPr>
            <w:r>
              <w:rPr>
                <w:rFonts w:ascii="Times New Roman" w:hAnsi="Times New Roman"/>
                <w:b w:val="0"/>
              </w:rPr>
              <w:t xml:space="preserve">Ontvangen </w:t>
            </w:r>
            <w:r w:rsidR="00E8731A">
              <w:rPr>
                <w:rFonts w:ascii="Times New Roman" w:hAnsi="Times New Roman"/>
                <w:b w:val="0"/>
              </w:rPr>
              <w:t>1</w:t>
            </w:r>
            <w:r w:rsidR="002220BC">
              <w:rPr>
                <w:rFonts w:ascii="Times New Roman" w:hAnsi="Times New Roman"/>
                <w:b w:val="0"/>
              </w:rPr>
              <w:t>2</w:t>
            </w:r>
            <w:r w:rsidR="00A50190">
              <w:rPr>
                <w:rFonts w:ascii="Times New Roman" w:hAnsi="Times New Roman"/>
                <w:b w:val="0"/>
              </w:rPr>
              <w:t xml:space="preserve"> december 2024</w:t>
            </w:r>
          </w:p>
        </w:tc>
      </w:tr>
      <w:tr w:rsidR="00470846" w:rsidTr="00E60E2D" w14:paraId="0E4F75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C3C8697"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59042014" w14:textId="77777777">
            <w:pPr>
              <w:pStyle w:val="Amendement"/>
              <w:tabs>
                <w:tab w:val="clear" w:pos="3310"/>
                <w:tab w:val="clear" w:pos="3600"/>
              </w:tabs>
              <w:rPr>
                <w:rFonts w:ascii="Times New Roman" w:hAnsi="Times New Roman"/>
                <w:b w:val="0"/>
              </w:rPr>
            </w:pPr>
          </w:p>
        </w:tc>
      </w:tr>
      <w:tr w:rsidR="009E6185" w:rsidTr="00E60E2D" w14:paraId="3A7B0F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19505935" w14:textId="5D7E46B0">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6821AE">
              <w:rPr>
                <w:rFonts w:ascii="Times New Roman" w:hAnsi="Times New Roman"/>
                <w:b w:val="0"/>
              </w:rPr>
              <w:t>n</w:t>
            </w:r>
            <w:r>
              <w:rPr>
                <w:rFonts w:ascii="Times New Roman" w:hAnsi="Times New Roman"/>
                <w:b w:val="0"/>
              </w:rPr>
              <w:t xml:space="preserve"> stel</w:t>
            </w:r>
            <w:r w:rsidR="006821AE">
              <w:rPr>
                <w:rFonts w:ascii="Times New Roman" w:hAnsi="Times New Roman"/>
                <w:b w:val="0"/>
              </w:rPr>
              <w:t>len</w:t>
            </w:r>
            <w:r>
              <w:rPr>
                <w:rFonts w:ascii="Times New Roman" w:hAnsi="Times New Roman"/>
                <w:b w:val="0"/>
              </w:rPr>
              <w:t xml:space="preserve"> het volgende amendement voor:</w:t>
            </w:r>
          </w:p>
        </w:tc>
      </w:tr>
      <w:tr w:rsidR="00470846" w:rsidTr="00E60E2D" w14:paraId="70734F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E186696"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29244B8E" w14:textId="77777777">
            <w:pPr>
              <w:pStyle w:val="Amendement"/>
              <w:tabs>
                <w:tab w:val="clear" w:pos="3310"/>
                <w:tab w:val="clear" w:pos="3600"/>
              </w:tabs>
              <w:rPr>
                <w:rFonts w:ascii="Times New Roman" w:hAnsi="Times New Roman"/>
                <w:b w:val="0"/>
              </w:rPr>
            </w:pPr>
          </w:p>
        </w:tc>
      </w:tr>
    </w:tbl>
    <w:p w:rsidRPr="004D4BCF" w:rsidR="00E8731A" w:rsidP="002220BC" w:rsidRDefault="00470846" w14:paraId="3BCCC4A4" w14:textId="25B3D620">
      <w:pPr>
        <w:ind w:firstLine="284"/>
        <w:rPr>
          <w:rFonts w:ascii="Times New Roman" w:hAnsi="Times New Roman"/>
        </w:rPr>
      </w:pPr>
      <w:r w:rsidRPr="00E8731A">
        <w:rPr>
          <w:rFonts w:ascii="Times New Roman" w:hAnsi="Times New Roman"/>
        </w:rPr>
        <w:t xml:space="preserve">In </w:t>
      </w:r>
      <w:r w:rsidRPr="00E8731A">
        <w:rPr>
          <w:rFonts w:ascii="Times New Roman" w:hAnsi="Times New Roman"/>
          <w:b/>
        </w:rPr>
        <w:t>artikel</w:t>
      </w:r>
      <w:r w:rsidRPr="00E8731A" w:rsidR="00360974">
        <w:rPr>
          <w:rFonts w:ascii="Times New Roman" w:hAnsi="Times New Roman"/>
          <w:b/>
        </w:rPr>
        <w:t xml:space="preserve"> </w:t>
      </w:r>
      <w:r w:rsidRPr="00F10889" w:rsidR="0009454B">
        <w:rPr>
          <w:rFonts w:ascii="Times New Roman" w:hAnsi="Times New Roman"/>
          <w:b/>
        </w:rPr>
        <w:t>1 Eenheid van het algemeen regeringsbeleid</w:t>
      </w:r>
      <w:r w:rsidRPr="00F10889" w:rsidR="00E8731A">
        <w:rPr>
          <w:rFonts w:ascii="Times New Roman" w:hAnsi="Times New Roman"/>
          <w:b/>
        </w:rPr>
        <w:t xml:space="preserve"> </w:t>
      </w:r>
      <w:r w:rsidRPr="00F10889" w:rsidR="00F10889">
        <w:rPr>
          <w:rFonts w:ascii="Times New Roman" w:hAnsi="Times New Roman"/>
          <w:bCs/>
        </w:rPr>
        <w:t>van de departementale begrotingsstaat van het Ministerie van Algemene Zaken</w:t>
      </w:r>
      <w:r w:rsidR="00F10889">
        <w:rPr>
          <w:rFonts w:ascii="Times New Roman" w:hAnsi="Times New Roman"/>
          <w:bCs/>
        </w:rPr>
        <w:t xml:space="preserve"> (IIIA)</w:t>
      </w:r>
      <w:r w:rsidR="00F10889">
        <w:rPr>
          <w:rFonts w:ascii="Times New Roman" w:hAnsi="Times New Roman"/>
          <w:b/>
        </w:rPr>
        <w:t xml:space="preserve"> </w:t>
      </w:r>
      <w:r w:rsidRPr="004D4BCF">
        <w:rPr>
          <w:rFonts w:ascii="Times New Roman" w:hAnsi="Times New Roman"/>
        </w:rPr>
        <w:t xml:space="preserve">worden het verplichtingenbedrag en het uitgavenbedrag </w:t>
      </w:r>
      <w:r w:rsidR="002220BC">
        <w:rPr>
          <w:rFonts w:ascii="Times New Roman" w:hAnsi="Times New Roman"/>
          <w:b/>
        </w:rPr>
        <w:t>verlaagd</w:t>
      </w:r>
      <w:r w:rsidR="00E8731A">
        <w:rPr>
          <w:rFonts w:ascii="Times New Roman" w:hAnsi="Times New Roman"/>
          <w:b/>
        </w:rPr>
        <w:t xml:space="preserve"> </w:t>
      </w:r>
      <w:r w:rsidRPr="004D4BCF" w:rsidR="005E482A">
        <w:rPr>
          <w:rFonts w:ascii="Times New Roman" w:hAnsi="Times New Roman"/>
        </w:rPr>
        <w:t>met</w:t>
      </w:r>
      <w:r w:rsidRPr="004D4BCF">
        <w:rPr>
          <w:rFonts w:ascii="Times New Roman" w:hAnsi="Times New Roman"/>
          <w:b/>
        </w:rPr>
        <w:t> €</w:t>
      </w:r>
      <w:r w:rsidRPr="004D4BCF" w:rsidR="001A2A63">
        <w:rPr>
          <w:rFonts w:ascii="Times New Roman" w:hAnsi="Times New Roman"/>
          <w:b/>
        </w:rPr>
        <w:t> </w:t>
      </w:r>
      <w:r w:rsidRPr="00F10889" w:rsidR="0009454B">
        <w:rPr>
          <w:rFonts w:ascii="Times New Roman" w:hAnsi="Times New Roman"/>
          <w:b/>
        </w:rPr>
        <w:t>8</w:t>
      </w:r>
      <w:r w:rsidRPr="00F10889" w:rsidR="006F10A8">
        <w:rPr>
          <w:rFonts w:ascii="Times New Roman" w:hAnsi="Times New Roman"/>
          <w:b/>
        </w:rPr>
        <w:t>67</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708AAE2F" w14:textId="77777777">
      <w:pPr>
        <w:rPr>
          <w:rFonts w:ascii="Times New Roman" w:hAnsi="Times New Roman"/>
        </w:rPr>
      </w:pPr>
    </w:p>
    <w:p w:rsidR="00470846" w:rsidP="00FB349A" w:rsidRDefault="00470846" w14:paraId="13493AD6" w14:textId="77777777">
      <w:pPr>
        <w:rPr>
          <w:rFonts w:ascii="Times New Roman" w:hAnsi="Times New Roman"/>
          <w:b/>
        </w:rPr>
      </w:pPr>
      <w:r w:rsidRPr="004D4BCF">
        <w:rPr>
          <w:rFonts w:ascii="Times New Roman" w:hAnsi="Times New Roman"/>
          <w:b/>
        </w:rPr>
        <w:t>Toelichting</w:t>
      </w:r>
    </w:p>
    <w:p w:rsidR="00F10889" w:rsidP="002220BC" w:rsidRDefault="00F10889" w14:paraId="2012E985" w14:textId="77777777">
      <w:pPr>
        <w:rPr>
          <w:rFonts w:ascii="Times New Roman" w:hAnsi="Times New Roman"/>
        </w:rPr>
      </w:pPr>
    </w:p>
    <w:p w:rsidRPr="0049765F" w:rsidR="002220BC" w:rsidP="002220BC" w:rsidRDefault="00FC7D4B" w14:paraId="30BF3857" w14:textId="2B7419EA">
      <w:pPr>
        <w:rPr>
          <w:rFonts w:ascii="Times New Roman" w:hAnsi="Times New Roman"/>
          <w:sz w:val="22"/>
        </w:rPr>
      </w:pPr>
      <w:r>
        <w:rPr>
          <w:rFonts w:ascii="Times New Roman" w:hAnsi="Times New Roman"/>
        </w:rPr>
        <w:t xml:space="preserve">Dit amendement ziet toe op dekking van het maatregelenpakket voor de OCW-begroting. </w:t>
      </w:r>
      <w:r w:rsidR="00D328A3">
        <w:rPr>
          <w:rFonts w:ascii="Times New Roman" w:hAnsi="Times New Roman"/>
        </w:rPr>
        <w:t>De taakstelling wordt primair bereikt door een aanvullende, proportionele korting op het apparaat van de Rijksoverheid, met name op personeelskosten, waarbij politie (bewaken en beveiligen), krijgsmacht, inlichtingen- en veiligheidsdiensten, COA, IND en het rechtsbestel incl. DJI, en uitvoering die ziet op de rechtsbescherming van burgers, zijn uitgezonderd. Hierbij is een bredere, niet-beleidsinhoudelijke invulling door de regering mogelijk, zoals het beperken van de reguliere prijsindexatie.</w:t>
      </w:r>
    </w:p>
    <w:p w:rsidR="00503E8C" w:rsidRDefault="00503E8C" w14:paraId="29317244" w14:textId="0A4CDB6B">
      <w:pPr>
        <w:widowControl/>
        <w:rPr>
          <w:rFonts w:ascii="Times New Roman" w:hAnsi="Times New Roman"/>
          <w:b/>
          <w:bCs/>
        </w:rPr>
      </w:pPr>
    </w:p>
    <w:p w:rsidRPr="002220BC" w:rsidR="002F3248" w:rsidP="002220BC" w:rsidRDefault="00032429" w14:paraId="3D3EB107" w14:textId="32DB927C">
      <w:pPr>
        <w:widowControl/>
        <w:rPr>
          <w:rFonts w:ascii="Times New Roman" w:hAnsi="Times New Roman"/>
          <w:b/>
          <w:bCs/>
        </w:rPr>
      </w:pPr>
      <w:r w:rsidRPr="00032429">
        <w:rPr>
          <w:rFonts w:ascii="Times New Roman" w:hAnsi="Times New Roman"/>
          <w:b/>
          <w:bCs/>
        </w:rPr>
        <w:t xml:space="preserve">Meerjarige budgettaire doorwerking </w:t>
      </w:r>
    </w:p>
    <w:p w:rsidR="00D8215C" w:rsidP="00032429" w:rsidRDefault="00D8215C" w14:paraId="2F6C4EC1" w14:textId="77777777">
      <w:pPr>
        <w:rPr>
          <w:rFonts w:ascii="Times New Roman" w:hAnsi="Times New Roman"/>
          <w:i/>
          <w:iCs/>
        </w:rPr>
      </w:pPr>
    </w:p>
    <w:p w:rsidRPr="00D8215C" w:rsidR="002F3248" w:rsidP="00032429" w:rsidRDefault="00D8215C" w14:paraId="4C577594" w14:textId="5FD1DFC9">
      <w:pPr>
        <w:rPr>
          <w:rFonts w:ascii="Times New Roman" w:hAnsi="Times New Roman"/>
          <w:i/>
          <w:iCs/>
        </w:rPr>
      </w:pPr>
      <w:r>
        <w:rPr>
          <w:rFonts w:ascii="Times New Roman" w:hAnsi="Times New Roman"/>
          <w:i/>
          <w:iCs/>
        </w:rPr>
        <w:t xml:space="preserve">Tabel </w:t>
      </w:r>
      <w:r w:rsidR="002220BC">
        <w:rPr>
          <w:rFonts w:ascii="Times New Roman" w:hAnsi="Times New Roman"/>
          <w:i/>
          <w:iCs/>
        </w:rPr>
        <w:t>1</w:t>
      </w:r>
      <w:r>
        <w:rPr>
          <w:rFonts w:ascii="Times New Roman" w:hAnsi="Times New Roman"/>
          <w:i/>
          <w:iCs/>
        </w:rPr>
        <w:t>. Dekking</w:t>
      </w:r>
    </w:p>
    <w:tbl>
      <w:tblPr>
        <w:tblStyle w:val="Tabelraster"/>
        <w:tblW w:w="9588" w:type="dxa"/>
        <w:tblLayout w:type="fixed"/>
        <w:tblLook w:val="04A0" w:firstRow="1" w:lastRow="0" w:firstColumn="1" w:lastColumn="0" w:noHBand="0" w:noVBand="1"/>
      </w:tblPr>
      <w:tblGrid>
        <w:gridCol w:w="5098"/>
        <w:gridCol w:w="748"/>
        <w:gridCol w:w="748"/>
        <w:gridCol w:w="749"/>
        <w:gridCol w:w="748"/>
        <w:gridCol w:w="749"/>
        <w:gridCol w:w="748"/>
      </w:tblGrid>
      <w:tr w:rsidRPr="002F3248" w:rsidR="00C14471" w:rsidTr="00C14471" w14:paraId="17A38A75" w14:textId="77777777">
        <w:trPr>
          <w:trHeight w:val="300"/>
        </w:trPr>
        <w:tc>
          <w:tcPr>
            <w:tcW w:w="5098" w:type="dxa"/>
            <w:noWrap/>
            <w:hideMark/>
          </w:tcPr>
          <w:p w:rsidRPr="002F3248" w:rsidR="00C14471" w:rsidP="002F3248" w:rsidRDefault="00C14471" w14:paraId="6B119209" w14:textId="77777777">
            <w:pPr>
              <w:rPr>
                <w:rFonts w:ascii="Times New Roman" w:hAnsi="Times New Roman"/>
                <w:b/>
                <w:bCs/>
                <w:sz w:val="22"/>
                <w:szCs w:val="18"/>
              </w:rPr>
            </w:pPr>
            <w:r w:rsidRPr="002F3248">
              <w:rPr>
                <w:rFonts w:ascii="Times New Roman" w:hAnsi="Times New Roman"/>
                <w:b/>
                <w:bCs/>
                <w:sz w:val="22"/>
                <w:szCs w:val="18"/>
              </w:rPr>
              <w:t xml:space="preserve">Dekking (in euro mln.) </w:t>
            </w:r>
          </w:p>
        </w:tc>
        <w:tc>
          <w:tcPr>
            <w:tcW w:w="748" w:type="dxa"/>
            <w:noWrap/>
            <w:hideMark/>
          </w:tcPr>
          <w:p w:rsidRPr="002F3248" w:rsidR="00C14471" w:rsidP="00CA4796" w:rsidRDefault="00C14471" w14:paraId="1C1C5FA7" w14:textId="77777777">
            <w:pPr>
              <w:jc w:val="right"/>
              <w:rPr>
                <w:rFonts w:ascii="Times New Roman" w:hAnsi="Times New Roman"/>
                <w:b/>
                <w:bCs/>
                <w:sz w:val="22"/>
                <w:szCs w:val="18"/>
              </w:rPr>
            </w:pPr>
            <w:r w:rsidRPr="002F3248">
              <w:rPr>
                <w:rFonts w:ascii="Times New Roman" w:hAnsi="Times New Roman"/>
                <w:b/>
                <w:bCs/>
                <w:sz w:val="22"/>
                <w:szCs w:val="18"/>
              </w:rPr>
              <w:t>2025</w:t>
            </w:r>
          </w:p>
        </w:tc>
        <w:tc>
          <w:tcPr>
            <w:tcW w:w="748" w:type="dxa"/>
            <w:noWrap/>
            <w:hideMark/>
          </w:tcPr>
          <w:p w:rsidRPr="002F3248" w:rsidR="00C14471" w:rsidP="00CA4796" w:rsidRDefault="00C14471" w14:paraId="078E513A" w14:textId="77777777">
            <w:pPr>
              <w:jc w:val="right"/>
              <w:rPr>
                <w:rFonts w:ascii="Times New Roman" w:hAnsi="Times New Roman"/>
                <w:b/>
                <w:bCs/>
                <w:sz w:val="22"/>
                <w:szCs w:val="18"/>
              </w:rPr>
            </w:pPr>
            <w:r w:rsidRPr="002F3248">
              <w:rPr>
                <w:rFonts w:ascii="Times New Roman" w:hAnsi="Times New Roman"/>
                <w:b/>
                <w:bCs/>
                <w:sz w:val="22"/>
                <w:szCs w:val="18"/>
              </w:rPr>
              <w:t>2026</w:t>
            </w:r>
          </w:p>
        </w:tc>
        <w:tc>
          <w:tcPr>
            <w:tcW w:w="749" w:type="dxa"/>
            <w:noWrap/>
            <w:hideMark/>
          </w:tcPr>
          <w:p w:rsidRPr="002F3248" w:rsidR="00C14471" w:rsidP="00CA4796" w:rsidRDefault="00C14471" w14:paraId="79CEE373" w14:textId="77777777">
            <w:pPr>
              <w:jc w:val="right"/>
              <w:rPr>
                <w:rFonts w:ascii="Times New Roman" w:hAnsi="Times New Roman"/>
                <w:b/>
                <w:bCs/>
                <w:sz w:val="22"/>
                <w:szCs w:val="18"/>
              </w:rPr>
            </w:pPr>
            <w:r w:rsidRPr="002F3248">
              <w:rPr>
                <w:rFonts w:ascii="Times New Roman" w:hAnsi="Times New Roman"/>
                <w:b/>
                <w:bCs/>
                <w:sz w:val="22"/>
                <w:szCs w:val="18"/>
              </w:rPr>
              <w:t>2027</w:t>
            </w:r>
          </w:p>
        </w:tc>
        <w:tc>
          <w:tcPr>
            <w:tcW w:w="748" w:type="dxa"/>
            <w:noWrap/>
            <w:hideMark/>
          </w:tcPr>
          <w:p w:rsidRPr="002F3248" w:rsidR="00C14471" w:rsidP="00CA4796" w:rsidRDefault="00C14471" w14:paraId="10F8BAA0" w14:textId="77777777">
            <w:pPr>
              <w:jc w:val="right"/>
              <w:rPr>
                <w:rFonts w:ascii="Times New Roman" w:hAnsi="Times New Roman"/>
                <w:b/>
                <w:bCs/>
                <w:sz w:val="22"/>
                <w:szCs w:val="18"/>
              </w:rPr>
            </w:pPr>
            <w:r w:rsidRPr="002F3248">
              <w:rPr>
                <w:rFonts w:ascii="Times New Roman" w:hAnsi="Times New Roman"/>
                <w:b/>
                <w:bCs/>
                <w:sz w:val="22"/>
                <w:szCs w:val="18"/>
              </w:rPr>
              <w:t>2028</w:t>
            </w:r>
          </w:p>
        </w:tc>
        <w:tc>
          <w:tcPr>
            <w:tcW w:w="749" w:type="dxa"/>
            <w:noWrap/>
            <w:hideMark/>
          </w:tcPr>
          <w:p w:rsidRPr="002F3248" w:rsidR="00C14471" w:rsidP="00CA4796" w:rsidRDefault="00C14471" w14:paraId="311C4BBE" w14:textId="77777777">
            <w:pPr>
              <w:jc w:val="right"/>
              <w:rPr>
                <w:rFonts w:ascii="Times New Roman" w:hAnsi="Times New Roman"/>
                <w:b/>
                <w:bCs/>
                <w:sz w:val="22"/>
                <w:szCs w:val="18"/>
              </w:rPr>
            </w:pPr>
            <w:r w:rsidRPr="002F3248">
              <w:rPr>
                <w:rFonts w:ascii="Times New Roman" w:hAnsi="Times New Roman"/>
                <w:b/>
                <w:bCs/>
                <w:sz w:val="22"/>
                <w:szCs w:val="18"/>
              </w:rPr>
              <w:t>2029</w:t>
            </w:r>
          </w:p>
        </w:tc>
        <w:tc>
          <w:tcPr>
            <w:tcW w:w="748" w:type="dxa"/>
            <w:noWrap/>
            <w:hideMark/>
          </w:tcPr>
          <w:p w:rsidRPr="002F3248" w:rsidR="00C14471" w:rsidP="00CA4796" w:rsidRDefault="00C14471" w14:paraId="259273AB" w14:textId="77777777">
            <w:pPr>
              <w:jc w:val="right"/>
              <w:rPr>
                <w:rFonts w:ascii="Times New Roman" w:hAnsi="Times New Roman"/>
                <w:b/>
                <w:bCs/>
                <w:sz w:val="22"/>
                <w:szCs w:val="18"/>
              </w:rPr>
            </w:pPr>
            <w:r w:rsidRPr="002F3248">
              <w:rPr>
                <w:rFonts w:ascii="Times New Roman" w:hAnsi="Times New Roman"/>
                <w:b/>
                <w:bCs/>
                <w:sz w:val="22"/>
                <w:szCs w:val="18"/>
              </w:rPr>
              <w:t>2030</w:t>
            </w:r>
          </w:p>
        </w:tc>
      </w:tr>
      <w:tr w:rsidRPr="002F3248" w:rsidR="00C14471" w:rsidTr="00C14471" w14:paraId="6CA9067E" w14:textId="77777777">
        <w:trPr>
          <w:trHeight w:val="300"/>
        </w:trPr>
        <w:tc>
          <w:tcPr>
            <w:tcW w:w="5098" w:type="dxa"/>
            <w:noWrap/>
            <w:hideMark/>
          </w:tcPr>
          <w:p w:rsidRPr="002F3248" w:rsidR="00C14471" w:rsidP="0009454B" w:rsidRDefault="00C14471" w14:paraId="5C927DFB" w14:textId="5051608A">
            <w:pPr>
              <w:rPr>
                <w:rFonts w:ascii="Times New Roman" w:hAnsi="Times New Roman"/>
                <w:sz w:val="22"/>
                <w:szCs w:val="18"/>
              </w:rPr>
            </w:pPr>
            <w:r w:rsidRPr="0009454B">
              <w:rPr>
                <w:rFonts w:ascii="Times New Roman" w:hAnsi="Times New Roman"/>
                <w:b/>
              </w:rPr>
              <w:t>Eenheid van het algemeen regeringsbeleid</w:t>
            </w:r>
          </w:p>
        </w:tc>
        <w:tc>
          <w:tcPr>
            <w:tcW w:w="748" w:type="dxa"/>
            <w:noWrap/>
            <w:hideMark/>
          </w:tcPr>
          <w:p w:rsidRPr="00D87610" w:rsidR="00C14471" w:rsidP="00CA4796" w:rsidRDefault="00C14471" w14:paraId="7AF7DD66" w14:textId="6C095675">
            <w:pPr>
              <w:jc w:val="right"/>
              <w:rPr>
                <w:rFonts w:ascii="Times New Roman" w:hAnsi="Times New Roman"/>
                <w:sz w:val="22"/>
                <w:szCs w:val="18"/>
              </w:rPr>
            </w:pPr>
            <w:r w:rsidRPr="00D87610">
              <w:rPr>
                <w:rFonts w:ascii="Times New Roman" w:hAnsi="Times New Roman"/>
              </w:rPr>
              <w:t xml:space="preserve"> -1 </w:t>
            </w:r>
          </w:p>
        </w:tc>
        <w:tc>
          <w:tcPr>
            <w:tcW w:w="748" w:type="dxa"/>
            <w:noWrap/>
            <w:hideMark/>
          </w:tcPr>
          <w:p w:rsidRPr="00D87610" w:rsidR="00C14471" w:rsidP="00CA4796" w:rsidRDefault="00C14471" w14:paraId="11F57C62" w14:textId="5C288331">
            <w:pPr>
              <w:jc w:val="right"/>
              <w:rPr>
                <w:rFonts w:ascii="Times New Roman" w:hAnsi="Times New Roman"/>
                <w:sz w:val="22"/>
                <w:szCs w:val="18"/>
              </w:rPr>
            </w:pPr>
            <w:r w:rsidRPr="00D87610">
              <w:rPr>
                <w:rFonts w:ascii="Times New Roman" w:hAnsi="Times New Roman"/>
              </w:rPr>
              <w:t xml:space="preserve"> -1 </w:t>
            </w:r>
          </w:p>
        </w:tc>
        <w:tc>
          <w:tcPr>
            <w:tcW w:w="749" w:type="dxa"/>
            <w:noWrap/>
            <w:hideMark/>
          </w:tcPr>
          <w:p w:rsidRPr="00D87610" w:rsidR="00C14471" w:rsidP="00CA4796" w:rsidRDefault="00C14471" w14:paraId="11B1657D" w14:textId="76FB770F">
            <w:pPr>
              <w:jc w:val="right"/>
              <w:rPr>
                <w:rFonts w:ascii="Times New Roman" w:hAnsi="Times New Roman"/>
                <w:sz w:val="22"/>
                <w:szCs w:val="18"/>
              </w:rPr>
            </w:pPr>
            <w:r w:rsidRPr="00D87610">
              <w:rPr>
                <w:rFonts w:ascii="Times New Roman" w:hAnsi="Times New Roman"/>
              </w:rPr>
              <w:t xml:space="preserve"> -1 </w:t>
            </w:r>
          </w:p>
        </w:tc>
        <w:tc>
          <w:tcPr>
            <w:tcW w:w="748" w:type="dxa"/>
            <w:noWrap/>
            <w:hideMark/>
          </w:tcPr>
          <w:p w:rsidRPr="00D87610" w:rsidR="00C14471" w:rsidP="00CA4796" w:rsidRDefault="00C14471" w14:paraId="5D8F347D" w14:textId="0E358BC4">
            <w:pPr>
              <w:jc w:val="right"/>
              <w:rPr>
                <w:rFonts w:ascii="Times New Roman" w:hAnsi="Times New Roman"/>
                <w:sz w:val="22"/>
                <w:szCs w:val="18"/>
              </w:rPr>
            </w:pPr>
            <w:r w:rsidRPr="00D87610">
              <w:rPr>
                <w:rFonts w:ascii="Times New Roman" w:hAnsi="Times New Roman"/>
              </w:rPr>
              <w:t xml:space="preserve"> -1 </w:t>
            </w:r>
          </w:p>
        </w:tc>
        <w:tc>
          <w:tcPr>
            <w:tcW w:w="749" w:type="dxa"/>
            <w:noWrap/>
            <w:hideMark/>
          </w:tcPr>
          <w:p w:rsidRPr="00D87610" w:rsidR="00C14471" w:rsidP="00CA4796" w:rsidRDefault="00C14471" w14:paraId="59DD9592" w14:textId="1DBEA6A2">
            <w:pPr>
              <w:jc w:val="right"/>
              <w:rPr>
                <w:rFonts w:ascii="Times New Roman" w:hAnsi="Times New Roman"/>
                <w:sz w:val="22"/>
                <w:szCs w:val="18"/>
              </w:rPr>
            </w:pPr>
            <w:r w:rsidRPr="00D87610">
              <w:rPr>
                <w:rFonts w:ascii="Times New Roman" w:hAnsi="Times New Roman"/>
              </w:rPr>
              <w:t xml:space="preserve"> -1 </w:t>
            </w:r>
          </w:p>
        </w:tc>
        <w:tc>
          <w:tcPr>
            <w:tcW w:w="748" w:type="dxa"/>
            <w:noWrap/>
            <w:hideMark/>
          </w:tcPr>
          <w:p w:rsidRPr="00D87610" w:rsidR="00C14471" w:rsidP="00CA4796" w:rsidRDefault="00C14471" w14:paraId="24BFED0A" w14:textId="6D9445A3">
            <w:pPr>
              <w:jc w:val="right"/>
              <w:rPr>
                <w:rFonts w:ascii="Times New Roman" w:hAnsi="Times New Roman"/>
                <w:sz w:val="22"/>
                <w:szCs w:val="18"/>
              </w:rPr>
            </w:pPr>
            <w:r w:rsidRPr="00D87610">
              <w:rPr>
                <w:rFonts w:ascii="Times New Roman" w:hAnsi="Times New Roman"/>
              </w:rPr>
              <w:t xml:space="preserve"> -1 </w:t>
            </w:r>
          </w:p>
        </w:tc>
      </w:tr>
    </w:tbl>
    <w:p w:rsidR="00360974" w:rsidP="00FB349A" w:rsidRDefault="00360974" w14:paraId="254F744A" w14:textId="77777777">
      <w:pPr>
        <w:rPr>
          <w:rFonts w:ascii="Times New Roman" w:hAnsi="Times New Roman"/>
        </w:rPr>
      </w:pPr>
    </w:p>
    <w:p w:rsidR="006821AE" w:rsidP="00FB349A" w:rsidRDefault="00BD2861" w14:paraId="0EE195CD" w14:textId="663607B0">
      <w:pPr>
        <w:rPr>
          <w:rFonts w:ascii="Times New Roman" w:hAnsi="Times New Roman"/>
        </w:rPr>
      </w:pPr>
      <w:r>
        <w:rPr>
          <w:rFonts w:ascii="Times New Roman" w:hAnsi="Times New Roman"/>
        </w:rPr>
        <w:t>Bontenbal</w:t>
      </w:r>
    </w:p>
    <w:p w:rsidR="00BD2861" w:rsidP="00FB349A" w:rsidRDefault="00BD2861" w14:paraId="2AD2514C" w14:textId="69ADB2BC">
      <w:pPr>
        <w:rPr>
          <w:rFonts w:ascii="Times New Roman" w:hAnsi="Times New Roman"/>
        </w:rPr>
      </w:pPr>
      <w:r>
        <w:rPr>
          <w:rFonts w:ascii="Times New Roman" w:hAnsi="Times New Roman"/>
        </w:rPr>
        <w:t>Bikker</w:t>
      </w:r>
    </w:p>
    <w:p w:rsidR="00BD2861" w:rsidP="00FB349A" w:rsidRDefault="00BD2861" w14:paraId="18E663FF" w14:textId="52274605">
      <w:pPr>
        <w:rPr>
          <w:rFonts w:ascii="Times New Roman" w:hAnsi="Times New Roman"/>
        </w:rPr>
      </w:pPr>
      <w:r>
        <w:rPr>
          <w:rFonts w:ascii="Times New Roman" w:hAnsi="Times New Roman"/>
        </w:rPr>
        <w:t>Stoffer</w:t>
      </w:r>
    </w:p>
    <w:p w:rsidRPr="008C2D85" w:rsidR="00BD2861" w:rsidP="00FB349A" w:rsidRDefault="00BD2861" w14:paraId="30EE2010" w14:textId="5B3B02CA">
      <w:pPr>
        <w:rPr>
          <w:rFonts w:ascii="Times New Roman" w:hAnsi="Times New Roman"/>
        </w:rPr>
      </w:pPr>
      <w:r>
        <w:rPr>
          <w:rFonts w:ascii="Times New Roman" w:hAnsi="Times New Roman"/>
        </w:rPr>
        <w:t>Eerdmans</w:t>
      </w:r>
    </w:p>
    <w:sectPr w:rsidRPr="008C2D85" w:rsidR="00BD2861" w:rsidSect="004E34A1">
      <w:endnotePr>
        <w:numFmt w:val="decimal"/>
      </w:endnotePr>
      <w:pgSz w:w="11906" w:h="16838"/>
      <w:pgMar w:top="360" w:right="566" w:bottom="993" w:left="993" w:header="360" w:footer="1440"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189633" w14:textId="77777777" w:rsidR="00202A09" w:rsidRDefault="00202A09">
      <w:pPr>
        <w:spacing w:line="20" w:lineRule="exact"/>
      </w:pPr>
    </w:p>
  </w:endnote>
  <w:endnote w:type="continuationSeparator" w:id="0">
    <w:p w14:paraId="043D666E" w14:textId="77777777" w:rsidR="00202A09" w:rsidRDefault="00202A09">
      <w:pPr>
        <w:pStyle w:val="Amendement"/>
      </w:pPr>
      <w:r>
        <w:rPr>
          <w:b w:val="0"/>
        </w:rPr>
        <w:t xml:space="preserve"> </w:t>
      </w:r>
    </w:p>
  </w:endnote>
  <w:endnote w:type="continuationNotice" w:id="1">
    <w:p w14:paraId="0DD5909C" w14:textId="77777777" w:rsidR="00202A09" w:rsidRDefault="00202A0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E466BA" w14:textId="77777777" w:rsidR="00202A09" w:rsidRDefault="00202A09">
      <w:pPr>
        <w:pStyle w:val="Amendement"/>
      </w:pPr>
      <w:r>
        <w:rPr>
          <w:b w:val="0"/>
        </w:rPr>
        <w:separator/>
      </w:r>
    </w:p>
  </w:footnote>
  <w:footnote w:type="continuationSeparator" w:id="0">
    <w:p w14:paraId="78A0A610" w14:textId="77777777" w:rsidR="00202A09" w:rsidRDefault="00202A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005DC"/>
    <w:multiLevelType w:val="hybridMultilevel"/>
    <w:tmpl w:val="FD043E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9784C59"/>
    <w:multiLevelType w:val="hybridMultilevel"/>
    <w:tmpl w:val="4948E5E4"/>
    <w:lvl w:ilvl="0" w:tplc="C79A161A">
      <w:start w:val="36"/>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20385535">
    <w:abstractNumId w:val="1"/>
  </w:num>
  <w:num w:numId="2" w16cid:durableId="1816026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EDF"/>
    <w:rsid w:val="0003016F"/>
    <w:rsid w:val="00032429"/>
    <w:rsid w:val="000453CE"/>
    <w:rsid w:val="0009454B"/>
    <w:rsid w:val="000C6F39"/>
    <w:rsid w:val="000D2452"/>
    <w:rsid w:val="00105580"/>
    <w:rsid w:val="0011770C"/>
    <w:rsid w:val="00120827"/>
    <w:rsid w:val="00146E70"/>
    <w:rsid w:val="00173380"/>
    <w:rsid w:val="001A2A63"/>
    <w:rsid w:val="001A5AFF"/>
    <w:rsid w:val="001A6B5A"/>
    <w:rsid w:val="001C562D"/>
    <w:rsid w:val="001E2226"/>
    <w:rsid w:val="001F7334"/>
    <w:rsid w:val="00202A09"/>
    <w:rsid w:val="00207254"/>
    <w:rsid w:val="002220BC"/>
    <w:rsid w:val="0023009C"/>
    <w:rsid w:val="002569BB"/>
    <w:rsid w:val="002E494E"/>
    <w:rsid w:val="002F3248"/>
    <w:rsid w:val="003050FF"/>
    <w:rsid w:val="00360974"/>
    <w:rsid w:val="00392ABF"/>
    <w:rsid w:val="003D4FB9"/>
    <w:rsid w:val="003E5927"/>
    <w:rsid w:val="00404486"/>
    <w:rsid w:val="00417365"/>
    <w:rsid w:val="00441EA1"/>
    <w:rsid w:val="00446194"/>
    <w:rsid w:val="00470846"/>
    <w:rsid w:val="0047650D"/>
    <w:rsid w:val="00484516"/>
    <w:rsid w:val="0049765F"/>
    <w:rsid w:val="004B2AE2"/>
    <w:rsid w:val="004C2A57"/>
    <w:rsid w:val="004D4BCF"/>
    <w:rsid w:val="004E34A1"/>
    <w:rsid w:val="00503E8C"/>
    <w:rsid w:val="005C554B"/>
    <w:rsid w:val="005E482A"/>
    <w:rsid w:val="00646211"/>
    <w:rsid w:val="006821AE"/>
    <w:rsid w:val="00691230"/>
    <w:rsid w:val="006F10A8"/>
    <w:rsid w:val="006F18F7"/>
    <w:rsid w:val="006F7681"/>
    <w:rsid w:val="0073114B"/>
    <w:rsid w:val="00736284"/>
    <w:rsid w:val="00741EB2"/>
    <w:rsid w:val="007958E0"/>
    <w:rsid w:val="00833C90"/>
    <w:rsid w:val="008467BE"/>
    <w:rsid w:val="00854DAE"/>
    <w:rsid w:val="00867688"/>
    <w:rsid w:val="008819B7"/>
    <w:rsid w:val="008C2D85"/>
    <w:rsid w:val="00912676"/>
    <w:rsid w:val="00926C70"/>
    <w:rsid w:val="009347C2"/>
    <w:rsid w:val="009A7710"/>
    <w:rsid w:val="009B7581"/>
    <w:rsid w:val="009E6185"/>
    <w:rsid w:val="00A1221C"/>
    <w:rsid w:val="00A50190"/>
    <w:rsid w:val="00B24FC7"/>
    <w:rsid w:val="00B36EDF"/>
    <w:rsid w:val="00B37F45"/>
    <w:rsid w:val="00B54D94"/>
    <w:rsid w:val="00B6508A"/>
    <w:rsid w:val="00BA5DFC"/>
    <w:rsid w:val="00BD2861"/>
    <w:rsid w:val="00BD6436"/>
    <w:rsid w:val="00BE1B3C"/>
    <w:rsid w:val="00C034A0"/>
    <w:rsid w:val="00C11646"/>
    <w:rsid w:val="00C14471"/>
    <w:rsid w:val="00C26FAB"/>
    <w:rsid w:val="00C370AE"/>
    <w:rsid w:val="00C512EE"/>
    <w:rsid w:val="00C5415C"/>
    <w:rsid w:val="00C74FE3"/>
    <w:rsid w:val="00C850D6"/>
    <w:rsid w:val="00CA4109"/>
    <w:rsid w:val="00CA4796"/>
    <w:rsid w:val="00CC0433"/>
    <w:rsid w:val="00D328A3"/>
    <w:rsid w:val="00D43ADE"/>
    <w:rsid w:val="00D733D3"/>
    <w:rsid w:val="00D818D9"/>
    <w:rsid w:val="00D8215C"/>
    <w:rsid w:val="00D87610"/>
    <w:rsid w:val="00D93F64"/>
    <w:rsid w:val="00D961CF"/>
    <w:rsid w:val="00DB5D3B"/>
    <w:rsid w:val="00DD08D8"/>
    <w:rsid w:val="00E11FD3"/>
    <w:rsid w:val="00E47054"/>
    <w:rsid w:val="00E60E2D"/>
    <w:rsid w:val="00E8731A"/>
    <w:rsid w:val="00E96167"/>
    <w:rsid w:val="00EA5B88"/>
    <w:rsid w:val="00EA78E3"/>
    <w:rsid w:val="00F024E6"/>
    <w:rsid w:val="00F06146"/>
    <w:rsid w:val="00F10889"/>
    <w:rsid w:val="00F2239C"/>
    <w:rsid w:val="00F37F6D"/>
    <w:rsid w:val="00F410B4"/>
    <w:rsid w:val="00F8109A"/>
    <w:rsid w:val="00F9022B"/>
    <w:rsid w:val="00FA10B5"/>
    <w:rsid w:val="00FB349A"/>
    <w:rsid w:val="00FB45F4"/>
    <w:rsid w:val="00FC45E9"/>
    <w:rsid w:val="00FC7D4B"/>
    <w:rsid w:val="00FD6C7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CB0BC6"/>
  <w15:docId w15:val="{B4313B01-F71A-4E7E-A8D5-967226C3D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11646"/>
    <w:pPr>
      <w:widowControl w:val="0"/>
    </w:pPr>
    <w:rPr>
      <w:rFonts w:ascii="Courier New" w:hAnsi="Courier New"/>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basedOn w:val="Standaardalinea-lettertype"/>
    <w:uiPriority w:val="99"/>
    <w:semiHidden/>
    <w:unhideWhenUsed/>
    <w:rsid w:val="00B36EDF"/>
    <w:rPr>
      <w:sz w:val="16"/>
      <w:szCs w:val="16"/>
    </w:rPr>
  </w:style>
  <w:style w:type="paragraph" w:styleId="Tekstopmerking">
    <w:name w:val="annotation text"/>
    <w:basedOn w:val="Standaard"/>
    <w:link w:val="TekstopmerkingChar"/>
    <w:uiPriority w:val="99"/>
    <w:unhideWhenUsed/>
    <w:rsid w:val="00B36EDF"/>
    <w:rPr>
      <w:sz w:val="20"/>
    </w:rPr>
  </w:style>
  <w:style w:type="character" w:customStyle="1" w:styleId="TekstopmerkingChar">
    <w:name w:val="Tekst opmerking Char"/>
    <w:basedOn w:val="Standaardalinea-lettertype"/>
    <w:link w:val="Tekstopmerking"/>
    <w:uiPriority w:val="99"/>
    <w:rsid w:val="00B36EDF"/>
    <w:rPr>
      <w:rFonts w:ascii="Courier New" w:hAnsi="Courier New"/>
    </w:rPr>
  </w:style>
  <w:style w:type="paragraph" w:styleId="Onderwerpvanopmerking">
    <w:name w:val="annotation subject"/>
    <w:basedOn w:val="Tekstopmerking"/>
    <w:next w:val="Tekstopmerking"/>
    <w:link w:val="OnderwerpvanopmerkingChar"/>
    <w:semiHidden/>
    <w:unhideWhenUsed/>
    <w:rsid w:val="00B36EDF"/>
    <w:rPr>
      <w:b/>
      <w:bCs/>
    </w:rPr>
  </w:style>
  <w:style w:type="character" w:customStyle="1" w:styleId="OnderwerpvanopmerkingChar">
    <w:name w:val="Onderwerp van opmerking Char"/>
    <w:basedOn w:val="TekstopmerkingChar"/>
    <w:link w:val="Onderwerpvanopmerking"/>
    <w:semiHidden/>
    <w:rsid w:val="00B36EDF"/>
    <w:rPr>
      <w:rFonts w:ascii="Courier New" w:hAnsi="Courier New"/>
      <w:b/>
      <w:bCs/>
    </w:rPr>
  </w:style>
  <w:style w:type="paragraph" w:styleId="Lijstalinea">
    <w:name w:val="List Paragraph"/>
    <w:basedOn w:val="Standaard"/>
    <w:uiPriority w:val="34"/>
    <w:qFormat/>
    <w:rsid w:val="00B36EDF"/>
    <w:pPr>
      <w:ind w:left="720"/>
      <w:contextualSpacing/>
    </w:pPr>
  </w:style>
  <w:style w:type="paragraph" w:styleId="Revisie">
    <w:name w:val="Revision"/>
    <w:hidden/>
    <w:uiPriority w:val="99"/>
    <w:semiHidden/>
    <w:rsid w:val="006821AE"/>
    <w:rPr>
      <w:rFonts w:ascii="Courier New" w:hAnsi="Courier New"/>
      <w:sz w:val="24"/>
    </w:rPr>
  </w:style>
  <w:style w:type="character" w:styleId="Voetnootmarkering">
    <w:name w:val="footnote reference"/>
    <w:basedOn w:val="Standaardalinea-lettertype"/>
    <w:semiHidden/>
    <w:unhideWhenUsed/>
    <w:rsid w:val="006821AE"/>
    <w:rPr>
      <w:vertAlign w:val="superscript"/>
    </w:rPr>
  </w:style>
  <w:style w:type="table" w:styleId="Tabelraster">
    <w:name w:val="Table Grid"/>
    <w:basedOn w:val="Standaardtabel"/>
    <w:rsid w:val="00360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032429"/>
    <w:rPr>
      <w:rFonts w:ascii="Verdana" w:eastAsiaTheme="minorHAnsi" w:hAnsi="Verdana" w:cstheme="minorBidi"/>
      <w:sz w:val="1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902678">
      <w:bodyDiv w:val="1"/>
      <w:marLeft w:val="0"/>
      <w:marRight w:val="0"/>
      <w:marTop w:val="0"/>
      <w:marBottom w:val="0"/>
      <w:divBdr>
        <w:top w:val="none" w:sz="0" w:space="0" w:color="auto"/>
        <w:left w:val="none" w:sz="0" w:space="0" w:color="auto"/>
        <w:bottom w:val="none" w:sz="0" w:space="0" w:color="auto"/>
        <w:right w:val="none" w:sz="0" w:space="0" w:color="auto"/>
      </w:divBdr>
    </w:div>
    <w:div w:id="412511152">
      <w:bodyDiv w:val="1"/>
      <w:marLeft w:val="0"/>
      <w:marRight w:val="0"/>
      <w:marTop w:val="0"/>
      <w:marBottom w:val="0"/>
      <w:divBdr>
        <w:top w:val="none" w:sz="0" w:space="0" w:color="auto"/>
        <w:left w:val="none" w:sz="0" w:space="0" w:color="auto"/>
        <w:bottom w:val="none" w:sz="0" w:space="0" w:color="auto"/>
        <w:right w:val="none" w:sz="0" w:space="0" w:color="auto"/>
      </w:divBdr>
    </w:div>
    <w:div w:id="580334144">
      <w:bodyDiv w:val="1"/>
      <w:marLeft w:val="0"/>
      <w:marRight w:val="0"/>
      <w:marTop w:val="0"/>
      <w:marBottom w:val="0"/>
      <w:divBdr>
        <w:top w:val="none" w:sz="0" w:space="0" w:color="auto"/>
        <w:left w:val="none" w:sz="0" w:space="0" w:color="auto"/>
        <w:bottom w:val="none" w:sz="0" w:space="0" w:color="auto"/>
        <w:right w:val="none" w:sz="0" w:space="0" w:color="auto"/>
      </w:divBdr>
    </w:div>
    <w:div w:id="615985022">
      <w:bodyDiv w:val="1"/>
      <w:marLeft w:val="0"/>
      <w:marRight w:val="0"/>
      <w:marTop w:val="0"/>
      <w:marBottom w:val="0"/>
      <w:divBdr>
        <w:top w:val="none" w:sz="0" w:space="0" w:color="auto"/>
        <w:left w:val="none" w:sz="0" w:space="0" w:color="auto"/>
        <w:bottom w:val="none" w:sz="0" w:space="0" w:color="auto"/>
        <w:right w:val="none" w:sz="0" w:space="0" w:color="auto"/>
      </w:divBdr>
    </w:div>
    <w:div w:id="703479624">
      <w:bodyDiv w:val="1"/>
      <w:marLeft w:val="0"/>
      <w:marRight w:val="0"/>
      <w:marTop w:val="0"/>
      <w:marBottom w:val="0"/>
      <w:divBdr>
        <w:top w:val="none" w:sz="0" w:space="0" w:color="auto"/>
        <w:left w:val="none" w:sz="0" w:space="0" w:color="auto"/>
        <w:bottom w:val="none" w:sz="0" w:space="0" w:color="auto"/>
        <w:right w:val="none" w:sz="0" w:space="0" w:color="auto"/>
      </w:divBdr>
    </w:div>
    <w:div w:id="849835431">
      <w:bodyDiv w:val="1"/>
      <w:marLeft w:val="0"/>
      <w:marRight w:val="0"/>
      <w:marTop w:val="0"/>
      <w:marBottom w:val="0"/>
      <w:divBdr>
        <w:top w:val="none" w:sz="0" w:space="0" w:color="auto"/>
        <w:left w:val="none" w:sz="0" w:space="0" w:color="auto"/>
        <w:bottom w:val="none" w:sz="0" w:space="0" w:color="auto"/>
        <w:right w:val="none" w:sz="0" w:space="0" w:color="auto"/>
      </w:divBdr>
    </w:div>
    <w:div w:id="957178414">
      <w:bodyDiv w:val="1"/>
      <w:marLeft w:val="0"/>
      <w:marRight w:val="0"/>
      <w:marTop w:val="0"/>
      <w:marBottom w:val="0"/>
      <w:divBdr>
        <w:top w:val="none" w:sz="0" w:space="0" w:color="auto"/>
        <w:left w:val="none" w:sz="0" w:space="0" w:color="auto"/>
        <w:bottom w:val="none" w:sz="0" w:space="0" w:color="auto"/>
        <w:right w:val="none" w:sz="0" w:space="0" w:color="auto"/>
      </w:divBdr>
    </w:div>
    <w:div w:id="1506899622">
      <w:bodyDiv w:val="1"/>
      <w:marLeft w:val="0"/>
      <w:marRight w:val="0"/>
      <w:marTop w:val="0"/>
      <w:marBottom w:val="0"/>
      <w:divBdr>
        <w:top w:val="none" w:sz="0" w:space="0" w:color="auto"/>
        <w:left w:val="none" w:sz="0" w:space="0" w:color="auto"/>
        <w:bottom w:val="none" w:sz="0" w:space="0" w:color="auto"/>
        <w:right w:val="none" w:sz="0" w:space="0" w:color="auto"/>
      </w:divBdr>
    </w:div>
    <w:div w:id="201680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207</ap:Words>
  <ap:Characters>1308</ap:Characters>
  <ap:DocSecurity>0</ap:DocSecurity>
  <ap:Lines>10</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1999-09-17T13:34:00.0000000Z</lastPrinted>
  <dcterms:created xsi:type="dcterms:W3CDTF">2024-12-12T13:20:00.0000000Z</dcterms:created>
  <dcterms:modified xsi:type="dcterms:W3CDTF">2024-12-12T13:20:00.0000000Z</dcterms:modified>
  <category/>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5339f15-c483-4670-87f9-f365ba551dce_Enabled">
    <vt:lpwstr>true</vt:lpwstr>
  </property>
  <property fmtid="{D5CDD505-2E9C-101B-9397-08002B2CF9AE}" pid="3" name="MSIP_Label_f5339f15-c483-4670-87f9-f365ba551dce_SetDate">
    <vt:lpwstr>2024-12-05T09:10:21Z</vt:lpwstr>
  </property>
  <property fmtid="{D5CDD505-2E9C-101B-9397-08002B2CF9AE}" pid="4" name="MSIP_Label_f5339f15-c483-4670-87f9-f365ba551dce_Method">
    <vt:lpwstr>Standard</vt:lpwstr>
  </property>
  <property fmtid="{D5CDD505-2E9C-101B-9397-08002B2CF9AE}" pid="5" name="MSIP_Label_f5339f15-c483-4670-87f9-f365ba551dce_Name">
    <vt:lpwstr>FIN-IRF-Dep. V.</vt:lpwstr>
  </property>
  <property fmtid="{D5CDD505-2E9C-101B-9397-08002B2CF9AE}" pid="6" name="MSIP_Label_f5339f15-c483-4670-87f9-f365ba551dce_SiteId">
    <vt:lpwstr>84712536-f524-40a0-913b-5d25ba502732</vt:lpwstr>
  </property>
  <property fmtid="{D5CDD505-2E9C-101B-9397-08002B2CF9AE}" pid="7" name="MSIP_Label_f5339f15-c483-4670-87f9-f365ba551dce_ActionId">
    <vt:lpwstr>21c05a33-cf2a-460b-b0cc-ee361616136d</vt:lpwstr>
  </property>
  <property fmtid="{D5CDD505-2E9C-101B-9397-08002B2CF9AE}" pid="8" name="MSIP_Label_f5339f15-c483-4670-87f9-f365ba551dce_ContentBits">
    <vt:lpwstr>0</vt:lpwstr>
  </property>
</Properties>
</file>