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tabs>
          <w:tab w:val="left" w:leader="none" w:pos="1472"/>
        </w:tabs>
        <w:spacing w:line="276" w:lineRule="auto"/>
        <w:ind w:left="1472" w:right="324"/>
      </w:pPr>
      <w:r>
        <w:rPr>
          <w:spacing w:val="-2"/>
        </w:rPr>
        <w:t>36625-XII</w:t>
      </w:r>
      <w:r>
        <w:rPr/>
        <w:tab/>
        <w:t>Wijziging</w:t>
      </w:r>
      <w:r>
        <w:rPr>
          <w:spacing w:val="-6"/>
        </w:rPr>
        <w:t> </w:t>
      </w:r>
      <w:r>
        <w:rPr/>
        <w:t>van</w:t>
      </w:r>
      <w:r>
        <w:rPr>
          <w:spacing w:val="-6"/>
        </w:rPr>
        <w:t> </w:t>
      </w:r>
      <w:r>
        <w:rPr/>
        <w:t>de</w:t>
      </w:r>
      <w:r>
        <w:rPr>
          <w:spacing w:val="-4"/>
        </w:rPr>
        <w:t> </w:t>
      </w:r>
      <w:r>
        <w:rPr/>
        <w:t>begrotingsstaat</w:t>
      </w:r>
      <w:r>
        <w:rPr>
          <w:spacing w:val="-5"/>
        </w:rPr>
        <w:t> </w:t>
      </w:r>
      <w:r>
        <w:rPr/>
        <w:t>van</w:t>
      </w:r>
      <w:r>
        <w:rPr>
          <w:spacing w:val="-6"/>
        </w:rPr>
        <w:t> </w:t>
      </w:r>
      <w:r>
        <w:rPr/>
        <w:t>Infrastructuur</w:t>
      </w:r>
      <w:r>
        <w:rPr>
          <w:spacing w:val="-5"/>
        </w:rPr>
        <w:t> </w:t>
      </w:r>
      <w:r>
        <w:rPr/>
        <w:t>en</w:t>
      </w:r>
      <w:r>
        <w:rPr>
          <w:spacing w:val="-6"/>
        </w:rPr>
        <w:t> </w:t>
      </w:r>
      <w:r>
        <w:rPr/>
        <w:t>Waterstaat</w:t>
      </w:r>
      <w:r>
        <w:rPr>
          <w:spacing w:val="-5"/>
        </w:rPr>
        <w:t> </w:t>
      </w:r>
      <w:r>
        <w:rPr/>
        <w:t>(XII) voor het jaar 2024 (wijziging samenhangende met de Najaarsnota)</w:t>
      </w:r>
    </w:p>
    <w:p>
      <w:pPr>
        <w:spacing w:before="171" w:after="1" w:line="240" w:lineRule="auto"/>
        <w:rPr>
          <w:b/>
          <w:sz w:val="20"/>
        </w:rPr>
      </w:pPr>
    </w:p>
    <w:tbl>
      <w:tblPr>
        <w:tblW w:w="0" w:type="auto"/>
        <w:jc w:val="lef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460"/>
        <w:gridCol w:w="8488"/>
      </w:tblGrid>
      <w:tr>
        <w:trPr>
          <w:trHeight w:val="784" w:hRule="atLeast"/>
        </w:trPr>
        <w:tc>
          <w:tcPr>
            <w:tcW w:w="460" w:type="dxa"/>
          </w:tcPr>
          <w:p>
            <w:pPr>
              <w:pStyle w:val="TableParagraph"/>
              <w:ind w:left="50"/>
              <w:rPr>
                <w:sz w:val="18"/>
              </w:rPr>
            </w:pPr>
            <w:r>
              <w:rPr>
                <w:spacing w:val="-10"/>
                <w:sz w:val="18"/>
              </w:rPr>
              <w:t>1</w:t>
            </w:r>
          </w:p>
        </w:tc>
        <w:tc>
          <w:tcPr>
            <w:tcW w:w="8488" w:type="dxa"/>
          </w:tcPr>
          <w:p>
            <w:pPr>
              <w:pStyle w:val="TableParagraph"/>
              <w:rPr>
                <w:b/>
                <w:sz w:val="18"/>
              </w:rPr>
            </w:pPr>
            <w:r>
              <w:rPr>
                <w:b/>
                <w:spacing w:val="-2"/>
                <w:sz w:val="18"/>
              </w:rPr>
              <w:t>Vraag:</w:t>
            </w:r>
          </w:p>
          <w:p>
            <w:pPr>
              <w:pStyle w:val="TableParagraph"/>
              <w:spacing w:before="31" w:line="276" w:lineRule="auto"/>
              <w:rPr>
                <w:sz w:val="18"/>
              </w:rPr>
            </w:pPr>
            <w:r>
              <w:rPr>
                <w:sz w:val="18"/>
              </w:rPr>
              <w:t>Kunt</w:t>
            </w:r>
            <w:r>
              <w:rPr>
                <w:spacing w:val="-3"/>
                <w:sz w:val="18"/>
              </w:rPr>
              <w:t> </w:t>
            </w:r>
            <w:r>
              <w:rPr>
                <w:sz w:val="18"/>
              </w:rPr>
              <w:t>u</w:t>
            </w:r>
            <w:r>
              <w:rPr>
                <w:spacing w:val="-3"/>
                <w:sz w:val="18"/>
              </w:rPr>
              <w:t> </w:t>
            </w:r>
            <w:r>
              <w:rPr>
                <w:sz w:val="18"/>
              </w:rPr>
              <w:t>het</w:t>
            </w:r>
            <w:r>
              <w:rPr>
                <w:spacing w:val="-3"/>
                <w:sz w:val="18"/>
              </w:rPr>
              <w:t> </w:t>
            </w:r>
            <w:r>
              <w:rPr>
                <w:sz w:val="18"/>
              </w:rPr>
              <w:t>bedrag</w:t>
            </w:r>
            <w:r>
              <w:rPr>
                <w:spacing w:val="-3"/>
                <w:sz w:val="18"/>
              </w:rPr>
              <w:t> </w:t>
            </w:r>
            <w:r>
              <w:rPr>
                <w:sz w:val="18"/>
              </w:rPr>
              <w:t>van</w:t>
            </w:r>
            <w:r>
              <w:rPr>
                <w:spacing w:val="-6"/>
                <w:sz w:val="18"/>
              </w:rPr>
              <w:t> </w:t>
            </w:r>
            <w:r>
              <w:rPr>
                <w:sz w:val="18"/>
              </w:rPr>
              <w:t>3,4</w:t>
            </w:r>
            <w:r>
              <w:rPr>
                <w:spacing w:val="-3"/>
                <w:sz w:val="18"/>
              </w:rPr>
              <w:t> </w:t>
            </w:r>
            <w:r>
              <w:rPr>
                <w:sz w:val="18"/>
              </w:rPr>
              <w:t>miljoen</w:t>
            </w:r>
            <w:r>
              <w:rPr>
                <w:spacing w:val="-5"/>
                <w:sz w:val="18"/>
              </w:rPr>
              <w:t> </w:t>
            </w:r>
            <w:r>
              <w:rPr>
                <w:sz w:val="18"/>
              </w:rPr>
              <w:t>euro</w:t>
            </w:r>
            <w:r>
              <w:rPr>
                <w:spacing w:val="-3"/>
                <w:sz w:val="18"/>
              </w:rPr>
              <w:t> </w:t>
            </w:r>
            <w:r>
              <w:rPr>
                <w:sz w:val="18"/>
              </w:rPr>
              <w:t>voor</w:t>
            </w:r>
            <w:r>
              <w:rPr>
                <w:spacing w:val="-4"/>
                <w:sz w:val="18"/>
              </w:rPr>
              <w:t> </w:t>
            </w:r>
            <w:r>
              <w:rPr>
                <w:sz w:val="18"/>
              </w:rPr>
              <w:t>de</w:t>
            </w:r>
            <w:r>
              <w:rPr>
                <w:spacing w:val="-4"/>
                <w:sz w:val="18"/>
              </w:rPr>
              <w:t> </w:t>
            </w:r>
            <w:r>
              <w:rPr>
                <w:sz w:val="18"/>
              </w:rPr>
              <w:t>inzet</w:t>
            </w:r>
            <w:r>
              <w:rPr>
                <w:spacing w:val="-3"/>
                <w:sz w:val="18"/>
              </w:rPr>
              <w:t> </w:t>
            </w:r>
            <w:r>
              <w:rPr>
                <w:sz w:val="18"/>
              </w:rPr>
              <w:t>van</w:t>
            </w:r>
            <w:r>
              <w:rPr>
                <w:spacing w:val="-6"/>
                <w:sz w:val="18"/>
              </w:rPr>
              <w:t> </w:t>
            </w:r>
            <w:r>
              <w:rPr>
                <w:sz w:val="18"/>
              </w:rPr>
              <w:t>de</w:t>
            </w:r>
            <w:r>
              <w:rPr>
                <w:spacing w:val="-4"/>
                <w:sz w:val="18"/>
              </w:rPr>
              <w:t> </w:t>
            </w:r>
            <w:r>
              <w:rPr>
                <w:sz w:val="18"/>
              </w:rPr>
              <w:t>landsadvocaat</w:t>
            </w:r>
            <w:r>
              <w:rPr>
                <w:spacing w:val="-3"/>
                <w:sz w:val="18"/>
              </w:rPr>
              <w:t> </w:t>
            </w:r>
            <w:r>
              <w:rPr>
                <w:sz w:val="18"/>
              </w:rPr>
              <w:t>in</w:t>
            </w:r>
            <w:r>
              <w:rPr>
                <w:spacing w:val="-5"/>
                <w:sz w:val="18"/>
              </w:rPr>
              <w:t> </w:t>
            </w:r>
            <w:r>
              <w:rPr>
                <w:sz w:val="18"/>
              </w:rPr>
              <w:t>2023 specificeren? Om wat voor verschillende type zaken ging dit?</w:t>
            </w:r>
          </w:p>
        </w:tc>
      </w:tr>
      <w:tr>
        <w:trPr>
          <w:trHeight w:val="4954" w:hRule="atLeast"/>
        </w:trPr>
        <w:tc>
          <w:tcPr>
            <w:tcW w:w="460" w:type="dxa"/>
          </w:tcPr>
          <w:p>
            <w:pPr>
              <w:pStyle w:val="TableParagraph"/>
              <w:ind w:left="0"/>
              <w:rPr>
                <w:rFonts w:ascii="Times New Roman"/>
                <w:sz w:val="18"/>
              </w:rPr>
            </w:pPr>
          </w:p>
        </w:tc>
        <w:tc>
          <w:tcPr>
            <w:tcW w:w="8488" w:type="dxa"/>
          </w:tcPr>
          <w:p>
            <w:pPr>
              <w:pStyle w:val="TableParagraph"/>
              <w:spacing w:before="64"/>
              <w:rPr>
                <w:b/>
                <w:sz w:val="18"/>
              </w:rPr>
            </w:pPr>
            <w:r>
              <w:rPr>
                <w:b/>
                <w:spacing w:val="-2"/>
                <w:sz w:val="18"/>
              </w:rPr>
              <w:t>Antwoord:</w:t>
            </w:r>
          </w:p>
          <w:p>
            <w:pPr>
              <w:pStyle w:val="TableParagraph"/>
              <w:spacing w:before="34" w:line="273" w:lineRule="auto"/>
              <w:rPr>
                <w:sz w:val="18"/>
              </w:rPr>
            </w:pPr>
            <w:r>
              <w:rPr>
                <w:sz w:val="18"/>
              </w:rPr>
              <w:t>Over</w:t>
            </w:r>
            <w:r>
              <w:rPr>
                <w:spacing w:val="-6"/>
                <w:sz w:val="18"/>
              </w:rPr>
              <w:t> </w:t>
            </w:r>
            <w:r>
              <w:rPr>
                <w:sz w:val="18"/>
              </w:rPr>
              <w:t>2023</w:t>
            </w:r>
            <w:r>
              <w:rPr>
                <w:spacing w:val="-6"/>
                <w:sz w:val="18"/>
              </w:rPr>
              <w:t> </w:t>
            </w:r>
            <w:r>
              <w:rPr>
                <w:sz w:val="18"/>
              </w:rPr>
              <w:t>is</w:t>
            </w:r>
            <w:r>
              <w:rPr>
                <w:spacing w:val="-6"/>
                <w:sz w:val="18"/>
              </w:rPr>
              <w:t> </w:t>
            </w:r>
            <w:r>
              <w:rPr>
                <w:sz w:val="18"/>
              </w:rPr>
              <w:t>een</w:t>
            </w:r>
            <w:r>
              <w:rPr>
                <w:spacing w:val="-7"/>
                <w:sz w:val="18"/>
              </w:rPr>
              <w:t> </w:t>
            </w:r>
            <w:r>
              <w:rPr>
                <w:sz w:val="18"/>
              </w:rPr>
              <w:t>dergelijke</w:t>
            </w:r>
            <w:r>
              <w:rPr>
                <w:spacing w:val="-6"/>
                <w:sz w:val="18"/>
              </w:rPr>
              <w:t> </w:t>
            </w:r>
            <w:r>
              <w:rPr>
                <w:sz w:val="18"/>
              </w:rPr>
              <w:t>specificatie</w:t>
            </w:r>
            <w:r>
              <w:rPr>
                <w:spacing w:val="-6"/>
                <w:sz w:val="18"/>
              </w:rPr>
              <w:t> </w:t>
            </w:r>
            <w:r>
              <w:rPr>
                <w:sz w:val="18"/>
              </w:rPr>
              <w:t>niet</w:t>
            </w:r>
            <w:r>
              <w:rPr>
                <w:spacing w:val="-5"/>
                <w:sz w:val="18"/>
              </w:rPr>
              <w:t> </w:t>
            </w:r>
            <w:r>
              <w:rPr>
                <w:sz w:val="18"/>
              </w:rPr>
              <w:t>in</w:t>
            </w:r>
            <w:r>
              <w:rPr>
                <w:spacing w:val="-7"/>
                <w:sz w:val="18"/>
              </w:rPr>
              <w:t> </w:t>
            </w:r>
            <w:r>
              <w:rPr>
                <w:sz w:val="18"/>
              </w:rPr>
              <w:t>detail</w:t>
            </w:r>
            <w:r>
              <w:rPr>
                <w:spacing w:val="-8"/>
                <w:sz w:val="18"/>
              </w:rPr>
              <w:t> </w:t>
            </w:r>
            <w:r>
              <w:rPr>
                <w:sz w:val="18"/>
              </w:rPr>
              <w:t>beschikbaar.</w:t>
            </w:r>
            <w:r>
              <w:rPr>
                <w:spacing w:val="-7"/>
                <w:sz w:val="18"/>
              </w:rPr>
              <w:t> </w:t>
            </w:r>
            <w:r>
              <w:rPr>
                <w:sz w:val="18"/>
              </w:rPr>
              <w:t>In</w:t>
            </w:r>
            <w:r>
              <w:rPr>
                <w:spacing w:val="-5"/>
                <w:sz w:val="18"/>
              </w:rPr>
              <w:t> </w:t>
            </w:r>
            <w:r>
              <w:rPr>
                <w:sz w:val="18"/>
              </w:rPr>
              <w:t>het</w:t>
            </w:r>
            <w:r>
              <w:rPr>
                <w:spacing w:val="-5"/>
                <w:sz w:val="18"/>
              </w:rPr>
              <w:t> </w:t>
            </w:r>
            <w:r>
              <w:rPr>
                <w:sz w:val="18"/>
              </w:rPr>
              <w:t>algemeen</w:t>
            </w:r>
            <w:r>
              <w:rPr>
                <w:spacing w:val="-7"/>
                <w:sz w:val="18"/>
              </w:rPr>
              <w:t> </w:t>
            </w:r>
            <w:r>
              <w:rPr>
                <w:sz w:val="18"/>
              </w:rPr>
              <w:t>kan worden aangegeven dat er verschillende redenen kunnen zijn voor de Staat om een</w:t>
            </w:r>
          </w:p>
          <w:p>
            <w:pPr>
              <w:pStyle w:val="TableParagraph"/>
              <w:spacing w:before="2" w:line="276" w:lineRule="auto"/>
              <w:ind w:right="47"/>
              <w:rPr>
                <w:sz w:val="18"/>
              </w:rPr>
            </w:pPr>
            <w:r>
              <w:rPr>
                <w:sz w:val="18"/>
              </w:rPr>
              <w:t>advocaat</w:t>
            </w:r>
            <w:r>
              <w:rPr>
                <w:spacing w:val="-2"/>
                <w:sz w:val="18"/>
              </w:rPr>
              <w:t> </w:t>
            </w:r>
            <w:r>
              <w:rPr>
                <w:sz w:val="18"/>
              </w:rPr>
              <w:t>in</w:t>
            </w:r>
            <w:r>
              <w:rPr>
                <w:spacing w:val="-4"/>
                <w:sz w:val="18"/>
              </w:rPr>
              <w:t> </w:t>
            </w:r>
            <w:r>
              <w:rPr>
                <w:sz w:val="18"/>
              </w:rPr>
              <w:t>te</w:t>
            </w:r>
            <w:r>
              <w:rPr>
                <w:spacing w:val="-3"/>
                <w:sz w:val="18"/>
              </w:rPr>
              <w:t> </w:t>
            </w:r>
            <w:r>
              <w:rPr>
                <w:sz w:val="18"/>
              </w:rPr>
              <w:t>schakelen.</w:t>
            </w:r>
            <w:r>
              <w:rPr>
                <w:spacing w:val="-2"/>
                <w:sz w:val="18"/>
              </w:rPr>
              <w:t> </w:t>
            </w:r>
            <w:r>
              <w:rPr>
                <w:sz w:val="18"/>
              </w:rPr>
              <w:t>Dit</w:t>
            </w:r>
            <w:r>
              <w:rPr>
                <w:spacing w:val="-2"/>
                <w:sz w:val="18"/>
              </w:rPr>
              <w:t> </w:t>
            </w:r>
            <w:r>
              <w:rPr>
                <w:sz w:val="18"/>
              </w:rPr>
              <w:t>kan</w:t>
            </w:r>
            <w:r>
              <w:rPr>
                <w:spacing w:val="-5"/>
                <w:sz w:val="18"/>
              </w:rPr>
              <w:t> </w:t>
            </w:r>
            <w:r>
              <w:rPr>
                <w:sz w:val="18"/>
              </w:rPr>
              <w:t>betrekking</w:t>
            </w:r>
            <w:r>
              <w:rPr>
                <w:spacing w:val="-3"/>
                <w:sz w:val="18"/>
              </w:rPr>
              <w:t> </w:t>
            </w:r>
            <w:r>
              <w:rPr>
                <w:sz w:val="18"/>
              </w:rPr>
              <w:t>hebben</w:t>
            </w:r>
            <w:r>
              <w:rPr>
                <w:spacing w:val="-4"/>
                <w:sz w:val="18"/>
              </w:rPr>
              <w:t> </w:t>
            </w:r>
            <w:r>
              <w:rPr>
                <w:sz w:val="18"/>
              </w:rPr>
              <w:t>op</w:t>
            </w:r>
            <w:r>
              <w:rPr>
                <w:spacing w:val="-3"/>
                <w:sz w:val="18"/>
              </w:rPr>
              <w:t> </w:t>
            </w:r>
            <w:r>
              <w:rPr>
                <w:sz w:val="18"/>
              </w:rPr>
              <w:t>juridische</w:t>
            </w:r>
            <w:r>
              <w:rPr>
                <w:spacing w:val="-3"/>
                <w:sz w:val="18"/>
              </w:rPr>
              <w:t> </w:t>
            </w:r>
            <w:r>
              <w:rPr>
                <w:sz w:val="18"/>
              </w:rPr>
              <w:t>advisering</w:t>
            </w:r>
            <w:r>
              <w:rPr>
                <w:spacing w:val="-3"/>
                <w:sz w:val="18"/>
              </w:rPr>
              <w:t> </w:t>
            </w:r>
            <w:r>
              <w:rPr>
                <w:sz w:val="18"/>
              </w:rPr>
              <w:t>in</w:t>
            </w:r>
            <w:r>
              <w:rPr>
                <w:spacing w:val="-4"/>
                <w:sz w:val="18"/>
              </w:rPr>
              <w:t> </w:t>
            </w:r>
            <w:r>
              <w:rPr>
                <w:sz w:val="18"/>
              </w:rPr>
              <w:t>complexe dossiers of procesvertegenwoordiging bij juridische procedures. Het komt</w:t>
            </w:r>
            <w:r>
              <w:rPr>
                <w:spacing w:val="-1"/>
                <w:sz w:val="18"/>
              </w:rPr>
              <w:t> </w:t>
            </w:r>
            <w:r>
              <w:rPr>
                <w:sz w:val="18"/>
              </w:rPr>
              <w:t>ook regelmatig voor dat de landsadvocaat eerst wordt ingeschakeld ten behoeve van juridisch advies en later in dezelfde zaak optreedt in het kader van een juridische procedure. Grofweg kan het bedrag voor het departement voor ca. 30 % aan (beleids)advisering en 70 % aan</w:t>
            </w:r>
          </w:p>
          <w:p>
            <w:pPr>
              <w:pStyle w:val="TableParagraph"/>
              <w:spacing w:line="276" w:lineRule="auto"/>
              <w:ind w:right="229"/>
              <w:jc w:val="both"/>
              <w:rPr>
                <w:sz w:val="18"/>
              </w:rPr>
            </w:pPr>
            <w:r>
              <w:rPr>
                <w:sz w:val="18"/>
              </w:rPr>
              <w:t>procesvertegenwoordiging/-advies</w:t>
            </w:r>
            <w:r>
              <w:rPr>
                <w:spacing w:val="-3"/>
                <w:sz w:val="18"/>
              </w:rPr>
              <w:t> </w:t>
            </w:r>
            <w:r>
              <w:rPr>
                <w:sz w:val="18"/>
              </w:rPr>
              <w:t>worden</w:t>
            </w:r>
            <w:r>
              <w:rPr>
                <w:spacing w:val="-4"/>
                <w:sz w:val="18"/>
              </w:rPr>
              <w:t> </w:t>
            </w:r>
            <w:r>
              <w:rPr>
                <w:sz w:val="18"/>
              </w:rPr>
              <w:t>toegerekend.</w:t>
            </w:r>
            <w:r>
              <w:rPr>
                <w:spacing w:val="-4"/>
                <w:sz w:val="18"/>
              </w:rPr>
              <w:t> </w:t>
            </w:r>
            <w:r>
              <w:rPr>
                <w:sz w:val="18"/>
              </w:rPr>
              <w:t>Door</w:t>
            </w:r>
            <w:r>
              <w:rPr>
                <w:spacing w:val="-3"/>
                <w:sz w:val="18"/>
              </w:rPr>
              <w:t> </w:t>
            </w:r>
            <w:r>
              <w:rPr>
                <w:sz w:val="18"/>
              </w:rPr>
              <w:t>Rijkswaterstaat</w:t>
            </w:r>
            <w:r>
              <w:rPr>
                <w:spacing w:val="-2"/>
                <w:sz w:val="18"/>
              </w:rPr>
              <w:t> </w:t>
            </w:r>
            <w:r>
              <w:rPr>
                <w:sz w:val="18"/>
              </w:rPr>
              <w:t>wordt</w:t>
            </w:r>
            <w:r>
              <w:rPr>
                <w:spacing w:val="-2"/>
                <w:sz w:val="18"/>
              </w:rPr>
              <w:t> </w:t>
            </w:r>
            <w:r>
              <w:rPr>
                <w:sz w:val="18"/>
              </w:rPr>
              <w:t>de Landsadvocaat</w:t>
            </w:r>
            <w:r>
              <w:rPr>
                <w:spacing w:val="-9"/>
                <w:sz w:val="18"/>
              </w:rPr>
              <w:t> </w:t>
            </w:r>
            <w:r>
              <w:rPr>
                <w:sz w:val="18"/>
              </w:rPr>
              <w:t>vrijwel</w:t>
            </w:r>
            <w:r>
              <w:rPr>
                <w:spacing w:val="-9"/>
                <w:sz w:val="18"/>
              </w:rPr>
              <w:t> </w:t>
            </w:r>
            <w:r>
              <w:rPr>
                <w:sz w:val="18"/>
              </w:rPr>
              <w:t>uitsluitend</w:t>
            </w:r>
            <w:r>
              <w:rPr>
                <w:spacing w:val="-10"/>
                <w:sz w:val="18"/>
              </w:rPr>
              <w:t> </w:t>
            </w:r>
            <w:r>
              <w:rPr>
                <w:sz w:val="18"/>
              </w:rPr>
              <w:t>ingeschakeld</w:t>
            </w:r>
            <w:r>
              <w:rPr>
                <w:spacing w:val="-10"/>
                <w:sz w:val="18"/>
              </w:rPr>
              <w:t> </w:t>
            </w:r>
            <w:r>
              <w:rPr>
                <w:sz w:val="18"/>
              </w:rPr>
              <w:t>voor</w:t>
            </w:r>
            <w:r>
              <w:rPr>
                <w:spacing w:val="-10"/>
                <w:sz w:val="18"/>
              </w:rPr>
              <w:t> </w:t>
            </w:r>
            <w:r>
              <w:rPr>
                <w:sz w:val="18"/>
              </w:rPr>
              <w:t>procesvertegenwoordiging/-advies. Van de 3,4 miljoen kosten kwam 1,5 miljoen in 2023 voor rekening van RWS.</w:t>
            </w:r>
          </w:p>
          <w:p>
            <w:pPr>
              <w:pStyle w:val="TableParagraph"/>
              <w:spacing w:before="35"/>
              <w:ind w:left="0"/>
              <w:rPr>
                <w:b/>
                <w:sz w:val="18"/>
              </w:rPr>
            </w:pPr>
          </w:p>
          <w:p>
            <w:pPr>
              <w:pStyle w:val="TableParagraph"/>
              <w:spacing w:line="276" w:lineRule="auto"/>
              <w:ind w:right="47"/>
              <w:rPr>
                <w:sz w:val="18"/>
              </w:rPr>
            </w:pPr>
            <w:r>
              <w:rPr>
                <w:sz w:val="18"/>
              </w:rPr>
              <w:t>Wanneer de Staat gedaagd wordt in een civielrechtelijk geding, of in een uitzonderlijk geval zelf als eiser optreedt, geldt veelal verplichte procesvertegenwoordiging. Anders dan in het civielrechtelijk geding geldt in het bestuursrecht in beginsel geen verplichte procesvertegenwoordiging. Uitgangspunt is dat een bestuursorgaan van de Staat bij de bestuursrechter</w:t>
            </w:r>
            <w:r>
              <w:rPr>
                <w:spacing w:val="-6"/>
                <w:sz w:val="18"/>
              </w:rPr>
              <w:t> </w:t>
            </w:r>
            <w:r>
              <w:rPr>
                <w:sz w:val="18"/>
              </w:rPr>
              <w:t>vertegenwoordigd</w:t>
            </w:r>
            <w:r>
              <w:rPr>
                <w:spacing w:val="-6"/>
                <w:sz w:val="18"/>
              </w:rPr>
              <w:t> </w:t>
            </w:r>
            <w:r>
              <w:rPr>
                <w:sz w:val="18"/>
              </w:rPr>
              <w:t>wordt</w:t>
            </w:r>
            <w:r>
              <w:rPr>
                <w:spacing w:val="-5"/>
                <w:sz w:val="18"/>
              </w:rPr>
              <w:t> </w:t>
            </w:r>
            <w:r>
              <w:rPr>
                <w:sz w:val="18"/>
              </w:rPr>
              <w:t>door</w:t>
            </w:r>
            <w:r>
              <w:rPr>
                <w:spacing w:val="-6"/>
                <w:sz w:val="18"/>
              </w:rPr>
              <w:t> </w:t>
            </w:r>
            <w:r>
              <w:rPr>
                <w:sz w:val="18"/>
              </w:rPr>
              <w:t>ambtenaren</w:t>
            </w:r>
            <w:r>
              <w:rPr>
                <w:spacing w:val="-7"/>
                <w:sz w:val="18"/>
              </w:rPr>
              <w:t> </w:t>
            </w:r>
            <w:r>
              <w:rPr>
                <w:sz w:val="18"/>
              </w:rPr>
              <w:t>die</w:t>
            </w:r>
            <w:r>
              <w:rPr>
                <w:spacing w:val="-6"/>
                <w:sz w:val="18"/>
              </w:rPr>
              <w:t> </w:t>
            </w:r>
            <w:r>
              <w:rPr>
                <w:sz w:val="18"/>
              </w:rPr>
              <w:t>geen</w:t>
            </w:r>
            <w:r>
              <w:rPr>
                <w:spacing w:val="-7"/>
                <w:sz w:val="18"/>
              </w:rPr>
              <w:t> </w:t>
            </w:r>
            <w:r>
              <w:rPr>
                <w:sz w:val="18"/>
              </w:rPr>
              <w:t>advocaat</w:t>
            </w:r>
            <w:r>
              <w:rPr>
                <w:spacing w:val="-5"/>
                <w:sz w:val="18"/>
              </w:rPr>
              <w:t> </w:t>
            </w:r>
            <w:r>
              <w:rPr>
                <w:sz w:val="18"/>
              </w:rPr>
              <w:t>zijn.</w:t>
            </w:r>
            <w:r>
              <w:rPr>
                <w:spacing w:val="-7"/>
                <w:sz w:val="18"/>
              </w:rPr>
              <w:t> </w:t>
            </w:r>
            <w:r>
              <w:rPr>
                <w:sz w:val="18"/>
              </w:rPr>
              <w:t>Soms zijn</w:t>
            </w:r>
            <w:r>
              <w:rPr>
                <w:spacing w:val="-3"/>
                <w:sz w:val="18"/>
              </w:rPr>
              <w:t> </w:t>
            </w:r>
            <w:r>
              <w:rPr>
                <w:sz w:val="18"/>
              </w:rPr>
              <w:t>er</w:t>
            </w:r>
            <w:r>
              <w:rPr>
                <w:spacing w:val="-2"/>
                <w:sz w:val="18"/>
              </w:rPr>
              <w:t> </w:t>
            </w:r>
            <w:r>
              <w:rPr>
                <w:sz w:val="18"/>
              </w:rPr>
              <w:t>redenen,</w:t>
            </w:r>
            <w:r>
              <w:rPr>
                <w:spacing w:val="-3"/>
                <w:sz w:val="18"/>
              </w:rPr>
              <w:t> </w:t>
            </w:r>
            <w:r>
              <w:rPr>
                <w:sz w:val="18"/>
              </w:rPr>
              <w:t>zoals</w:t>
            </w:r>
            <w:r>
              <w:rPr>
                <w:spacing w:val="-2"/>
                <w:sz w:val="18"/>
              </w:rPr>
              <w:t> </w:t>
            </w:r>
            <w:r>
              <w:rPr>
                <w:sz w:val="18"/>
              </w:rPr>
              <w:t>de</w:t>
            </w:r>
            <w:r>
              <w:rPr>
                <w:spacing w:val="-2"/>
                <w:sz w:val="18"/>
              </w:rPr>
              <w:t> </w:t>
            </w:r>
            <w:r>
              <w:rPr>
                <w:sz w:val="18"/>
              </w:rPr>
              <w:t>complexiteit</w:t>
            </w:r>
            <w:r>
              <w:rPr>
                <w:spacing w:val="-1"/>
                <w:sz w:val="18"/>
              </w:rPr>
              <w:t> </w:t>
            </w:r>
            <w:r>
              <w:rPr>
                <w:sz w:val="18"/>
              </w:rPr>
              <w:t>van</w:t>
            </w:r>
            <w:r>
              <w:rPr>
                <w:spacing w:val="-4"/>
                <w:sz w:val="18"/>
              </w:rPr>
              <w:t> </w:t>
            </w:r>
            <w:r>
              <w:rPr>
                <w:sz w:val="18"/>
              </w:rPr>
              <w:t>de</w:t>
            </w:r>
            <w:r>
              <w:rPr>
                <w:spacing w:val="-2"/>
                <w:sz w:val="18"/>
              </w:rPr>
              <w:t> </w:t>
            </w:r>
            <w:r>
              <w:rPr>
                <w:sz w:val="18"/>
              </w:rPr>
              <w:t>zaak,</w:t>
            </w:r>
            <w:r>
              <w:rPr>
                <w:spacing w:val="-3"/>
                <w:sz w:val="18"/>
              </w:rPr>
              <w:t> </w:t>
            </w:r>
            <w:r>
              <w:rPr>
                <w:sz w:val="18"/>
              </w:rPr>
              <w:t>om</w:t>
            </w:r>
            <w:r>
              <w:rPr>
                <w:spacing w:val="-2"/>
                <w:sz w:val="18"/>
              </w:rPr>
              <w:t> </w:t>
            </w:r>
            <w:r>
              <w:rPr>
                <w:sz w:val="18"/>
              </w:rPr>
              <w:t>in</w:t>
            </w:r>
            <w:r>
              <w:rPr>
                <w:spacing w:val="-3"/>
                <w:sz w:val="18"/>
              </w:rPr>
              <w:t> </w:t>
            </w:r>
            <w:r>
              <w:rPr>
                <w:sz w:val="18"/>
              </w:rPr>
              <w:t>bestuursrechtelijke zaken</w:t>
            </w:r>
            <w:r>
              <w:rPr>
                <w:spacing w:val="-3"/>
                <w:sz w:val="18"/>
              </w:rPr>
              <w:t> </w:t>
            </w:r>
            <w:r>
              <w:rPr>
                <w:sz w:val="18"/>
              </w:rPr>
              <w:t>toch een advocaat in te schakelen. De noodzaak hiervan wordt altijd kritisch bezien.</w:t>
            </w:r>
          </w:p>
        </w:tc>
      </w:tr>
      <w:tr>
        <w:trPr>
          <w:trHeight w:val="1005" w:hRule="atLeast"/>
        </w:trPr>
        <w:tc>
          <w:tcPr>
            <w:tcW w:w="460" w:type="dxa"/>
          </w:tcPr>
          <w:p>
            <w:pPr>
              <w:pStyle w:val="TableParagraph"/>
              <w:spacing w:before="141"/>
              <w:ind w:left="50"/>
              <w:rPr>
                <w:sz w:val="18"/>
              </w:rPr>
            </w:pPr>
            <w:r>
              <w:rPr>
                <w:spacing w:val="-10"/>
                <w:sz w:val="18"/>
              </w:rPr>
              <w:t>2</w:t>
            </w:r>
          </w:p>
        </w:tc>
        <w:tc>
          <w:tcPr>
            <w:tcW w:w="8488" w:type="dxa"/>
          </w:tcPr>
          <w:p>
            <w:pPr>
              <w:pStyle w:val="TableParagraph"/>
              <w:spacing w:before="141"/>
              <w:rPr>
                <w:b/>
                <w:sz w:val="18"/>
              </w:rPr>
            </w:pPr>
            <w:r>
              <w:rPr>
                <w:b/>
                <w:spacing w:val="-2"/>
                <w:sz w:val="18"/>
              </w:rPr>
              <w:t>Vraag:</w:t>
            </w:r>
          </w:p>
          <w:p>
            <w:pPr>
              <w:pStyle w:val="TableParagraph"/>
              <w:spacing w:before="33" w:line="276" w:lineRule="auto"/>
              <w:rPr>
                <w:sz w:val="18"/>
              </w:rPr>
            </w:pPr>
            <w:r>
              <w:rPr>
                <w:sz w:val="18"/>
              </w:rPr>
              <w:t>Kunt</w:t>
            </w:r>
            <w:r>
              <w:rPr>
                <w:spacing w:val="-4"/>
                <w:sz w:val="18"/>
              </w:rPr>
              <w:t> </w:t>
            </w:r>
            <w:r>
              <w:rPr>
                <w:sz w:val="18"/>
              </w:rPr>
              <w:t>u</w:t>
            </w:r>
            <w:r>
              <w:rPr>
                <w:spacing w:val="-4"/>
                <w:sz w:val="18"/>
              </w:rPr>
              <w:t> </w:t>
            </w:r>
            <w:r>
              <w:rPr>
                <w:sz w:val="18"/>
              </w:rPr>
              <w:t>een</w:t>
            </w:r>
            <w:r>
              <w:rPr>
                <w:spacing w:val="-6"/>
                <w:sz w:val="18"/>
              </w:rPr>
              <w:t> </w:t>
            </w:r>
            <w:r>
              <w:rPr>
                <w:sz w:val="18"/>
              </w:rPr>
              <w:t>overzicht</w:t>
            </w:r>
            <w:r>
              <w:rPr>
                <w:spacing w:val="-4"/>
                <w:sz w:val="18"/>
              </w:rPr>
              <w:t> </w:t>
            </w:r>
            <w:r>
              <w:rPr>
                <w:sz w:val="18"/>
              </w:rPr>
              <w:t>geven</w:t>
            </w:r>
            <w:r>
              <w:rPr>
                <w:spacing w:val="-6"/>
                <w:sz w:val="18"/>
              </w:rPr>
              <w:t> </w:t>
            </w:r>
            <w:r>
              <w:rPr>
                <w:sz w:val="18"/>
              </w:rPr>
              <w:t>van</w:t>
            </w:r>
            <w:r>
              <w:rPr>
                <w:spacing w:val="-4"/>
                <w:sz w:val="18"/>
              </w:rPr>
              <w:t> </w:t>
            </w:r>
            <w:r>
              <w:rPr>
                <w:sz w:val="18"/>
              </w:rPr>
              <w:t>het</w:t>
            </w:r>
            <w:r>
              <w:rPr>
                <w:spacing w:val="-4"/>
                <w:sz w:val="18"/>
              </w:rPr>
              <w:t> </w:t>
            </w:r>
            <w:r>
              <w:rPr>
                <w:sz w:val="18"/>
              </w:rPr>
              <w:t>aantal</w:t>
            </w:r>
            <w:r>
              <w:rPr>
                <w:spacing w:val="-5"/>
                <w:sz w:val="18"/>
              </w:rPr>
              <w:t> </w:t>
            </w:r>
            <w:r>
              <w:rPr>
                <w:sz w:val="18"/>
              </w:rPr>
              <w:t>keer</w:t>
            </w:r>
            <w:r>
              <w:rPr>
                <w:spacing w:val="-5"/>
                <w:sz w:val="18"/>
              </w:rPr>
              <w:t> </w:t>
            </w:r>
            <w:r>
              <w:rPr>
                <w:sz w:val="18"/>
              </w:rPr>
              <w:t>dat</w:t>
            </w:r>
            <w:r>
              <w:rPr>
                <w:spacing w:val="-5"/>
                <w:sz w:val="18"/>
              </w:rPr>
              <w:t> </w:t>
            </w:r>
            <w:r>
              <w:rPr>
                <w:sz w:val="18"/>
              </w:rPr>
              <w:t>de</w:t>
            </w:r>
            <w:r>
              <w:rPr>
                <w:spacing w:val="-5"/>
                <w:sz w:val="18"/>
              </w:rPr>
              <w:t> </w:t>
            </w:r>
            <w:r>
              <w:rPr>
                <w:sz w:val="18"/>
              </w:rPr>
              <w:t>landsadvocaat</w:t>
            </w:r>
            <w:r>
              <w:rPr>
                <w:spacing w:val="-4"/>
                <w:sz w:val="18"/>
              </w:rPr>
              <w:t> </w:t>
            </w:r>
            <w:r>
              <w:rPr>
                <w:sz w:val="18"/>
              </w:rPr>
              <w:t>is</w:t>
            </w:r>
            <w:r>
              <w:rPr>
                <w:spacing w:val="-5"/>
                <w:sz w:val="18"/>
              </w:rPr>
              <w:t> </w:t>
            </w:r>
            <w:r>
              <w:rPr>
                <w:sz w:val="18"/>
              </w:rPr>
              <w:t>ingezet</w:t>
            </w:r>
            <w:r>
              <w:rPr>
                <w:spacing w:val="-4"/>
                <w:sz w:val="18"/>
              </w:rPr>
              <w:t> </w:t>
            </w:r>
            <w:r>
              <w:rPr>
                <w:sz w:val="18"/>
              </w:rPr>
              <w:t>per</w:t>
            </w:r>
            <w:r>
              <w:rPr>
                <w:spacing w:val="-5"/>
                <w:sz w:val="18"/>
              </w:rPr>
              <w:t> </w:t>
            </w:r>
            <w:r>
              <w:rPr>
                <w:sz w:val="18"/>
              </w:rPr>
              <w:t>type </w:t>
            </w:r>
            <w:r>
              <w:rPr>
                <w:spacing w:val="-2"/>
                <w:sz w:val="18"/>
              </w:rPr>
              <w:t>zaak?</w:t>
            </w:r>
          </w:p>
        </w:tc>
      </w:tr>
      <w:tr>
        <w:trPr>
          <w:trHeight w:val="4529" w:hRule="atLeast"/>
        </w:trPr>
        <w:tc>
          <w:tcPr>
            <w:tcW w:w="460" w:type="dxa"/>
          </w:tcPr>
          <w:p>
            <w:pPr>
              <w:pStyle w:val="TableParagraph"/>
              <w:ind w:left="0"/>
              <w:rPr>
                <w:rFonts w:ascii="Times New Roman"/>
                <w:sz w:val="18"/>
              </w:rPr>
            </w:pPr>
          </w:p>
        </w:tc>
        <w:tc>
          <w:tcPr>
            <w:tcW w:w="8488" w:type="dxa"/>
          </w:tcPr>
          <w:p>
            <w:pPr>
              <w:pStyle w:val="TableParagraph"/>
              <w:spacing w:before="141"/>
              <w:rPr>
                <w:b/>
                <w:sz w:val="18"/>
              </w:rPr>
            </w:pPr>
            <w:r>
              <w:rPr>
                <w:b/>
                <w:spacing w:val="-2"/>
                <w:sz w:val="18"/>
              </w:rPr>
              <w:t>Antwoord:</w:t>
            </w:r>
          </w:p>
          <w:p>
            <w:pPr>
              <w:pStyle w:val="TableParagraph"/>
              <w:spacing w:before="34" w:line="276" w:lineRule="auto"/>
              <w:rPr>
                <w:sz w:val="18"/>
              </w:rPr>
            </w:pPr>
            <w:r>
              <w:rPr>
                <w:sz w:val="18"/>
              </w:rPr>
              <w:t>Het</w:t>
            </w:r>
            <w:r>
              <w:rPr>
                <w:spacing w:val="-4"/>
                <w:sz w:val="18"/>
              </w:rPr>
              <w:t> </w:t>
            </w:r>
            <w:r>
              <w:rPr>
                <w:sz w:val="18"/>
              </w:rPr>
              <w:t>totaal</w:t>
            </w:r>
            <w:r>
              <w:rPr>
                <w:spacing w:val="-4"/>
                <w:sz w:val="18"/>
              </w:rPr>
              <w:t> </w:t>
            </w:r>
            <w:r>
              <w:rPr>
                <w:sz w:val="18"/>
              </w:rPr>
              <w:t>aantal</w:t>
            </w:r>
            <w:r>
              <w:rPr>
                <w:spacing w:val="-5"/>
                <w:sz w:val="18"/>
              </w:rPr>
              <w:t> </w:t>
            </w:r>
            <w:r>
              <w:rPr>
                <w:sz w:val="18"/>
              </w:rPr>
              <w:t>(lopende)</w:t>
            </w:r>
            <w:r>
              <w:rPr>
                <w:spacing w:val="-8"/>
                <w:sz w:val="18"/>
              </w:rPr>
              <w:t> </w:t>
            </w:r>
            <w:r>
              <w:rPr>
                <w:sz w:val="18"/>
              </w:rPr>
              <w:t>opdrachten</w:t>
            </w:r>
            <w:r>
              <w:rPr>
                <w:spacing w:val="-6"/>
                <w:sz w:val="18"/>
              </w:rPr>
              <w:t> </w:t>
            </w:r>
            <w:r>
              <w:rPr>
                <w:sz w:val="18"/>
              </w:rPr>
              <w:t>voor</w:t>
            </w:r>
            <w:r>
              <w:rPr>
                <w:spacing w:val="-5"/>
                <w:sz w:val="18"/>
              </w:rPr>
              <w:t> </w:t>
            </w:r>
            <w:r>
              <w:rPr>
                <w:sz w:val="18"/>
              </w:rPr>
              <w:t>opdrachten</w:t>
            </w:r>
            <w:r>
              <w:rPr>
                <w:spacing w:val="-6"/>
                <w:sz w:val="18"/>
              </w:rPr>
              <w:t> </w:t>
            </w:r>
            <w:r>
              <w:rPr>
                <w:sz w:val="18"/>
              </w:rPr>
              <w:t>aan</w:t>
            </w:r>
            <w:r>
              <w:rPr>
                <w:spacing w:val="-7"/>
                <w:sz w:val="18"/>
              </w:rPr>
              <w:t> </w:t>
            </w:r>
            <w:r>
              <w:rPr>
                <w:sz w:val="18"/>
              </w:rPr>
              <w:t>de</w:t>
            </w:r>
            <w:r>
              <w:rPr>
                <w:spacing w:val="-5"/>
                <w:sz w:val="18"/>
              </w:rPr>
              <w:t> </w:t>
            </w:r>
            <w:r>
              <w:rPr>
                <w:sz w:val="18"/>
              </w:rPr>
              <w:t>landsadvocaat</w:t>
            </w:r>
            <w:r>
              <w:rPr>
                <w:spacing w:val="-4"/>
                <w:sz w:val="18"/>
              </w:rPr>
              <w:t> </w:t>
            </w:r>
            <w:r>
              <w:rPr>
                <w:sz w:val="18"/>
              </w:rPr>
              <w:t>binnen</w:t>
            </w:r>
            <w:r>
              <w:rPr>
                <w:spacing w:val="-6"/>
                <w:sz w:val="18"/>
              </w:rPr>
              <w:t> </w:t>
            </w:r>
            <w:r>
              <w:rPr>
                <w:sz w:val="18"/>
              </w:rPr>
              <w:t>het departement betrof in 2023 circa 37. Daarvan was grosso modo de helft van het aantal zaken (beleids)advisering en de helft procesvertegenwoording/-advies. Door</w:t>
            </w:r>
          </w:p>
          <w:p>
            <w:pPr>
              <w:pStyle w:val="TableParagraph"/>
              <w:spacing w:before="1" w:line="276" w:lineRule="auto"/>
              <w:ind w:right="1161"/>
              <w:rPr>
                <w:sz w:val="18"/>
              </w:rPr>
            </w:pPr>
            <w:r>
              <w:rPr>
                <w:sz w:val="18"/>
              </w:rPr>
              <w:t>Rijkswaterstaat</w:t>
            </w:r>
            <w:r>
              <w:rPr>
                <w:spacing w:val="-6"/>
                <w:sz w:val="18"/>
              </w:rPr>
              <w:t> </w:t>
            </w:r>
            <w:r>
              <w:rPr>
                <w:sz w:val="18"/>
              </w:rPr>
              <w:t>wordt</w:t>
            </w:r>
            <w:r>
              <w:rPr>
                <w:spacing w:val="-6"/>
                <w:sz w:val="18"/>
              </w:rPr>
              <w:t> </w:t>
            </w:r>
            <w:r>
              <w:rPr>
                <w:sz w:val="18"/>
              </w:rPr>
              <w:t>de</w:t>
            </w:r>
            <w:r>
              <w:rPr>
                <w:spacing w:val="-7"/>
                <w:sz w:val="18"/>
              </w:rPr>
              <w:t> </w:t>
            </w:r>
            <w:r>
              <w:rPr>
                <w:sz w:val="18"/>
              </w:rPr>
              <w:t>Landsadvocaat</w:t>
            </w:r>
            <w:r>
              <w:rPr>
                <w:spacing w:val="-6"/>
                <w:sz w:val="18"/>
              </w:rPr>
              <w:t> </w:t>
            </w:r>
            <w:r>
              <w:rPr>
                <w:sz w:val="18"/>
              </w:rPr>
              <w:t>vrijwel</w:t>
            </w:r>
            <w:r>
              <w:rPr>
                <w:spacing w:val="-6"/>
                <w:sz w:val="18"/>
              </w:rPr>
              <w:t> </w:t>
            </w:r>
            <w:r>
              <w:rPr>
                <w:sz w:val="18"/>
              </w:rPr>
              <w:t>uitsluitend</w:t>
            </w:r>
            <w:r>
              <w:rPr>
                <w:spacing w:val="-7"/>
                <w:sz w:val="18"/>
              </w:rPr>
              <w:t> </w:t>
            </w:r>
            <w:r>
              <w:rPr>
                <w:sz w:val="18"/>
              </w:rPr>
              <w:t>ingeschakeld</w:t>
            </w:r>
            <w:r>
              <w:rPr>
                <w:spacing w:val="-7"/>
                <w:sz w:val="18"/>
              </w:rPr>
              <w:t> </w:t>
            </w:r>
            <w:r>
              <w:rPr>
                <w:sz w:val="18"/>
              </w:rPr>
              <w:t>voor procesvertegenwoordiging/-advies; in 2023 betrof het 26 nieuwe zaken.</w:t>
            </w:r>
          </w:p>
          <w:p>
            <w:pPr>
              <w:pStyle w:val="TableParagraph"/>
              <w:spacing w:before="31"/>
              <w:ind w:left="0"/>
              <w:rPr>
                <w:b/>
                <w:sz w:val="18"/>
              </w:rPr>
            </w:pPr>
          </w:p>
          <w:p>
            <w:pPr>
              <w:pStyle w:val="TableParagraph"/>
              <w:spacing w:before="1" w:line="276" w:lineRule="auto"/>
              <w:ind w:right="47"/>
              <w:rPr>
                <w:sz w:val="18"/>
              </w:rPr>
            </w:pPr>
            <w:r>
              <w:rPr>
                <w:sz w:val="18"/>
              </w:rPr>
              <w:t>Zoals in</w:t>
            </w:r>
            <w:r>
              <w:rPr>
                <w:spacing w:val="-1"/>
                <w:sz w:val="18"/>
              </w:rPr>
              <w:t> </w:t>
            </w:r>
            <w:r>
              <w:rPr>
                <w:sz w:val="18"/>
              </w:rPr>
              <w:t>de kabinetsreactie</w:t>
            </w:r>
            <w:r>
              <w:rPr>
                <w:spacing w:val="-2"/>
                <w:sz w:val="18"/>
              </w:rPr>
              <w:t> </w:t>
            </w:r>
            <w:r>
              <w:rPr>
                <w:sz w:val="18"/>
              </w:rPr>
              <w:t>op het rapport van</w:t>
            </w:r>
            <w:r>
              <w:rPr>
                <w:spacing w:val="-2"/>
                <w:sz w:val="18"/>
              </w:rPr>
              <w:t> </w:t>
            </w:r>
            <w:r>
              <w:rPr>
                <w:sz w:val="18"/>
              </w:rPr>
              <w:t>de commissie Silvis is aangegeven,</w:t>
            </w:r>
            <w:r>
              <w:rPr>
                <w:spacing w:val="-1"/>
                <w:sz w:val="18"/>
              </w:rPr>
              <w:t> </w:t>
            </w:r>
            <w:r>
              <w:rPr>
                <w:sz w:val="18"/>
              </w:rPr>
              <w:t>wordt binnen</w:t>
            </w:r>
            <w:r>
              <w:rPr>
                <w:spacing w:val="-6"/>
                <w:sz w:val="18"/>
              </w:rPr>
              <w:t> </w:t>
            </w:r>
            <w:r>
              <w:rPr>
                <w:sz w:val="18"/>
              </w:rPr>
              <w:t>een</w:t>
            </w:r>
            <w:r>
              <w:rPr>
                <w:spacing w:val="-6"/>
                <w:sz w:val="18"/>
              </w:rPr>
              <w:t> </w:t>
            </w:r>
            <w:r>
              <w:rPr>
                <w:sz w:val="18"/>
              </w:rPr>
              <w:t>kopgroep</w:t>
            </w:r>
            <w:r>
              <w:rPr>
                <w:spacing w:val="-5"/>
                <w:sz w:val="18"/>
              </w:rPr>
              <w:t> </w:t>
            </w:r>
            <w:r>
              <w:rPr>
                <w:sz w:val="18"/>
              </w:rPr>
              <w:t>van</w:t>
            </w:r>
            <w:r>
              <w:rPr>
                <w:spacing w:val="-7"/>
                <w:sz w:val="18"/>
              </w:rPr>
              <w:t> </w:t>
            </w:r>
            <w:r>
              <w:rPr>
                <w:sz w:val="18"/>
              </w:rPr>
              <w:t>ministeries</w:t>
            </w:r>
            <w:r>
              <w:rPr>
                <w:spacing w:val="-5"/>
                <w:sz w:val="18"/>
              </w:rPr>
              <w:t> </w:t>
            </w:r>
            <w:r>
              <w:rPr>
                <w:sz w:val="18"/>
              </w:rPr>
              <w:t>onder</w:t>
            </w:r>
            <w:r>
              <w:rPr>
                <w:spacing w:val="-5"/>
                <w:sz w:val="18"/>
              </w:rPr>
              <w:t> </w:t>
            </w:r>
            <w:r>
              <w:rPr>
                <w:sz w:val="18"/>
              </w:rPr>
              <w:t>leiding</w:t>
            </w:r>
            <w:r>
              <w:rPr>
                <w:spacing w:val="-5"/>
                <w:sz w:val="18"/>
              </w:rPr>
              <w:t> </w:t>
            </w:r>
            <w:r>
              <w:rPr>
                <w:sz w:val="18"/>
              </w:rPr>
              <w:t>van</w:t>
            </w:r>
            <w:r>
              <w:rPr>
                <w:spacing w:val="-7"/>
                <w:sz w:val="18"/>
              </w:rPr>
              <w:t> </w:t>
            </w:r>
            <w:r>
              <w:rPr>
                <w:sz w:val="18"/>
              </w:rPr>
              <w:t>Justitie</w:t>
            </w:r>
            <w:r>
              <w:rPr>
                <w:spacing w:val="-5"/>
                <w:sz w:val="18"/>
              </w:rPr>
              <w:t> </w:t>
            </w:r>
            <w:r>
              <w:rPr>
                <w:sz w:val="18"/>
              </w:rPr>
              <w:t>en</w:t>
            </w:r>
            <w:r>
              <w:rPr>
                <w:spacing w:val="-6"/>
                <w:sz w:val="18"/>
              </w:rPr>
              <w:t> </w:t>
            </w:r>
            <w:r>
              <w:rPr>
                <w:sz w:val="18"/>
              </w:rPr>
              <w:t>Veiligheid</w:t>
            </w:r>
            <w:r>
              <w:rPr>
                <w:spacing w:val="-5"/>
                <w:sz w:val="18"/>
              </w:rPr>
              <w:t> </w:t>
            </w:r>
            <w:r>
              <w:rPr>
                <w:sz w:val="18"/>
              </w:rPr>
              <w:t>gewerkt</w:t>
            </w:r>
            <w:r>
              <w:rPr>
                <w:spacing w:val="-4"/>
                <w:sz w:val="18"/>
              </w:rPr>
              <w:t> </w:t>
            </w:r>
            <w:r>
              <w:rPr>
                <w:sz w:val="18"/>
              </w:rPr>
              <w:t>aan versterking van het opdrachtgeverschap. Daartoe worden sinds begin 2024 binnen de kopgroep structureel een aantal gegevens op uniforme wijze geregistreerd bij het verlenen van een opdracht aan de Landsadvocaat. Dit om ministeries en andere</w:t>
            </w:r>
          </w:p>
          <w:p>
            <w:pPr>
              <w:pStyle w:val="TableParagraph"/>
              <w:spacing w:line="276" w:lineRule="auto"/>
              <w:rPr>
                <w:sz w:val="18"/>
              </w:rPr>
            </w:pPr>
            <w:r>
              <w:rPr>
                <w:sz w:val="18"/>
              </w:rPr>
              <w:t>rijksonderdelen</w:t>
            </w:r>
            <w:r>
              <w:rPr>
                <w:spacing w:val="-5"/>
                <w:sz w:val="18"/>
              </w:rPr>
              <w:t> </w:t>
            </w:r>
            <w:r>
              <w:rPr>
                <w:sz w:val="18"/>
              </w:rPr>
              <w:t>beter</w:t>
            </w:r>
            <w:r>
              <w:rPr>
                <w:spacing w:val="-4"/>
                <w:sz w:val="18"/>
              </w:rPr>
              <w:t> </w:t>
            </w:r>
            <w:r>
              <w:rPr>
                <w:sz w:val="18"/>
              </w:rPr>
              <w:t>in</w:t>
            </w:r>
            <w:r>
              <w:rPr>
                <w:spacing w:val="-5"/>
                <w:sz w:val="18"/>
              </w:rPr>
              <w:t> </w:t>
            </w:r>
            <w:r>
              <w:rPr>
                <w:sz w:val="18"/>
              </w:rPr>
              <w:t>staat</w:t>
            </w:r>
            <w:r>
              <w:rPr>
                <w:spacing w:val="-4"/>
                <w:sz w:val="18"/>
              </w:rPr>
              <w:t> </w:t>
            </w:r>
            <w:r>
              <w:rPr>
                <w:sz w:val="18"/>
              </w:rPr>
              <w:t>te</w:t>
            </w:r>
            <w:r>
              <w:rPr>
                <w:spacing w:val="-4"/>
                <w:sz w:val="18"/>
              </w:rPr>
              <w:t> </w:t>
            </w:r>
            <w:r>
              <w:rPr>
                <w:sz w:val="18"/>
              </w:rPr>
              <w:t>stellen</w:t>
            </w:r>
            <w:r>
              <w:rPr>
                <w:spacing w:val="-5"/>
                <w:sz w:val="18"/>
              </w:rPr>
              <w:t> </w:t>
            </w:r>
            <w:r>
              <w:rPr>
                <w:sz w:val="18"/>
              </w:rPr>
              <w:t>trends</w:t>
            </w:r>
            <w:r>
              <w:rPr>
                <w:spacing w:val="-4"/>
                <w:sz w:val="18"/>
              </w:rPr>
              <w:t> </w:t>
            </w:r>
            <w:r>
              <w:rPr>
                <w:sz w:val="18"/>
              </w:rPr>
              <w:t>te</w:t>
            </w:r>
            <w:r>
              <w:rPr>
                <w:spacing w:val="-4"/>
                <w:sz w:val="18"/>
              </w:rPr>
              <w:t> </w:t>
            </w:r>
            <w:r>
              <w:rPr>
                <w:sz w:val="18"/>
              </w:rPr>
              <w:t>signaleren</w:t>
            </w:r>
            <w:r>
              <w:rPr>
                <w:spacing w:val="-5"/>
                <w:sz w:val="18"/>
              </w:rPr>
              <w:t> </w:t>
            </w:r>
            <w:r>
              <w:rPr>
                <w:sz w:val="18"/>
              </w:rPr>
              <w:t>in</w:t>
            </w:r>
            <w:r>
              <w:rPr>
                <w:spacing w:val="-5"/>
                <w:sz w:val="18"/>
              </w:rPr>
              <w:t> </w:t>
            </w:r>
            <w:r>
              <w:rPr>
                <w:sz w:val="18"/>
              </w:rPr>
              <w:t>de</w:t>
            </w:r>
            <w:r>
              <w:rPr>
                <w:spacing w:val="-4"/>
                <w:sz w:val="18"/>
              </w:rPr>
              <w:t> </w:t>
            </w:r>
            <w:r>
              <w:rPr>
                <w:sz w:val="18"/>
              </w:rPr>
              <w:t>opdrachtverlening</w:t>
            </w:r>
            <w:r>
              <w:rPr>
                <w:spacing w:val="-4"/>
                <w:sz w:val="18"/>
              </w:rPr>
              <w:t> </w:t>
            </w:r>
            <w:r>
              <w:rPr>
                <w:sz w:val="18"/>
              </w:rPr>
              <w:t>aan advocatenkantoren en hierop in te spelen. Dit zal gaan leiden tot nadere interdepartementale afspraken hierover. De Minister van Justitie en Veiligheid heeft</w:t>
            </w:r>
          </w:p>
          <w:p>
            <w:pPr>
              <w:pStyle w:val="TableParagraph"/>
              <w:spacing w:before="1" w:line="276" w:lineRule="auto"/>
              <w:rPr>
                <w:sz w:val="18"/>
              </w:rPr>
            </w:pPr>
            <w:r>
              <w:rPr>
                <w:sz w:val="18"/>
              </w:rPr>
              <w:t>aangegeven</w:t>
            </w:r>
            <w:r>
              <w:rPr>
                <w:spacing w:val="-5"/>
                <w:sz w:val="18"/>
              </w:rPr>
              <w:t> </w:t>
            </w:r>
            <w:r>
              <w:rPr>
                <w:sz w:val="18"/>
              </w:rPr>
              <w:t>ernaar</w:t>
            </w:r>
            <w:r>
              <w:rPr>
                <w:spacing w:val="-5"/>
                <w:sz w:val="18"/>
              </w:rPr>
              <w:t> </w:t>
            </w:r>
            <w:r>
              <w:rPr>
                <w:sz w:val="18"/>
              </w:rPr>
              <w:t>te</w:t>
            </w:r>
            <w:r>
              <w:rPr>
                <w:spacing w:val="-4"/>
                <w:sz w:val="18"/>
              </w:rPr>
              <w:t> </w:t>
            </w:r>
            <w:r>
              <w:rPr>
                <w:sz w:val="18"/>
              </w:rPr>
              <w:t>streven</w:t>
            </w:r>
            <w:r>
              <w:rPr>
                <w:spacing w:val="-5"/>
                <w:sz w:val="18"/>
              </w:rPr>
              <w:t> </w:t>
            </w:r>
            <w:r>
              <w:rPr>
                <w:sz w:val="18"/>
              </w:rPr>
              <w:t>om</w:t>
            </w:r>
            <w:r>
              <w:rPr>
                <w:spacing w:val="-4"/>
                <w:sz w:val="18"/>
              </w:rPr>
              <w:t> </w:t>
            </w:r>
            <w:r>
              <w:rPr>
                <w:sz w:val="18"/>
              </w:rPr>
              <w:t>begin</w:t>
            </w:r>
            <w:r>
              <w:rPr>
                <w:spacing w:val="-5"/>
                <w:sz w:val="18"/>
              </w:rPr>
              <w:t> </w:t>
            </w:r>
            <w:r>
              <w:rPr>
                <w:sz w:val="18"/>
              </w:rPr>
              <w:t>2025</w:t>
            </w:r>
            <w:r>
              <w:rPr>
                <w:spacing w:val="-4"/>
                <w:sz w:val="18"/>
              </w:rPr>
              <w:t> </w:t>
            </w:r>
            <w:r>
              <w:rPr>
                <w:sz w:val="18"/>
              </w:rPr>
              <w:t>uw</w:t>
            </w:r>
            <w:r>
              <w:rPr>
                <w:spacing w:val="-5"/>
                <w:sz w:val="18"/>
              </w:rPr>
              <w:t> </w:t>
            </w:r>
            <w:r>
              <w:rPr>
                <w:sz w:val="18"/>
              </w:rPr>
              <w:t>Kamer</w:t>
            </w:r>
            <w:r>
              <w:rPr>
                <w:spacing w:val="-4"/>
                <w:sz w:val="18"/>
              </w:rPr>
              <w:t> </w:t>
            </w:r>
            <w:r>
              <w:rPr>
                <w:sz w:val="18"/>
              </w:rPr>
              <w:t>over</w:t>
            </w:r>
            <w:r>
              <w:rPr>
                <w:spacing w:val="-4"/>
                <w:sz w:val="18"/>
              </w:rPr>
              <w:t> </w:t>
            </w:r>
            <w:r>
              <w:rPr>
                <w:sz w:val="18"/>
              </w:rPr>
              <w:t>de</w:t>
            </w:r>
            <w:r>
              <w:rPr>
                <w:spacing w:val="-4"/>
                <w:sz w:val="18"/>
              </w:rPr>
              <w:t> </w:t>
            </w:r>
            <w:r>
              <w:rPr>
                <w:sz w:val="18"/>
              </w:rPr>
              <w:t>voortgang</w:t>
            </w:r>
            <w:r>
              <w:rPr>
                <w:spacing w:val="-4"/>
                <w:sz w:val="18"/>
              </w:rPr>
              <w:t> </w:t>
            </w:r>
            <w:r>
              <w:rPr>
                <w:sz w:val="18"/>
              </w:rPr>
              <w:t>hiervan</w:t>
            </w:r>
            <w:r>
              <w:rPr>
                <w:spacing w:val="-6"/>
                <w:sz w:val="18"/>
              </w:rPr>
              <w:t> </w:t>
            </w:r>
            <w:r>
              <w:rPr>
                <w:sz w:val="18"/>
              </w:rPr>
              <w:t>te </w:t>
            </w:r>
            <w:r>
              <w:rPr>
                <w:spacing w:val="-2"/>
                <w:sz w:val="18"/>
              </w:rPr>
              <w:t>informeren.</w:t>
            </w:r>
          </w:p>
        </w:tc>
      </w:tr>
      <w:tr>
        <w:trPr>
          <w:trHeight w:val="864" w:hRule="atLeast"/>
        </w:trPr>
        <w:tc>
          <w:tcPr>
            <w:tcW w:w="460" w:type="dxa"/>
          </w:tcPr>
          <w:p>
            <w:pPr>
              <w:pStyle w:val="TableParagraph"/>
              <w:spacing w:before="141"/>
              <w:ind w:left="50"/>
              <w:rPr>
                <w:sz w:val="18"/>
              </w:rPr>
            </w:pPr>
            <w:r>
              <w:rPr>
                <w:spacing w:val="-10"/>
                <w:sz w:val="18"/>
              </w:rPr>
              <w:t>3</w:t>
            </w:r>
          </w:p>
        </w:tc>
        <w:tc>
          <w:tcPr>
            <w:tcW w:w="8488" w:type="dxa"/>
          </w:tcPr>
          <w:p>
            <w:pPr>
              <w:pStyle w:val="TableParagraph"/>
              <w:spacing w:before="141"/>
              <w:rPr>
                <w:b/>
                <w:sz w:val="18"/>
              </w:rPr>
            </w:pPr>
            <w:r>
              <w:rPr>
                <w:b/>
                <w:spacing w:val="-2"/>
                <w:sz w:val="18"/>
              </w:rPr>
              <w:t>Vraag:</w:t>
            </w:r>
          </w:p>
          <w:p>
            <w:pPr>
              <w:pStyle w:val="TableParagraph"/>
              <w:spacing w:line="250" w:lineRule="atLeast"/>
              <w:ind w:right="86"/>
              <w:rPr>
                <w:sz w:val="18"/>
              </w:rPr>
            </w:pPr>
            <w:r>
              <w:rPr>
                <w:sz w:val="18"/>
              </w:rPr>
              <w:t>Hoe</w:t>
            </w:r>
            <w:r>
              <w:rPr>
                <w:spacing w:val="-5"/>
                <w:sz w:val="18"/>
              </w:rPr>
              <w:t> </w:t>
            </w:r>
            <w:r>
              <w:rPr>
                <w:sz w:val="18"/>
              </w:rPr>
              <w:t>vaak</w:t>
            </w:r>
            <w:r>
              <w:rPr>
                <w:spacing w:val="-7"/>
                <w:sz w:val="18"/>
              </w:rPr>
              <w:t> </w:t>
            </w:r>
            <w:r>
              <w:rPr>
                <w:sz w:val="18"/>
              </w:rPr>
              <w:t>heeft</w:t>
            </w:r>
            <w:r>
              <w:rPr>
                <w:spacing w:val="-4"/>
                <w:sz w:val="18"/>
              </w:rPr>
              <w:t> </w:t>
            </w:r>
            <w:r>
              <w:rPr>
                <w:sz w:val="18"/>
              </w:rPr>
              <w:t>uw</w:t>
            </w:r>
            <w:r>
              <w:rPr>
                <w:spacing w:val="-6"/>
                <w:sz w:val="18"/>
              </w:rPr>
              <w:t> </w:t>
            </w:r>
            <w:r>
              <w:rPr>
                <w:sz w:val="18"/>
              </w:rPr>
              <w:t>ministerie</w:t>
            </w:r>
            <w:r>
              <w:rPr>
                <w:spacing w:val="-5"/>
                <w:sz w:val="18"/>
              </w:rPr>
              <w:t> </w:t>
            </w:r>
            <w:r>
              <w:rPr>
                <w:sz w:val="18"/>
              </w:rPr>
              <w:t>met</w:t>
            </w:r>
            <w:r>
              <w:rPr>
                <w:spacing w:val="-4"/>
                <w:sz w:val="18"/>
              </w:rPr>
              <w:t> </w:t>
            </w:r>
            <w:r>
              <w:rPr>
                <w:sz w:val="18"/>
              </w:rPr>
              <w:t>inzet</w:t>
            </w:r>
            <w:r>
              <w:rPr>
                <w:spacing w:val="-4"/>
                <w:sz w:val="18"/>
              </w:rPr>
              <w:t> </w:t>
            </w:r>
            <w:r>
              <w:rPr>
                <w:sz w:val="18"/>
              </w:rPr>
              <w:t>van</w:t>
            </w:r>
            <w:r>
              <w:rPr>
                <w:spacing w:val="-7"/>
                <w:sz w:val="18"/>
              </w:rPr>
              <w:t> </w:t>
            </w:r>
            <w:r>
              <w:rPr>
                <w:sz w:val="18"/>
              </w:rPr>
              <w:t>de</w:t>
            </w:r>
            <w:r>
              <w:rPr>
                <w:spacing w:val="-5"/>
                <w:sz w:val="18"/>
              </w:rPr>
              <w:t> </w:t>
            </w:r>
            <w:r>
              <w:rPr>
                <w:sz w:val="18"/>
              </w:rPr>
              <w:t>landsadvocaat</w:t>
            </w:r>
            <w:r>
              <w:rPr>
                <w:spacing w:val="-4"/>
                <w:sz w:val="18"/>
              </w:rPr>
              <w:t> </w:t>
            </w:r>
            <w:r>
              <w:rPr>
                <w:sz w:val="18"/>
              </w:rPr>
              <w:t>geprocedeerd</w:t>
            </w:r>
            <w:r>
              <w:rPr>
                <w:spacing w:val="-5"/>
                <w:sz w:val="18"/>
              </w:rPr>
              <w:t> </w:t>
            </w:r>
            <w:r>
              <w:rPr>
                <w:sz w:val="18"/>
              </w:rPr>
              <w:t>tegen mensen en in welke zaken was dat het geval?</w:t>
            </w:r>
          </w:p>
        </w:tc>
      </w:tr>
    </w:tbl>
    <w:p>
      <w:pPr>
        <w:spacing w:after="0" w:line="250" w:lineRule="atLeast"/>
        <w:rPr>
          <w:sz w:val="18"/>
        </w:rPr>
        <w:sectPr>
          <w:type w:val="continuous"/>
          <w:pgSz w:w="11910" w:h="16840"/>
          <w:pgMar w:top="1320" w:right="1380" w:bottom="1455" w:left="1360"/>
        </w:sectPr>
      </w:pPr>
    </w:p>
    <w:tbl>
      <w:tblPr>
        <w:tblW w:w="0" w:type="auto"/>
        <w:jc w:val="lef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460"/>
        <w:gridCol w:w="8456"/>
      </w:tblGrid>
      <w:tr>
        <w:trPr>
          <w:trHeight w:val="1871" w:hRule="atLeast"/>
        </w:trPr>
        <w:tc>
          <w:tcPr>
            <w:tcW w:w="460" w:type="dxa"/>
          </w:tcPr>
          <w:p>
            <w:pPr>
              <w:pStyle w:val="TableParagraph"/>
              <w:ind w:left="0"/>
              <w:rPr>
                <w:rFonts w:ascii="Times New Roman"/>
                <w:sz w:val="18"/>
              </w:rPr>
            </w:pPr>
          </w:p>
        </w:tc>
        <w:tc>
          <w:tcPr>
            <w:tcW w:w="8456" w:type="dxa"/>
          </w:tcPr>
          <w:p>
            <w:pPr>
              <w:pStyle w:val="TableParagraph"/>
              <w:rPr>
                <w:b/>
                <w:sz w:val="18"/>
              </w:rPr>
            </w:pPr>
            <w:r>
              <w:rPr>
                <w:b/>
                <w:spacing w:val="-2"/>
                <w:sz w:val="18"/>
              </w:rPr>
              <w:t>Antwoord:</w:t>
            </w:r>
          </w:p>
          <w:p>
            <w:pPr>
              <w:pStyle w:val="TableParagraph"/>
              <w:spacing w:before="33"/>
              <w:rPr>
                <w:sz w:val="18"/>
              </w:rPr>
            </w:pPr>
            <w:r>
              <w:rPr>
                <w:sz w:val="18"/>
              </w:rPr>
              <w:t>Hiervan</w:t>
            </w:r>
            <w:r>
              <w:rPr>
                <w:spacing w:val="-10"/>
                <w:sz w:val="18"/>
              </w:rPr>
              <w:t> </w:t>
            </w:r>
            <w:r>
              <w:rPr>
                <w:sz w:val="18"/>
              </w:rPr>
              <w:t>is</w:t>
            </w:r>
            <w:r>
              <w:rPr>
                <w:spacing w:val="-6"/>
                <w:sz w:val="18"/>
              </w:rPr>
              <w:t> </w:t>
            </w:r>
            <w:r>
              <w:rPr>
                <w:sz w:val="18"/>
              </w:rPr>
              <w:t>over</w:t>
            </w:r>
            <w:r>
              <w:rPr>
                <w:spacing w:val="-6"/>
                <w:sz w:val="18"/>
              </w:rPr>
              <w:t> </w:t>
            </w:r>
            <w:r>
              <w:rPr>
                <w:sz w:val="18"/>
              </w:rPr>
              <w:t>2023</w:t>
            </w:r>
            <w:r>
              <w:rPr>
                <w:spacing w:val="-6"/>
                <w:sz w:val="18"/>
              </w:rPr>
              <w:t> </w:t>
            </w:r>
            <w:r>
              <w:rPr>
                <w:sz w:val="18"/>
              </w:rPr>
              <w:t>geen</w:t>
            </w:r>
            <w:r>
              <w:rPr>
                <w:spacing w:val="-6"/>
                <w:sz w:val="18"/>
              </w:rPr>
              <w:t> </w:t>
            </w:r>
            <w:r>
              <w:rPr>
                <w:sz w:val="18"/>
              </w:rPr>
              <w:t>registratie</w:t>
            </w:r>
            <w:r>
              <w:rPr>
                <w:spacing w:val="-6"/>
                <w:sz w:val="18"/>
              </w:rPr>
              <w:t> </w:t>
            </w:r>
            <w:r>
              <w:rPr>
                <w:sz w:val="18"/>
              </w:rPr>
              <w:t>beschikbaar.</w:t>
            </w:r>
            <w:r>
              <w:rPr>
                <w:spacing w:val="-7"/>
                <w:sz w:val="18"/>
              </w:rPr>
              <w:t> </w:t>
            </w:r>
            <w:r>
              <w:rPr>
                <w:sz w:val="18"/>
              </w:rPr>
              <w:t>In</w:t>
            </w:r>
            <w:r>
              <w:rPr>
                <w:spacing w:val="-5"/>
                <w:sz w:val="18"/>
              </w:rPr>
              <w:t> </w:t>
            </w:r>
            <w:r>
              <w:rPr>
                <w:sz w:val="18"/>
              </w:rPr>
              <w:t>het</w:t>
            </w:r>
            <w:r>
              <w:rPr>
                <w:spacing w:val="-5"/>
                <w:sz w:val="18"/>
              </w:rPr>
              <w:t> </w:t>
            </w:r>
            <w:r>
              <w:rPr>
                <w:sz w:val="18"/>
              </w:rPr>
              <w:t>algemeen</w:t>
            </w:r>
            <w:r>
              <w:rPr>
                <w:spacing w:val="-7"/>
                <w:sz w:val="18"/>
              </w:rPr>
              <w:t> </w:t>
            </w:r>
            <w:r>
              <w:rPr>
                <w:sz w:val="18"/>
              </w:rPr>
              <w:t>kan</w:t>
            </w:r>
            <w:r>
              <w:rPr>
                <w:spacing w:val="-4"/>
                <w:sz w:val="18"/>
              </w:rPr>
              <w:t> </w:t>
            </w:r>
            <w:r>
              <w:rPr>
                <w:spacing w:val="-2"/>
                <w:sz w:val="18"/>
              </w:rPr>
              <w:t>worden</w:t>
            </w:r>
          </w:p>
          <w:p>
            <w:pPr>
              <w:pStyle w:val="TableParagraph"/>
              <w:spacing w:before="34" w:line="276" w:lineRule="auto"/>
              <w:ind w:right="254"/>
              <w:jc w:val="both"/>
              <w:rPr>
                <w:sz w:val="18"/>
              </w:rPr>
            </w:pPr>
            <w:r>
              <w:rPr>
                <w:sz w:val="18"/>
              </w:rPr>
              <w:t>aangegeven</w:t>
            </w:r>
            <w:r>
              <w:rPr>
                <w:spacing w:val="-3"/>
                <w:sz w:val="18"/>
              </w:rPr>
              <w:t> </w:t>
            </w:r>
            <w:r>
              <w:rPr>
                <w:sz w:val="18"/>
              </w:rPr>
              <w:t>dat</w:t>
            </w:r>
            <w:r>
              <w:rPr>
                <w:spacing w:val="-2"/>
                <w:sz w:val="18"/>
              </w:rPr>
              <w:t> </w:t>
            </w:r>
            <w:r>
              <w:rPr>
                <w:sz w:val="18"/>
              </w:rPr>
              <w:t>in</w:t>
            </w:r>
            <w:r>
              <w:rPr>
                <w:spacing w:val="-3"/>
                <w:sz w:val="18"/>
              </w:rPr>
              <w:t> </w:t>
            </w:r>
            <w:r>
              <w:rPr>
                <w:sz w:val="18"/>
              </w:rPr>
              <w:t>civielrechtelijke</w:t>
            </w:r>
            <w:r>
              <w:rPr>
                <w:spacing w:val="-2"/>
                <w:sz w:val="18"/>
              </w:rPr>
              <w:t> </w:t>
            </w:r>
            <w:r>
              <w:rPr>
                <w:sz w:val="18"/>
              </w:rPr>
              <w:t>procedures</w:t>
            </w:r>
            <w:r>
              <w:rPr>
                <w:spacing w:val="-2"/>
                <w:sz w:val="18"/>
              </w:rPr>
              <w:t> </w:t>
            </w:r>
            <w:r>
              <w:rPr>
                <w:sz w:val="18"/>
              </w:rPr>
              <w:t>waarin</w:t>
            </w:r>
            <w:r>
              <w:rPr>
                <w:spacing w:val="-3"/>
                <w:sz w:val="18"/>
              </w:rPr>
              <w:t> </w:t>
            </w:r>
            <w:r>
              <w:rPr>
                <w:sz w:val="18"/>
              </w:rPr>
              <w:t>de</w:t>
            </w:r>
            <w:r>
              <w:rPr>
                <w:spacing w:val="-2"/>
                <w:sz w:val="18"/>
              </w:rPr>
              <w:t> </w:t>
            </w:r>
            <w:r>
              <w:rPr>
                <w:sz w:val="18"/>
              </w:rPr>
              <w:t>landsadvocaat</w:t>
            </w:r>
            <w:r>
              <w:rPr>
                <w:spacing w:val="-1"/>
                <w:sz w:val="18"/>
              </w:rPr>
              <w:t> </w:t>
            </w:r>
            <w:r>
              <w:rPr>
                <w:sz w:val="18"/>
              </w:rPr>
              <w:t>wordt</w:t>
            </w:r>
            <w:r>
              <w:rPr>
                <w:spacing w:val="-1"/>
                <w:sz w:val="18"/>
              </w:rPr>
              <w:t> </w:t>
            </w:r>
            <w:r>
              <w:rPr>
                <w:sz w:val="18"/>
              </w:rPr>
              <w:t>ingezet, de</w:t>
            </w:r>
            <w:r>
              <w:rPr>
                <w:spacing w:val="-5"/>
                <w:sz w:val="18"/>
              </w:rPr>
              <w:t> </w:t>
            </w:r>
            <w:r>
              <w:rPr>
                <w:sz w:val="18"/>
              </w:rPr>
              <w:t>Staat</w:t>
            </w:r>
            <w:r>
              <w:rPr>
                <w:spacing w:val="-5"/>
                <w:sz w:val="18"/>
              </w:rPr>
              <w:t> </w:t>
            </w:r>
            <w:r>
              <w:rPr>
                <w:sz w:val="18"/>
              </w:rPr>
              <w:t>vrijwel</w:t>
            </w:r>
            <w:r>
              <w:rPr>
                <w:spacing w:val="-4"/>
                <w:sz w:val="18"/>
              </w:rPr>
              <w:t> </w:t>
            </w:r>
            <w:r>
              <w:rPr>
                <w:sz w:val="18"/>
              </w:rPr>
              <w:t>altijd</w:t>
            </w:r>
            <w:r>
              <w:rPr>
                <w:spacing w:val="-4"/>
                <w:sz w:val="18"/>
              </w:rPr>
              <w:t> </w:t>
            </w:r>
            <w:r>
              <w:rPr>
                <w:sz w:val="18"/>
              </w:rPr>
              <w:t>gedaagde</w:t>
            </w:r>
            <w:r>
              <w:rPr>
                <w:spacing w:val="-5"/>
                <w:sz w:val="18"/>
              </w:rPr>
              <w:t> </w:t>
            </w:r>
            <w:r>
              <w:rPr>
                <w:sz w:val="18"/>
              </w:rPr>
              <w:t>is.</w:t>
            </w:r>
            <w:r>
              <w:rPr>
                <w:spacing w:val="-6"/>
                <w:sz w:val="18"/>
              </w:rPr>
              <w:t> </w:t>
            </w:r>
            <w:r>
              <w:rPr>
                <w:sz w:val="18"/>
              </w:rPr>
              <w:t>In</w:t>
            </w:r>
            <w:r>
              <w:rPr>
                <w:spacing w:val="-1"/>
                <w:sz w:val="18"/>
              </w:rPr>
              <w:t> </w:t>
            </w:r>
            <w:r>
              <w:rPr>
                <w:sz w:val="18"/>
              </w:rPr>
              <w:t>bestuursrechtelijke</w:t>
            </w:r>
            <w:r>
              <w:rPr>
                <w:spacing w:val="-5"/>
                <w:sz w:val="18"/>
              </w:rPr>
              <w:t> </w:t>
            </w:r>
            <w:r>
              <w:rPr>
                <w:sz w:val="18"/>
              </w:rPr>
              <w:t>zaken</w:t>
            </w:r>
            <w:r>
              <w:rPr>
                <w:spacing w:val="-6"/>
                <w:sz w:val="18"/>
              </w:rPr>
              <w:t> </w:t>
            </w:r>
            <w:r>
              <w:rPr>
                <w:sz w:val="18"/>
              </w:rPr>
              <w:t>geldt</w:t>
            </w:r>
            <w:r>
              <w:rPr>
                <w:spacing w:val="-4"/>
                <w:sz w:val="18"/>
              </w:rPr>
              <w:t> </w:t>
            </w:r>
            <w:r>
              <w:rPr>
                <w:sz w:val="18"/>
              </w:rPr>
              <w:t>het</w:t>
            </w:r>
            <w:r>
              <w:rPr>
                <w:spacing w:val="-4"/>
                <w:sz w:val="18"/>
              </w:rPr>
              <w:t> </w:t>
            </w:r>
            <w:r>
              <w:rPr>
                <w:sz w:val="18"/>
              </w:rPr>
              <w:t>uitgangspunt dat het bestuursorgaan vertegenwoordigd wordt door ambtenaren. Soms zijn er</w:t>
            </w:r>
          </w:p>
          <w:p>
            <w:pPr>
              <w:pStyle w:val="TableParagraph"/>
              <w:spacing w:before="1" w:line="273" w:lineRule="auto"/>
              <w:ind w:right="379"/>
              <w:jc w:val="both"/>
              <w:rPr>
                <w:sz w:val="18"/>
              </w:rPr>
            </w:pPr>
            <w:r>
              <w:rPr>
                <w:sz w:val="18"/>
              </w:rPr>
              <w:t>redenen,</w:t>
            </w:r>
            <w:r>
              <w:rPr>
                <w:spacing w:val="-5"/>
                <w:sz w:val="18"/>
              </w:rPr>
              <w:t> </w:t>
            </w:r>
            <w:r>
              <w:rPr>
                <w:sz w:val="18"/>
              </w:rPr>
              <w:t>zoals</w:t>
            </w:r>
            <w:r>
              <w:rPr>
                <w:spacing w:val="-4"/>
                <w:sz w:val="18"/>
              </w:rPr>
              <w:t> </w:t>
            </w:r>
            <w:r>
              <w:rPr>
                <w:sz w:val="18"/>
              </w:rPr>
              <w:t>de</w:t>
            </w:r>
            <w:r>
              <w:rPr>
                <w:spacing w:val="-4"/>
                <w:sz w:val="18"/>
              </w:rPr>
              <w:t> </w:t>
            </w:r>
            <w:r>
              <w:rPr>
                <w:sz w:val="18"/>
              </w:rPr>
              <w:t>complexiteit</w:t>
            </w:r>
            <w:r>
              <w:rPr>
                <w:spacing w:val="-3"/>
                <w:sz w:val="18"/>
              </w:rPr>
              <w:t> </w:t>
            </w:r>
            <w:r>
              <w:rPr>
                <w:sz w:val="18"/>
              </w:rPr>
              <w:t>van</w:t>
            </w:r>
            <w:r>
              <w:rPr>
                <w:spacing w:val="-6"/>
                <w:sz w:val="18"/>
              </w:rPr>
              <w:t> </w:t>
            </w:r>
            <w:r>
              <w:rPr>
                <w:sz w:val="18"/>
              </w:rPr>
              <w:t>de</w:t>
            </w:r>
            <w:r>
              <w:rPr>
                <w:spacing w:val="-4"/>
                <w:sz w:val="18"/>
              </w:rPr>
              <w:t> </w:t>
            </w:r>
            <w:r>
              <w:rPr>
                <w:sz w:val="18"/>
              </w:rPr>
              <w:t>zaak,</w:t>
            </w:r>
            <w:r>
              <w:rPr>
                <w:spacing w:val="-5"/>
                <w:sz w:val="18"/>
              </w:rPr>
              <w:t> </w:t>
            </w:r>
            <w:r>
              <w:rPr>
                <w:sz w:val="18"/>
              </w:rPr>
              <w:t>om</w:t>
            </w:r>
            <w:r>
              <w:rPr>
                <w:spacing w:val="-4"/>
                <w:sz w:val="18"/>
              </w:rPr>
              <w:t> </w:t>
            </w:r>
            <w:r>
              <w:rPr>
                <w:sz w:val="18"/>
              </w:rPr>
              <w:t>in</w:t>
            </w:r>
            <w:r>
              <w:rPr>
                <w:spacing w:val="-3"/>
                <w:sz w:val="18"/>
              </w:rPr>
              <w:t> </w:t>
            </w:r>
            <w:r>
              <w:rPr>
                <w:sz w:val="18"/>
              </w:rPr>
              <w:t>bestuursrechtelijke</w:t>
            </w:r>
            <w:r>
              <w:rPr>
                <w:spacing w:val="-4"/>
                <w:sz w:val="18"/>
              </w:rPr>
              <w:t> </w:t>
            </w:r>
            <w:r>
              <w:rPr>
                <w:sz w:val="18"/>
              </w:rPr>
              <w:t>zaken</w:t>
            </w:r>
            <w:r>
              <w:rPr>
                <w:spacing w:val="-5"/>
                <w:sz w:val="18"/>
              </w:rPr>
              <w:t> </w:t>
            </w:r>
            <w:r>
              <w:rPr>
                <w:sz w:val="18"/>
              </w:rPr>
              <w:t>toch</w:t>
            </w:r>
            <w:r>
              <w:rPr>
                <w:spacing w:val="-6"/>
                <w:sz w:val="18"/>
              </w:rPr>
              <w:t> </w:t>
            </w:r>
            <w:r>
              <w:rPr>
                <w:sz w:val="18"/>
              </w:rPr>
              <w:t>een advocaat in te schakelen. De noodzaak hiervan wordt altijd kritisch bezien.</w:t>
            </w:r>
          </w:p>
        </w:tc>
      </w:tr>
      <w:tr>
        <w:trPr>
          <w:trHeight w:val="1006" w:hRule="atLeast"/>
        </w:trPr>
        <w:tc>
          <w:tcPr>
            <w:tcW w:w="460" w:type="dxa"/>
          </w:tcPr>
          <w:p>
            <w:pPr>
              <w:pStyle w:val="TableParagraph"/>
              <w:spacing w:before="142"/>
              <w:ind w:left="50"/>
              <w:rPr>
                <w:sz w:val="18"/>
              </w:rPr>
            </w:pPr>
            <w:r>
              <w:rPr>
                <w:spacing w:val="-10"/>
                <w:sz w:val="18"/>
              </w:rPr>
              <w:t>4</w:t>
            </w:r>
          </w:p>
        </w:tc>
        <w:tc>
          <w:tcPr>
            <w:tcW w:w="8456" w:type="dxa"/>
          </w:tcPr>
          <w:p>
            <w:pPr>
              <w:pStyle w:val="TableParagraph"/>
              <w:spacing w:before="142"/>
              <w:rPr>
                <w:b/>
                <w:sz w:val="18"/>
              </w:rPr>
            </w:pPr>
            <w:r>
              <w:rPr>
                <w:b/>
                <w:spacing w:val="-2"/>
                <w:sz w:val="18"/>
              </w:rPr>
              <w:t>Vraag:</w:t>
            </w:r>
          </w:p>
          <w:p>
            <w:pPr>
              <w:pStyle w:val="TableParagraph"/>
              <w:spacing w:before="34" w:line="276" w:lineRule="auto"/>
              <w:ind w:right="82"/>
              <w:rPr>
                <w:sz w:val="18"/>
              </w:rPr>
            </w:pPr>
            <w:r>
              <w:rPr>
                <w:sz w:val="18"/>
              </w:rPr>
              <w:t>Welke</w:t>
            </w:r>
            <w:r>
              <w:rPr>
                <w:spacing w:val="-6"/>
                <w:sz w:val="18"/>
              </w:rPr>
              <w:t> </w:t>
            </w:r>
            <w:r>
              <w:rPr>
                <w:sz w:val="18"/>
              </w:rPr>
              <w:t>gevolgen</w:t>
            </w:r>
            <w:r>
              <w:rPr>
                <w:spacing w:val="-6"/>
                <w:sz w:val="18"/>
              </w:rPr>
              <w:t> </w:t>
            </w:r>
            <w:r>
              <w:rPr>
                <w:sz w:val="18"/>
              </w:rPr>
              <w:t>hebben</w:t>
            </w:r>
            <w:r>
              <w:rPr>
                <w:spacing w:val="-6"/>
                <w:sz w:val="18"/>
              </w:rPr>
              <w:t> </w:t>
            </w:r>
            <w:r>
              <w:rPr>
                <w:sz w:val="18"/>
              </w:rPr>
              <w:t>de</w:t>
            </w:r>
            <w:r>
              <w:rPr>
                <w:spacing w:val="-6"/>
                <w:sz w:val="18"/>
              </w:rPr>
              <w:t> </w:t>
            </w:r>
            <w:r>
              <w:rPr>
                <w:sz w:val="18"/>
              </w:rPr>
              <w:t>vertragingen</w:t>
            </w:r>
            <w:r>
              <w:rPr>
                <w:spacing w:val="-6"/>
                <w:sz w:val="18"/>
              </w:rPr>
              <w:t> </w:t>
            </w:r>
            <w:r>
              <w:rPr>
                <w:sz w:val="18"/>
              </w:rPr>
              <w:t>bij</w:t>
            </w:r>
            <w:r>
              <w:rPr>
                <w:spacing w:val="-5"/>
                <w:sz w:val="18"/>
              </w:rPr>
              <w:t> </w:t>
            </w:r>
            <w:r>
              <w:rPr>
                <w:sz w:val="18"/>
              </w:rPr>
              <w:t>de</w:t>
            </w:r>
            <w:r>
              <w:rPr>
                <w:spacing w:val="-6"/>
                <w:sz w:val="18"/>
              </w:rPr>
              <w:t> </w:t>
            </w:r>
            <w:r>
              <w:rPr>
                <w:sz w:val="18"/>
              </w:rPr>
              <w:t>projecten</w:t>
            </w:r>
            <w:r>
              <w:rPr>
                <w:spacing w:val="-6"/>
                <w:sz w:val="18"/>
              </w:rPr>
              <w:t> </w:t>
            </w:r>
            <w:r>
              <w:rPr>
                <w:sz w:val="18"/>
              </w:rPr>
              <w:t>langs</w:t>
            </w:r>
            <w:r>
              <w:rPr>
                <w:spacing w:val="-6"/>
                <w:sz w:val="18"/>
              </w:rPr>
              <w:t> </w:t>
            </w:r>
            <w:r>
              <w:rPr>
                <w:sz w:val="18"/>
              </w:rPr>
              <w:t>het</w:t>
            </w:r>
            <w:r>
              <w:rPr>
                <w:spacing w:val="-5"/>
                <w:sz w:val="18"/>
              </w:rPr>
              <w:t> </w:t>
            </w:r>
            <w:r>
              <w:rPr>
                <w:sz w:val="18"/>
              </w:rPr>
              <w:t>hoofdwegennet</w:t>
            </w:r>
            <w:r>
              <w:rPr>
                <w:spacing w:val="-5"/>
                <w:sz w:val="18"/>
              </w:rPr>
              <w:t> </w:t>
            </w:r>
            <w:r>
              <w:rPr>
                <w:sz w:val="18"/>
              </w:rPr>
              <w:t>voor de verkeersveiligheid?</w:t>
            </w:r>
          </w:p>
        </w:tc>
      </w:tr>
      <w:tr>
        <w:trPr>
          <w:trHeight w:val="1967" w:hRule="atLeast"/>
        </w:trPr>
        <w:tc>
          <w:tcPr>
            <w:tcW w:w="460" w:type="dxa"/>
          </w:tcPr>
          <w:p>
            <w:pPr>
              <w:pStyle w:val="TableParagraph"/>
              <w:ind w:left="0"/>
              <w:rPr>
                <w:rFonts w:ascii="Times New Roman"/>
                <w:sz w:val="18"/>
              </w:rPr>
            </w:pPr>
          </w:p>
        </w:tc>
        <w:tc>
          <w:tcPr>
            <w:tcW w:w="8456" w:type="dxa"/>
          </w:tcPr>
          <w:p>
            <w:pPr>
              <w:pStyle w:val="TableParagraph"/>
              <w:spacing w:before="141"/>
              <w:rPr>
                <w:b/>
                <w:sz w:val="18"/>
              </w:rPr>
            </w:pPr>
            <w:r>
              <w:rPr>
                <w:b/>
                <w:spacing w:val="-2"/>
                <w:sz w:val="18"/>
              </w:rPr>
              <w:t>Antwoord:</w:t>
            </w:r>
          </w:p>
          <w:p>
            <w:pPr>
              <w:pStyle w:val="TableParagraph"/>
              <w:spacing w:before="33"/>
              <w:rPr>
                <w:sz w:val="18"/>
              </w:rPr>
            </w:pPr>
            <w:r>
              <w:rPr>
                <w:sz w:val="18"/>
              </w:rPr>
              <w:t>Vertragingen</w:t>
            </w:r>
            <w:r>
              <w:rPr>
                <w:spacing w:val="-9"/>
                <w:sz w:val="18"/>
              </w:rPr>
              <w:t> </w:t>
            </w:r>
            <w:r>
              <w:rPr>
                <w:sz w:val="18"/>
              </w:rPr>
              <w:t>hebben</w:t>
            </w:r>
            <w:r>
              <w:rPr>
                <w:spacing w:val="-7"/>
                <w:sz w:val="18"/>
              </w:rPr>
              <w:t> </w:t>
            </w:r>
            <w:r>
              <w:rPr>
                <w:sz w:val="18"/>
              </w:rPr>
              <w:t>geen</w:t>
            </w:r>
            <w:r>
              <w:rPr>
                <w:spacing w:val="-9"/>
                <w:sz w:val="18"/>
              </w:rPr>
              <w:t> </w:t>
            </w:r>
            <w:r>
              <w:rPr>
                <w:sz w:val="18"/>
              </w:rPr>
              <w:t>gevolg</w:t>
            </w:r>
            <w:r>
              <w:rPr>
                <w:spacing w:val="-6"/>
                <w:sz w:val="18"/>
              </w:rPr>
              <w:t> </w:t>
            </w:r>
            <w:r>
              <w:rPr>
                <w:sz w:val="18"/>
              </w:rPr>
              <w:t>voor</w:t>
            </w:r>
            <w:r>
              <w:rPr>
                <w:spacing w:val="-5"/>
                <w:sz w:val="18"/>
              </w:rPr>
              <w:t> </w:t>
            </w:r>
            <w:r>
              <w:rPr>
                <w:sz w:val="18"/>
              </w:rPr>
              <w:t>de</w:t>
            </w:r>
            <w:r>
              <w:rPr>
                <w:spacing w:val="-6"/>
                <w:sz w:val="18"/>
              </w:rPr>
              <w:t> </w:t>
            </w:r>
            <w:r>
              <w:rPr>
                <w:sz w:val="18"/>
              </w:rPr>
              <w:t>verkeersveiligheid.</w:t>
            </w:r>
            <w:r>
              <w:rPr>
                <w:spacing w:val="-6"/>
                <w:sz w:val="18"/>
              </w:rPr>
              <w:t> </w:t>
            </w:r>
            <w:r>
              <w:rPr>
                <w:sz w:val="18"/>
              </w:rPr>
              <w:t>Bij</w:t>
            </w:r>
            <w:r>
              <w:rPr>
                <w:spacing w:val="-5"/>
                <w:sz w:val="18"/>
              </w:rPr>
              <w:t> </w:t>
            </w:r>
            <w:r>
              <w:rPr>
                <w:sz w:val="18"/>
              </w:rPr>
              <w:t>het</w:t>
            </w:r>
            <w:r>
              <w:rPr>
                <w:spacing w:val="-5"/>
                <w:sz w:val="18"/>
              </w:rPr>
              <w:t> </w:t>
            </w:r>
            <w:r>
              <w:rPr>
                <w:sz w:val="18"/>
              </w:rPr>
              <w:t>uitvoeren</w:t>
            </w:r>
            <w:r>
              <w:rPr>
                <w:spacing w:val="-6"/>
                <w:sz w:val="18"/>
              </w:rPr>
              <w:t> </w:t>
            </w:r>
            <w:r>
              <w:rPr>
                <w:spacing w:val="-5"/>
                <w:sz w:val="18"/>
              </w:rPr>
              <w:t>van</w:t>
            </w:r>
          </w:p>
          <w:p>
            <w:pPr>
              <w:pStyle w:val="TableParagraph"/>
              <w:spacing w:before="34" w:line="276" w:lineRule="auto"/>
              <w:rPr>
                <w:sz w:val="18"/>
              </w:rPr>
            </w:pPr>
            <w:r>
              <w:rPr>
                <w:sz w:val="18"/>
              </w:rPr>
              <w:t>werkzaamheden</w:t>
            </w:r>
            <w:r>
              <w:rPr>
                <w:spacing w:val="-6"/>
                <w:sz w:val="18"/>
              </w:rPr>
              <w:t> </w:t>
            </w:r>
            <w:r>
              <w:rPr>
                <w:sz w:val="18"/>
              </w:rPr>
              <w:t>staat</w:t>
            </w:r>
            <w:r>
              <w:rPr>
                <w:spacing w:val="-5"/>
                <w:sz w:val="18"/>
              </w:rPr>
              <w:t> </w:t>
            </w:r>
            <w:r>
              <w:rPr>
                <w:sz w:val="18"/>
              </w:rPr>
              <w:t>veiligheid</w:t>
            </w:r>
            <w:r>
              <w:rPr>
                <w:spacing w:val="-5"/>
                <w:sz w:val="18"/>
              </w:rPr>
              <w:t> </w:t>
            </w:r>
            <w:r>
              <w:rPr>
                <w:sz w:val="18"/>
              </w:rPr>
              <w:t>te</w:t>
            </w:r>
            <w:r>
              <w:rPr>
                <w:spacing w:val="-5"/>
                <w:sz w:val="18"/>
              </w:rPr>
              <w:t> </w:t>
            </w:r>
            <w:r>
              <w:rPr>
                <w:sz w:val="18"/>
              </w:rPr>
              <w:t>allen</w:t>
            </w:r>
            <w:r>
              <w:rPr>
                <w:spacing w:val="-6"/>
                <w:sz w:val="18"/>
              </w:rPr>
              <w:t> </w:t>
            </w:r>
            <w:r>
              <w:rPr>
                <w:sz w:val="18"/>
              </w:rPr>
              <w:t>tijde</w:t>
            </w:r>
            <w:r>
              <w:rPr>
                <w:spacing w:val="-5"/>
                <w:sz w:val="18"/>
              </w:rPr>
              <w:t> </w:t>
            </w:r>
            <w:r>
              <w:rPr>
                <w:sz w:val="18"/>
              </w:rPr>
              <w:t>bovenaan.</w:t>
            </w:r>
            <w:r>
              <w:rPr>
                <w:spacing w:val="-6"/>
                <w:sz w:val="18"/>
              </w:rPr>
              <w:t> </w:t>
            </w:r>
            <w:r>
              <w:rPr>
                <w:sz w:val="18"/>
              </w:rPr>
              <w:t>Indien</w:t>
            </w:r>
            <w:r>
              <w:rPr>
                <w:spacing w:val="-6"/>
                <w:sz w:val="18"/>
              </w:rPr>
              <w:t> </w:t>
            </w:r>
            <w:r>
              <w:rPr>
                <w:sz w:val="18"/>
              </w:rPr>
              <w:t>geconstateerd</w:t>
            </w:r>
            <w:r>
              <w:rPr>
                <w:spacing w:val="-7"/>
                <w:sz w:val="18"/>
              </w:rPr>
              <w:t> </w:t>
            </w:r>
            <w:r>
              <w:rPr>
                <w:sz w:val="18"/>
              </w:rPr>
              <w:t>wordt</w:t>
            </w:r>
            <w:r>
              <w:rPr>
                <w:spacing w:val="-4"/>
                <w:sz w:val="18"/>
              </w:rPr>
              <w:t> </w:t>
            </w:r>
            <w:r>
              <w:rPr>
                <w:sz w:val="18"/>
              </w:rPr>
              <w:t>dat de veiligheid voor de gebruikers in het geding is, dan worden direct maatregelen</w:t>
            </w:r>
          </w:p>
          <w:p>
            <w:pPr>
              <w:pStyle w:val="TableParagraph"/>
              <w:spacing w:before="1" w:line="276" w:lineRule="auto"/>
              <w:rPr>
                <w:sz w:val="18"/>
              </w:rPr>
            </w:pPr>
            <w:r>
              <w:rPr>
                <w:sz w:val="18"/>
              </w:rPr>
              <w:t>genomen</w:t>
            </w:r>
            <w:r>
              <w:rPr>
                <w:spacing w:val="-5"/>
                <w:sz w:val="18"/>
              </w:rPr>
              <w:t> </w:t>
            </w:r>
            <w:r>
              <w:rPr>
                <w:sz w:val="18"/>
              </w:rPr>
              <w:t>om</w:t>
            </w:r>
            <w:r>
              <w:rPr>
                <w:spacing w:val="-4"/>
                <w:sz w:val="18"/>
              </w:rPr>
              <w:t> </w:t>
            </w:r>
            <w:r>
              <w:rPr>
                <w:sz w:val="18"/>
              </w:rPr>
              <w:t>het</w:t>
            </w:r>
            <w:r>
              <w:rPr>
                <w:spacing w:val="-3"/>
                <w:sz w:val="18"/>
              </w:rPr>
              <w:t> </w:t>
            </w:r>
            <w:r>
              <w:rPr>
                <w:sz w:val="18"/>
              </w:rPr>
              <w:t>gebruik</w:t>
            </w:r>
            <w:r>
              <w:rPr>
                <w:spacing w:val="-5"/>
                <w:sz w:val="18"/>
              </w:rPr>
              <w:t> </w:t>
            </w:r>
            <w:r>
              <w:rPr>
                <w:sz w:val="18"/>
              </w:rPr>
              <w:t>van</w:t>
            </w:r>
            <w:r>
              <w:rPr>
                <w:spacing w:val="-6"/>
                <w:sz w:val="18"/>
              </w:rPr>
              <w:t> </w:t>
            </w:r>
            <w:r>
              <w:rPr>
                <w:sz w:val="18"/>
              </w:rPr>
              <w:t>de</w:t>
            </w:r>
            <w:r>
              <w:rPr>
                <w:spacing w:val="-4"/>
                <w:sz w:val="18"/>
              </w:rPr>
              <w:t> </w:t>
            </w:r>
            <w:r>
              <w:rPr>
                <w:sz w:val="18"/>
              </w:rPr>
              <w:t>infrastructuur</w:t>
            </w:r>
            <w:r>
              <w:rPr>
                <w:spacing w:val="-2"/>
                <w:sz w:val="18"/>
              </w:rPr>
              <w:t> </w:t>
            </w:r>
            <w:r>
              <w:rPr>
                <w:sz w:val="18"/>
              </w:rPr>
              <w:t>weer</w:t>
            </w:r>
            <w:r>
              <w:rPr>
                <w:spacing w:val="-2"/>
                <w:sz w:val="18"/>
              </w:rPr>
              <w:t> </w:t>
            </w:r>
            <w:r>
              <w:rPr>
                <w:sz w:val="18"/>
              </w:rPr>
              <w:t>binnen</w:t>
            </w:r>
            <w:r>
              <w:rPr>
                <w:spacing w:val="-5"/>
                <w:sz w:val="18"/>
              </w:rPr>
              <w:t> </w:t>
            </w:r>
            <w:r>
              <w:rPr>
                <w:sz w:val="18"/>
              </w:rPr>
              <w:t>de</w:t>
            </w:r>
            <w:r>
              <w:rPr>
                <w:spacing w:val="-4"/>
                <w:sz w:val="18"/>
              </w:rPr>
              <w:t> </w:t>
            </w:r>
            <w:r>
              <w:rPr>
                <w:sz w:val="18"/>
              </w:rPr>
              <w:t>geldende</w:t>
            </w:r>
            <w:r>
              <w:rPr>
                <w:spacing w:val="-4"/>
                <w:sz w:val="18"/>
              </w:rPr>
              <w:t> </w:t>
            </w:r>
            <w:r>
              <w:rPr>
                <w:sz w:val="18"/>
              </w:rPr>
              <w:t>kaders</w:t>
            </w:r>
            <w:r>
              <w:rPr>
                <w:spacing w:val="-7"/>
                <w:sz w:val="18"/>
              </w:rPr>
              <w:t> </w:t>
            </w:r>
            <w:r>
              <w:rPr>
                <w:sz w:val="18"/>
              </w:rPr>
              <w:t>plaats</w:t>
            </w:r>
            <w:r>
              <w:rPr>
                <w:spacing w:val="-4"/>
                <w:sz w:val="18"/>
              </w:rPr>
              <w:t> </w:t>
            </w:r>
            <w:r>
              <w:rPr>
                <w:sz w:val="18"/>
              </w:rPr>
              <w:t>te laten vinden, bijvoorbeeld (tijdelijke) snelheidsverlagingen ter plaatse of andere (tijdelijke) gebruiksbeperkingen of fysieke infrastructuur ondersteunende maatregelen.</w:t>
            </w:r>
          </w:p>
        </w:tc>
      </w:tr>
      <w:tr>
        <w:trPr>
          <w:trHeight w:val="1211" w:hRule="atLeast"/>
        </w:trPr>
        <w:tc>
          <w:tcPr>
            <w:tcW w:w="460" w:type="dxa"/>
          </w:tcPr>
          <w:p>
            <w:pPr>
              <w:pStyle w:val="TableParagraph"/>
              <w:spacing w:before="97"/>
              <w:ind w:left="50"/>
              <w:rPr>
                <w:sz w:val="18"/>
              </w:rPr>
            </w:pPr>
            <w:r>
              <w:rPr>
                <w:spacing w:val="-10"/>
                <w:sz w:val="18"/>
              </w:rPr>
              <w:t>5</w:t>
            </w:r>
          </w:p>
        </w:tc>
        <w:tc>
          <w:tcPr>
            <w:tcW w:w="8456" w:type="dxa"/>
          </w:tcPr>
          <w:p>
            <w:pPr>
              <w:pStyle w:val="TableParagraph"/>
              <w:spacing w:before="97"/>
              <w:rPr>
                <w:b/>
                <w:sz w:val="18"/>
              </w:rPr>
            </w:pPr>
            <w:r>
              <w:rPr>
                <w:b/>
                <w:spacing w:val="-2"/>
                <w:sz w:val="18"/>
              </w:rPr>
              <w:t>Vraag:</w:t>
            </w:r>
          </w:p>
          <w:p>
            <w:pPr>
              <w:pStyle w:val="TableParagraph"/>
              <w:spacing w:before="33" w:line="276" w:lineRule="auto"/>
              <w:rPr>
                <w:sz w:val="18"/>
              </w:rPr>
            </w:pPr>
            <w:r>
              <w:rPr>
                <w:sz w:val="18"/>
              </w:rPr>
              <w:t>Komt de haalbaarheid van de doelen van de Kaderrichtlijn Water (KRW) in Oost- Nederland</w:t>
            </w:r>
            <w:r>
              <w:rPr>
                <w:spacing w:val="-7"/>
                <w:sz w:val="18"/>
              </w:rPr>
              <w:t> </w:t>
            </w:r>
            <w:r>
              <w:rPr>
                <w:sz w:val="18"/>
              </w:rPr>
              <w:t>en</w:t>
            </w:r>
            <w:r>
              <w:rPr>
                <w:spacing w:val="-8"/>
                <w:sz w:val="18"/>
              </w:rPr>
              <w:t> </w:t>
            </w:r>
            <w:r>
              <w:rPr>
                <w:sz w:val="18"/>
              </w:rPr>
              <w:t>Zuid-Nederland</w:t>
            </w:r>
            <w:r>
              <w:rPr>
                <w:spacing w:val="-7"/>
                <w:sz w:val="18"/>
              </w:rPr>
              <w:t> </w:t>
            </w:r>
            <w:r>
              <w:rPr>
                <w:sz w:val="18"/>
              </w:rPr>
              <w:t>in</w:t>
            </w:r>
            <w:r>
              <w:rPr>
                <w:spacing w:val="-8"/>
                <w:sz w:val="18"/>
              </w:rPr>
              <w:t> </w:t>
            </w:r>
            <w:r>
              <w:rPr>
                <w:sz w:val="18"/>
              </w:rPr>
              <w:t>gevaar,</w:t>
            </w:r>
            <w:r>
              <w:rPr>
                <w:spacing w:val="-6"/>
                <w:sz w:val="18"/>
              </w:rPr>
              <w:t> </w:t>
            </w:r>
            <w:r>
              <w:rPr>
                <w:sz w:val="18"/>
              </w:rPr>
              <w:t>nu</w:t>
            </w:r>
            <w:r>
              <w:rPr>
                <w:spacing w:val="-6"/>
                <w:sz w:val="18"/>
              </w:rPr>
              <w:t> </w:t>
            </w:r>
            <w:r>
              <w:rPr>
                <w:sz w:val="18"/>
              </w:rPr>
              <w:t>de</w:t>
            </w:r>
            <w:r>
              <w:rPr>
                <w:spacing w:val="-7"/>
                <w:sz w:val="18"/>
              </w:rPr>
              <w:t> </w:t>
            </w:r>
            <w:r>
              <w:rPr>
                <w:sz w:val="18"/>
              </w:rPr>
              <w:t>verplichtingen</w:t>
            </w:r>
            <w:r>
              <w:rPr>
                <w:spacing w:val="-8"/>
                <w:sz w:val="18"/>
              </w:rPr>
              <w:t> </w:t>
            </w:r>
            <w:r>
              <w:rPr>
                <w:sz w:val="18"/>
              </w:rPr>
              <w:t>in</w:t>
            </w:r>
            <w:r>
              <w:rPr>
                <w:spacing w:val="-8"/>
                <w:sz w:val="18"/>
              </w:rPr>
              <w:t> </w:t>
            </w:r>
            <w:r>
              <w:rPr>
                <w:sz w:val="18"/>
              </w:rPr>
              <w:t>dat</w:t>
            </w:r>
            <w:r>
              <w:rPr>
                <w:spacing w:val="-7"/>
                <w:sz w:val="18"/>
              </w:rPr>
              <w:t> </w:t>
            </w:r>
            <w:r>
              <w:rPr>
                <w:sz w:val="18"/>
              </w:rPr>
              <w:t>kader</w:t>
            </w:r>
            <w:r>
              <w:rPr>
                <w:spacing w:val="-7"/>
                <w:sz w:val="18"/>
              </w:rPr>
              <w:t> </w:t>
            </w:r>
            <w:r>
              <w:rPr>
                <w:sz w:val="18"/>
              </w:rPr>
              <w:t>worden doorgeschoven naar volgend jaar?</w:t>
            </w:r>
          </w:p>
        </w:tc>
      </w:tr>
      <w:tr>
        <w:trPr>
          <w:trHeight w:val="2767" w:hRule="atLeast"/>
        </w:trPr>
        <w:tc>
          <w:tcPr>
            <w:tcW w:w="460" w:type="dxa"/>
          </w:tcPr>
          <w:p>
            <w:pPr>
              <w:pStyle w:val="TableParagraph"/>
              <w:ind w:left="0"/>
              <w:rPr>
                <w:rFonts w:ascii="Times New Roman"/>
                <w:sz w:val="18"/>
              </w:rPr>
            </w:pPr>
          </w:p>
        </w:tc>
        <w:tc>
          <w:tcPr>
            <w:tcW w:w="8456" w:type="dxa"/>
          </w:tcPr>
          <w:p>
            <w:pPr>
              <w:pStyle w:val="TableParagraph"/>
              <w:spacing w:before="142"/>
              <w:rPr>
                <w:b/>
                <w:sz w:val="18"/>
              </w:rPr>
            </w:pPr>
            <w:r>
              <w:rPr>
                <w:b/>
                <w:spacing w:val="-2"/>
                <w:sz w:val="18"/>
              </w:rPr>
              <w:t>Antwoord:</w:t>
            </w:r>
          </w:p>
          <w:p>
            <w:pPr>
              <w:pStyle w:val="TableParagraph"/>
              <w:spacing w:before="34"/>
              <w:rPr>
                <w:sz w:val="18"/>
              </w:rPr>
            </w:pPr>
            <w:r>
              <w:rPr>
                <w:sz w:val="18"/>
              </w:rPr>
              <w:t>Met</w:t>
            </w:r>
            <w:r>
              <w:rPr>
                <w:spacing w:val="-5"/>
                <w:sz w:val="18"/>
              </w:rPr>
              <w:t> </w:t>
            </w:r>
            <w:r>
              <w:rPr>
                <w:sz w:val="18"/>
              </w:rPr>
              <w:t>het</w:t>
            </w:r>
            <w:r>
              <w:rPr>
                <w:spacing w:val="-3"/>
                <w:sz w:val="18"/>
              </w:rPr>
              <w:t> </w:t>
            </w:r>
            <w:r>
              <w:rPr>
                <w:sz w:val="18"/>
              </w:rPr>
              <w:t>doorschuiven</w:t>
            </w:r>
            <w:r>
              <w:rPr>
                <w:spacing w:val="-5"/>
                <w:sz w:val="18"/>
              </w:rPr>
              <w:t> </w:t>
            </w:r>
            <w:r>
              <w:rPr>
                <w:sz w:val="18"/>
              </w:rPr>
              <w:t>van</w:t>
            </w:r>
            <w:r>
              <w:rPr>
                <w:spacing w:val="-5"/>
                <w:sz w:val="18"/>
              </w:rPr>
              <w:t> </w:t>
            </w:r>
            <w:r>
              <w:rPr>
                <w:sz w:val="18"/>
              </w:rPr>
              <w:t>de</w:t>
            </w:r>
            <w:r>
              <w:rPr>
                <w:spacing w:val="-4"/>
                <w:sz w:val="18"/>
              </w:rPr>
              <w:t> </w:t>
            </w:r>
            <w:r>
              <w:rPr>
                <w:sz w:val="18"/>
              </w:rPr>
              <w:t>verplichtingen</w:t>
            </w:r>
            <w:r>
              <w:rPr>
                <w:spacing w:val="-5"/>
                <w:sz w:val="18"/>
              </w:rPr>
              <w:t> </w:t>
            </w:r>
            <w:r>
              <w:rPr>
                <w:sz w:val="18"/>
              </w:rPr>
              <w:t>wordt</w:t>
            </w:r>
            <w:r>
              <w:rPr>
                <w:spacing w:val="-2"/>
                <w:sz w:val="18"/>
              </w:rPr>
              <w:t> </w:t>
            </w:r>
            <w:r>
              <w:rPr>
                <w:sz w:val="18"/>
              </w:rPr>
              <w:t>de</w:t>
            </w:r>
            <w:r>
              <w:rPr>
                <w:spacing w:val="-6"/>
                <w:sz w:val="18"/>
              </w:rPr>
              <w:t> </w:t>
            </w:r>
            <w:r>
              <w:rPr>
                <w:sz w:val="18"/>
              </w:rPr>
              <w:t>begroting</w:t>
            </w:r>
            <w:r>
              <w:rPr>
                <w:spacing w:val="-4"/>
                <w:sz w:val="18"/>
              </w:rPr>
              <w:t> </w:t>
            </w:r>
            <w:r>
              <w:rPr>
                <w:sz w:val="18"/>
              </w:rPr>
              <w:t>weer</w:t>
            </w:r>
            <w:r>
              <w:rPr>
                <w:spacing w:val="-3"/>
                <w:sz w:val="18"/>
              </w:rPr>
              <w:t> </w:t>
            </w:r>
            <w:r>
              <w:rPr>
                <w:spacing w:val="-5"/>
                <w:sz w:val="18"/>
              </w:rPr>
              <w:t>in</w:t>
            </w:r>
          </w:p>
          <w:p>
            <w:pPr>
              <w:pStyle w:val="TableParagraph"/>
              <w:spacing w:before="30" w:line="276" w:lineRule="auto"/>
              <w:ind w:right="82"/>
              <w:rPr>
                <w:sz w:val="18"/>
              </w:rPr>
            </w:pPr>
            <w:r>
              <w:rPr>
                <w:sz w:val="18"/>
              </w:rPr>
              <w:t>overeenstemming gebracht met de aangepaste programmering. Dat betekent dat de doelen behaald moeten worden in een kortere tijdsperiode. Volgend jaar worden de verplichtingen</w:t>
            </w:r>
            <w:r>
              <w:rPr>
                <w:spacing w:val="-6"/>
                <w:sz w:val="18"/>
              </w:rPr>
              <w:t> </w:t>
            </w:r>
            <w:r>
              <w:rPr>
                <w:sz w:val="18"/>
              </w:rPr>
              <w:t>aangegaan</w:t>
            </w:r>
            <w:r>
              <w:rPr>
                <w:spacing w:val="-7"/>
                <w:sz w:val="18"/>
              </w:rPr>
              <w:t> </w:t>
            </w:r>
            <w:r>
              <w:rPr>
                <w:sz w:val="18"/>
              </w:rPr>
              <w:t>voor</w:t>
            </w:r>
            <w:r>
              <w:rPr>
                <w:spacing w:val="-5"/>
                <w:sz w:val="18"/>
              </w:rPr>
              <w:t> </w:t>
            </w:r>
            <w:r>
              <w:rPr>
                <w:sz w:val="18"/>
              </w:rPr>
              <w:t>een</w:t>
            </w:r>
            <w:r>
              <w:rPr>
                <w:spacing w:val="-6"/>
                <w:sz w:val="18"/>
              </w:rPr>
              <w:t> </w:t>
            </w:r>
            <w:r>
              <w:rPr>
                <w:sz w:val="18"/>
              </w:rPr>
              <w:t>groot</w:t>
            </w:r>
            <w:r>
              <w:rPr>
                <w:spacing w:val="-4"/>
                <w:sz w:val="18"/>
              </w:rPr>
              <w:t> </w:t>
            </w:r>
            <w:r>
              <w:rPr>
                <w:sz w:val="18"/>
              </w:rPr>
              <w:t>deel</w:t>
            </w:r>
            <w:r>
              <w:rPr>
                <w:spacing w:val="-4"/>
                <w:sz w:val="18"/>
              </w:rPr>
              <w:t> </w:t>
            </w:r>
            <w:r>
              <w:rPr>
                <w:sz w:val="18"/>
              </w:rPr>
              <w:t>van</w:t>
            </w:r>
            <w:r>
              <w:rPr>
                <w:spacing w:val="-7"/>
                <w:sz w:val="18"/>
              </w:rPr>
              <w:t> </w:t>
            </w:r>
            <w:r>
              <w:rPr>
                <w:sz w:val="18"/>
              </w:rPr>
              <w:t>de</w:t>
            </w:r>
            <w:r>
              <w:rPr>
                <w:spacing w:val="-7"/>
                <w:sz w:val="18"/>
              </w:rPr>
              <w:t> </w:t>
            </w:r>
            <w:r>
              <w:rPr>
                <w:sz w:val="18"/>
              </w:rPr>
              <w:t>werkzaamheden</w:t>
            </w:r>
            <w:r>
              <w:rPr>
                <w:spacing w:val="-6"/>
                <w:sz w:val="18"/>
              </w:rPr>
              <w:t> </w:t>
            </w:r>
            <w:r>
              <w:rPr>
                <w:sz w:val="18"/>
              </w:rPr>
              <w:t>langs</w:t>
            </w:r>
            <w:r>
              <w:rPr>
                <w:spacing w:val="-5"/>
                <w:sz w:val="18"/>
              </w:rPr>
              <w:t> </w:t>
            </w:r>
            <w:r>
              <w:rPr>
                <w:sz w:val="18"/>
              </w:rPr>
              <w:t>de</w:t>
            </w:r>
            <w:r>
              <w:rPr>
                <w:spacing w:val="-3"/>
                <w:sz w:val="18"/>
              </w:rPr>
              <w:t> </w:t>
            </w:r>
            <w:r>
              <w:rPr>
                <w:sz w:val="18"/>
              </w:rPr>
              <w:t>Waal</w:t>
            </w:r>
            <w:r>
              <w:rPr>
                <w:spacing w:val="-5"/>
                <w:sz w:val="18"/>
              </w:rPr>
              <w:t> </w:t>
            </w:r>
            <w:r>
              <w:rPr>
                <w:sz w:val="18"/>
              </w:rPr>
              <w:t>in Oost Nederland. De aanbesteding hiervan is dit jaar gestart. Voor het werk langs de Maas in Zuid-Nederland start volgend jaar de aanbesteding. Daarbij geldt dat tijdige</w:t>
            </w:r>
          </w:p>
          <w:p>
            <w:pPr>
              <w:pStyle w:val="TableParagraph"/>
              <w:spacing w:before="3"/>
              <w:rPr>
                <w:sz w:val="18"/>
              </w:rPr>
            </w:pPr>
            <w:r>
              <w:rPr>
                <w:sz w:val="18"/>
              </w:rPr>
              <w:t>realisatie</w:t>
            </w:r>
            <w:r>
              <w:rPr>
                <w:spacing w:val="-6"/>
                <w:sz w:val="18"/>
              </w:rPr>
              <w:t> </w:t>
            </w:r>
            <w:r>
              <w:rPr>
                <w:sz w:val="18"/>
              </w:rPr>
              <w:t>en</w:t>
            </w:r>
            <w:r>
              <w:rPr>
                <w:spacing w:val="-4"/>
                <w:sz w:val="18"/>
              </w:rPr>
              <w:t> </w:t>
            </w:r>
            <w:r>
              <w:rPr>
                <w:sz w:val="18"/>
              </w:rPr>
              <w:t>de</w:t>
            </w:r>
            <w:r>
              <w:rPr>
                <w:spacing w:val="-3"/>
                <w:sz w:val="18"/>
              </w:rPr>
              <w:t> </w:t>
            </w:r>
            <w:r>
              <w:rPr>
                <w:sz w:val="18"/>
              </w:rPr>
              <w:t>haalbaarheid</w:t>
            </w:r>
            <w:r>
              <w:rPr>
                <w:spacing w:val="-4"/>
                <w:sz w:val="18"/>
              </w:rPr>
              <w:t> </w:t>
            </w:r>
            <w:r>
              <w:rPr>
                <w:sz w:val="18"/>
              </w:rPr>
              <w:t>van</w:t>
            </w:r>
            <w:r>
              <w:rPr>
                <w:spacing w:val="-5"/>
                <w:sz w:val="18"/>
              </w:rPr>
              <w:t> </w:t>
            </w:r>
            <w:r>
              <w:rPr>
                <w:sz w:val="18"/>
              </w:rPr>
              <w:t>het</w:t>
            </w:r>
            <w:r>
              <w:rPr>
                <w:spacing w:val="-2"/>
                <w:sz w:val="18"/>
              </w:rPr>
              <w:t> </w:t>
            </w:r>
            <w:r>
              <w:rPr>
                <w:sz w:val="18"/>
              </w:rPr>
              <w:t>doelbereik</w:t>
            </w:r>
            <w:r>
              <w:rPr>
                <w:spacing w:val="-4"/>
                <w:sz w:val="18"/>
              </w:rPr>
              <w:t> </w:t>
            </w:r>
            <w:r>
              <w:rPr>
                <w:sz w:val="18"/>
              </w:rPr>
              <w:t>onder</w:t>
            </w:r>
            <w:r>
              <w:rPr>
                <w:spacing w:val="-4"/>
                <w:sz w:val="18"/>
              </w:rPr>
              <w:t> </w:t>
            </w:r>
            <w:r>
              <w:rPr>
                <w:sz w:val="18"/>
              </w:rPr>
              <w:t>andere</w:t>
            </w:r>
            <w:r>
              <w:rPr>
                <w:spacing w:val="-3"/>
                <w:sz w:val="18"/>
              </w:rPr>
              <w:t> </w:t>
            </w:r>
            <w:r>
              <w:rPr>
                <w:sz w:val="18"/>
              </w:rPr>
              <w:t>afhankelijk</w:t>
            </w:r>
            <w:r>
              <w:rPr>
                <w:spacing w:val="-4"/>
                <w:sz w:val="18"/>
              </w:rPr>
              <w:t> </w:t>
            </w:r>
            <w:r>
              <w:rPr>
                <w:sz w:val="18"/>
              </w:rPr>
              <w:t>is</w:t>
            </w:r>
            <w:r>
              <w:rPr>
                <w:spacing w:val="-3"/>
                <w:sz w:val="18"/>
              </w:rPr>
              <w:t> </w:t>
            </w:r>
            <w:r>
              <w:rPr>
                <w:sz w:val="18"/>
              </w:rPr>
              <w:t>van</w:t>
            </w:r>
            <w:r>
              <w:rPr>
                <w:spacing w:val="-4"/>
                <w:sz w:val="18"/>
              </w:rPr>
              <w:t> </w:t>
            </w:r>
            <w:r>
              <w:rPr>
                <w:spacing w:val="-5"/>
                <w:sz w:val="18"/>
              </w:rPr>
              <w:t>de</w:t>
            </w:r>
          </w:p>
          <w:p>
            <w:pPr>
              <w:pStyle w:val="TableParagraph"/>
              <w:spacing w:before="31" w:line="276" w:lineRule="auto"/>
              <w:rPr>
                <w:sz w:val="18"/>
              </w:rPr>
            </w:pPr>
            <w:r>
              <w:rPr>
                <w:sz w:val="18"/>
              </w:rPr>
              <w:t>beschikbaarheid</w:t>
            </w:r>
            <w:r>
              <w:rPr>
                <w:spacing w:val="-6"/>
                <w:sz w:val="18"/>
              </w:rPr>
              <w:t> </w:t>
            </w:r>
            <w:r>
              <w:rPr>
                <w:sz w:val="18"/>
              </w:rPr>
              <w:t>van</w:t>
            </w:r>
            <w:r>
              <w:rPr>
                <w:spacing w:val="-7"/>
                <w:sz w:val="18"/>
              </w:rPr>
              <w:t> </w:t>
            </w:r>
            <w:r>
              <w:rPr>
                <w:sz w:val="18"/>
              </w:rPr>
              <w:t>gronden,</w:t>
            </w:r>
            <w:r>
              <w:rPr>
                <w:spacing w:val="-7"/>
                <w:sz w:val="18"/>
              </w:rPr>
              <w:t> </w:t>
            </w:r>
            <w:r>
              <w:rPr>
                <w:sz w:val="18"/>
              </w:rPr>
              <w:t>het</w:t>
            </w:r>
            <w:r>
              <w:rPr>
                <w:spacing w:val="-5"/>
                <w:sz w:val="18"/>
              </w:rPr>
              <w:t> </w:t>
            </w:r>
            <w:r>
              <w:rPr>
                <w:sz w:val="18"/>
              </w:rPr>
              <w:t>bijbehorende</w:t>
            </w:r>
            <w:r>
              <w:rPr>
                <w:spacing w:val="-6"/>
                <w:sz w:val="18"/>
              </w:rPr>
              <w:t> </w:t>
            </w:r>
            <w:r>
              <w:rPr>
                <w:sz w:val="18"/>
              </w:rPr>
              <w:t>verwervingsproces</w:t>
            </w:r>
            <w:r>
              <w:rPr>
                <w:spacing w:val="-6"/>
                <w:sz w:val="18"/>
              </w:rPr>
              <w:t> </w:t>
            </w:r>
            <w:r>
              <w:rPr>
                <w:sz w:val="18"/>
              </w:rPr>
              <w:t>en</w:t>
            </w:r>
            <w:r>
              <w:rPr>
                <w:spacing w:val="-7"/>
                <w:sz w:val="18"/>
              </w:rPr>
              <w:t> </w:t>
            </w:r>
            <w:r>
              <w:rPr>
                <w:sz w:val="18"/>
              </w:rPr>
              <w:t>tijdige</w:t>
            </w:r>
            <w:r>
              <w:rPr>
                <w:spacing w:val="-6"/>
                <w:sz w:val="18"/>
              </w:rPr>
              <w:t> </w:t>
            </w:r>
            <w:r>
              <w:rPr>
                <w:sz w:val="18"/>
              </w:rPr>
              <w:t>afgifte</w:t>
            </w:r>
            <w:r>
              <w:rPr>
                <w:spacing w:val="-6"/>
                <w:sz w:val="18"/>
              </w:rPr>
              <w:t> </w:t>
            </w:r>
            <w:r>
              <w:rPr>
                <w:sz w:val="18"/>
              </w:rPr>
              <w:t>van </w:t>
            </w:r>
            <w:r>
              <w:rPr>
                <w:spacing w:val="-2"/>
                <w:sz w:val="18"/>
              </w:rPr>
              <w:t>vergunningen.</w:t>
            </w:r>
          </w:p>
        </w:tc>
      </w:tr>
      <w:tr>
        <w:trPr>
          <w:trHeight w:val="1257" w:hRule="atLeast"/>
        </w:trPr>
        <w:tc>
          <w:tcPr>
            <w:tcW w:w="460" w:type="dxa"/>
          </w:tcPr>
          <w:p>
            <w:pPr>
              <w:pStyle w:val="TableParagraph"/>
              <w:spacing w:before="142"/>
              <w:ind w:left="50"/>
              <w:rPr>
                <w:sz w:val="18"/>
              </w:rPr>
            </w:pPr>
            <w:r>
              <w:rPr>
                <w:spacing w:val="-10"/>
                <w:sz w:val="18"/>
              </w:rPr>
              <w:t>6</w:t>
            </w:r>
          </w:p>
        </w:tc>
        <w:tc>
          <w:tcPr>
            <w:tcW w:w="8456" w:type="dxa"/>
          </w:tcPr>
          <w:p>
            <w:pPr>
              <w:pStyle w:val="TableParagraph"/>
              <w:spacing w:before="142"/>
              <w:rPr>
                <w:b/>
                <w:sz w:val="18"/>
              </w:rPr>
            </w:pPr>
            <w:r>
              <w:rPr>
                <w:b/>
                <w:spacing w:val="-2"/>
                <w:sz w:val="18"/>
              </w:rPr>
              <w:t>Vraag:</w:t>
            </w:r>
          </w:p>
          <w:p>
            <w:pPr>
              <w:pStyle w:val="TableParagraph"/>
              <w:spacing w:before="34" w:line="276" w:lineRule="auto"/>
              <w:rPr>
                <w:sz w:val="18"/>
              </w:rPr>
            </w:pPr>
            <w:r>
              <w:rPr>
                <w:sz w:val="18"/>
              </w:rPr>
              <w:t>Welke</w:t>
            </w:r>
            <w:r>
              <w:rPr>
                <w:spacing w:val="-5"/>
                <w:sz w:val="18"/>
              </w:rPr>
              <w:t> </w:t>
            </w:r>
            <w:r>
              <w:rPr>
                <w:sz w:val="18"/>
              </w:rPr>
              <w:t>maatregelen</w:t>
            </w:r>
            <w:r>
              <w:rPr>
                <w:spacing w:val="-6"/>
                <w:sz w:val="18"/>
              </w:rPr>
              <w:t> </w:t>
            </w:r>
            <w:r>
              <w:rPr>
                <w:sz w:val="18"/>
              </w:rPr>
              <w:t>gaat</w:t>
            </w:r>
            <w:r>
              <w:rPr>
                <w:spacing w:val="-5"/>
                <w:sz w:val="18"/>
              </w:rPr>
              <w:t> </w:t>
            </w:r>
            <w:r>
              <w:rPr>
                <w:sz w:val="18"/>
              </w:rPr>
              <w:t>u</w:t>
            </w:r>
            <w:r>
              <w:rPr>
                <w:spacing w:val="-4"/>
                <w:sz w:val="18"/>
              </w:rPr>
              <w:t> </w:t>
            </w:r>
            <w:r>
              <w:rPr>
                <w:sz w:val="18"/>
              </w:rPr>
              <w:t>nemen</w:t>
            </w:r>
            <w:r>
              <w:rPr>
                <w:spacing w:val="-6"/>
                <w:sz w:val="18"/>
              </w:rPr>
              <w:t> </w:t>
            </w:r>
            <w:r>
              <w:rPr>
                <w:sz w:val="18"/>
              </w:rPr>
              <w:t>om</w:t>
            </w:r>
            <w:r>
              <w:rPr>
                <w:spacing w:val="-5"/>
                <w:sz w:val="18"/>
              </w:rPr>
              <w:t> </w:t>
            </w:r>
            <w:r>
              <w:rPr>
                <w:sz w:val="18"/>
              </w:rPr>
              <w:t>het</w:t>
            </w:r>
            <w:r>
              <w:rPr>
                <w:spacing w:val="-4"/>
                <w:sz w:val="18"/>
              </w:rPr>
              <w:t> </w:t>
            </w:r>
            <w:r>
              <w:rPr>
                <w:sz w:val="18"/>
              </w:rPr>
              <w:t>gebrek</w:t>
            </w:r>
            <w:r>
              <w:rPr>
                <w:spacing w:val="-6"/>
                <w:sz w:val="18"/>
              </w:rPr>
              <w:t> </w:t>
            </w:r>
            <w:r>
              <w:rPr>
                <w:sz w:val="18"/>
              </w:rPr>
              <w:t>aan</w:t>
            </w:r>
            <w:r>
              <w:rPr>
                <w:spacing w:val="-5"/>
                <w:sz w:val="18"/>
              </w:rPr>
              <w:t> </w:t>
            </w:r>
            <w:r>
              <w:rPr>
                <w:sz w:val="18"/>
              </w:rPr>
              <w:t>capaciteit</w:t>
            </w:r>
            <w:r>
              <w:rPr>
                <w:spacing w:val="-4"/>
                <w:sz w:val="18"/>
              </w:rPr>
              <w:t> </w:t>
            </w:r>
            <w:r>
              <w:rPr>
                <w:sz w:val="18"/>
              </w:rPr>
              <w:t>en</w:t>
            </w:r>
            <w:r>
              <w:rPr>
                <w:spacing w:val="-6"/>
                <w:sz w:val="18"/>
              </w:rPr>
              <w:t> </w:t>
            </w:r>
            <w:r>
              <w:rPr>
                <w:sz w:val="18"/>
              </w:rPr>
              <w:t>onduidelijkheid</w:t>
            </w:r>
            <w:r>
              <w:rPr>
                <w:spacing w:val="-5"/>
                <w:sz w:val="18"/>
              </w:rPr>
              <w:t> </w:t>
            </w:r>
            <w:r>
              <w:rPr>
                <w:sz w:val="18"/>
              </w:rPr>
              <w:t>over procedures in het kader van de KRW-gelden in Oost-Nederland en Zuid-Nederland te </w:t>
            </w:r>
            <w:r>
              <w:rPr>
                <w:spacing w:val="-2"/>
                <w:sz w:val="18"/>
              </w:rPr>
              <w:t>verminderen?</w:t>
            </w:r>
          </w:p>
        </w:tc>
      </w:tr>
      <w:tr>
        <w:trPr>
          <w:trHeight w:val="1257" w:hRule="atLeast"/>
        </w:trPr>
        <w:tc>
          <w:tcPr>
            <w:tcW w:w="460" w:type="dxa"/>
          </w:tcPr>
          <w:p>
            <w:pPr>
              <w:pStyle w:val="TableParagraph"/>
              <w:ind w:left="0"/>
              <w:rPr>
                <w:rFonts w:ascii="Times New Roman"/>
                <w:sz w:val="18"/>
              </w:rPr>
            </w:pPr>
          </w:p>
        </w:tc>
        <w:tc>
          <w:tcPr>
            <w:tcW w:w="8456" w:type="dxa"/>
          </w:tcPr>
          <w:p>
            <w:pPr>
              <w:pStyle w:val="TableParagraph"/>
              <w:spacing w:before="142"/>
              <w:rPr>
                <w:b/>
                <w:sz w:val="18"/>
              </w:rPr>
            </w:pPr>
            <w:r>
              <w:rPr>
                <w:b/>
                <w:spacing w:val="-2"/>
                <w:sz w:val="18"/>
              </w:rPr>
              <w:t>Antwoord:</w:t>
            </w:r>
          </w:p>
          <w:p>
            <w:pPr>
              <w:pStyle w:val="TableParagraph"/>
              <w:spacing w:before="34" w:line="276" w:lineRule="auto"/>
              <w:rPr>
                <w:sz w:val="18"/>
              </w:rPr>
            </w:pPr>
            <w:r>
              <w:rPr>
                <w:sz w:val="18"/>
              </w:rPr>
              <w:t>Binnen IenW zijn we doorlopend bezig met het beperken van onduidelijkheid over procedures.</w:t>
            </w:r>
            <w:r>
              <w:rPr>
                <w:spacing w:val="-7"/>
                <w:sz w:val="18"/>
              </w:rPr>
              <w:t> </w:t>
            </w:r>
            <w:r>
              <w:rPr>
                <w:sz w:val="18"/>
              </w:rPr>
              <w:t>Wat</w:t>
            </w:r>
            <w:r>
              <w:rPr>
                <w:spacing w:val="-6"/>
                <w:sz w:val="18"/>
              </w:rPr>
              <w:t> </w:t>
            </w:r>
            <w:r>
              <w:rPr>
                <w:sz w:val="18"/>
              </w:rPr>
              <w:t>betreft</w:t>
            </w:r>
            <w:r>
              <w:rPr>
                <w:spacing w:val="-5"/>
                <w:sz w:val="18"/>
              </w:rPr>
              <w:t> </w:t>
            </w:r>
            <w:r>
              <w:rPr>
                <w:sz w:val="18"/>
              </w:rPr>
              <w:t>het</w:t>
            </w:r>
            <w:r>
              <w:rPr>
                <w:spacing w:val="-5"/>
                <w:sz w:val="18"/>
              </w:rPr>
              <w:t> </w:t>
            </w:r>
            <w:r>
              <w:rPr>
                <w:sz w:val="18"/>
              </w:rPr>
              <w:t>vraagstuk</w:t>
            </w:r>
            <w:r>
              <w:rPr>
                <w:spacing w:val="-7"/>
                <w:sz w:val="18"/>
              </w:rPr>
              <w:t> </w:t>
            </w:r>
            <w:r>
              <w:rPr>
                <w:sz w:val="18"/>
              </w:rPr>
              <w:t>van</w:t>
            </w:r>
            <w:r>
              <w:rPr>
                <w:spacing w:val="-5"/>
                <w:sz w:val="18"/>
              </w:rPr>
              <w:t> </w:t>
            </w:r>
            <w:r>
              <w:rPr>
                <w:sz w:val="18"/>
              </w:rPr>
              <w:t>capaciteit,</w:t>
            </w:r>
            <w:r>
              <w:rPr>
                <w:spacing w:val="-7"/>
                <w:sz w:val="18"/>
              </w:rPr>
              <w:t> </w:t>
            </w:r>
            <w:r>
              <w:rPr>
                <w:sz w:val="18"/>
              </w:rPr>
              <w:t>dit</w:t>
            </w:r>
            <w:r>
              <w:rPr>
                <w:spacing w:val="-5"/>
                <w:sz w:val="18"/>
              </w:rPr>
              <w:t> </w:t>
            </w:r>
            <w:r>
              <w:rPr>
                <w:sz w:val="18"/>
              </w:rPr>
              <w:t>wordt</w:t>
            </w:r>
            <w:r>
              <w:rPr>
                <w:spacing w:val="-5"/>
                <w:sz w:val="18"/>
              </w:rPr>
              <w:t> </w:t>
            </w:r>
            <w:r>
              <w:rPr>
                <w:sz w:val="18"/>
              </w:rPr>
              <w:t>meegenomen</w:t>
            </w:r>
            <w:r>
              <w:rPr>
                <w:spacing w:val="-7"/>
                <w:sz w:val="18"/>
              </w:rPr>
              <w:t> </w:t>
            </w:r>
            <w:r>
              <w:rPr>
                <w:sz w:val="18"/>
              </w:rPr>
              <w:t>in</w:t>
            </w:r>
            <w:r>
              <w:rPr>
                <w:spacing w:val="-9"/>
                <w:sz w:val="18"/>
              </w:rPr>
              <w:t> </w:t>
            </w:r>
            <w:r>
              <w:rPr>
                <w:sz w:val="18"/>
              </w:rPr>
              <w:t>de integrale afweging rond de begroting komend voorjaar.</w:t>
            </w:r>
          </w:p>
        </w:tc>
      </w:tr>
      <w:tr>
        <w:trPr>
          <w:trHeight w:val="1259" w:hRule="atLeast"/>
        </w:trPr>
        <w:tc>
          <w:tcPr>
            <w:tcW w:w="460" w:type="dxa"/>
          </w:tcPr>
          <w:p>
            <w:pPr>
              <w:pStyle w:val="TableParagraph"/>
              <w:spacing w:before="142"/>
              <w:ind w:left="50"/>
              <w:rPr>
                <w:sz w:val="18"/>
              </w:rPr>
            </w:pPr>
            <w:r>
              <w:rPr>
                <w:spacing w:val="-10"/>
                <w:sz w:val="18"/>
              </w:rPr>
              <w:t>7</w:t>
            </w:r>
          </w:p>
        </w:tc>
        <w:tc>
          <w:tcPr>
            <w:tcW w:w="8456" w:type="dxa"/>
          </w:tcPr>
          <w:p>
            <w:pPr>
              <w:pStyle w:val="TableParagraph"/>
              <w:spacing w:before="142"/>
              <w:rPr>
                <w:b/>
                <w:sz w:val="18"/>
              </w:rPr>
            </w:pPr>
            <w:r>
              <w:rPr>
                <w:b/>
                <w:spacing w:val="-2"/>
                <w:sz w:val="18"/>
              </w:rPr>
              <w:t>Vraag:</w:t>
            </w:r>
          </w:p>
          <w:p>
            <w:pPr>
              <w:pStyle w:val="TableParagraph"/>
              <w:spacing w:before="34" w:line="276" w:lineRule="auto"/>
              <w:rPr>
                <w:sz w:val="18"/>
              </w:rPr>
            </w:pPr>
            <w:r>
              <w:rPr>
                <w:sz w:val="18"/>
              </w:rPr>
              <w:t>In</w:t>
            </w:r>
            <w:r>
              <w:rPr>
                <w:spacing w:val="-5"/>
                <w:sz w:val="18"/>
              </w:rPr>
              <w:t> </w:t>
            </w:r>
            <w:r>
              <w:rPr>
                <w:sz w:val="18"/>
              </w:rPr>
              <w:t>hoeverre</w:t>
            </w:r>
            <w:r>
              <w:rPr>
                <w:spacing w:val="-4"/>
                <w:sz w:val="18"/>
              </w:rPr>
              <w:t> </w:t>
            </w:r>
            <w:r>
              <w:rPr>
                <w:sz w:val="18"/>
              </w:rPr>
              <w:t>verhoudt</w:t>
            </w:r>
            <w:r>
              <w:rPr>
                <w:spacing w:val="-3"/>
                <w:sz w:val="18"/>
              </w:rPr>
              <w:t> </w:t>
            </w:r>
            <w:r>
              <w:rPr>
                <w:sz w:val="18"/>
              </w:rPr>
              <w:t>de</w:t>
            </w:r>
            <w:r>
              <w:rPr>
                <w:spacing w:val="-4"/>
                <w:sz w:val="18"/>
              </w:rPr>
              <w:t> </w:t>
            </w:r>
            <w:r>
              <w:rPr>
                <w:sz w:val="18"/>
              </w:rPr>
              <w:t>subsidie</w:t>
            </w:r>
            <w:r>
              <w:rPr>
                <w:spacing w:val="-4"/>
                <w:sz w:val="18"/>
              </w:rPr>
              <w:t> </w:t>
            </w:r>
            <w:r>
              <w:rPr>
                <w:sz w:val="18"/>
              </w:rPr>
              <w:t>van</w:t>
            </w:r>
            <w:r>
              <w:rPr>
                <w:spacing w:val="-6"/>
                <w:sz w:val="18"/>
              </w:rPr>
              <w:t> </w:t>
            </w:r>
            <w:r>
              <w:rPr>
                <w:sz w:val="18"/>
              </w:rPr>
              <w:t>96,8 miljoen</w:t>
            </w:r>
            <w:r>
              <w:rPr>
                <w:spacing w:val="-5"/>
                <w:sz w:val="18"/>
              </w:rPr>
              <w:t> </w:t>
            </w:r>
            <w:r>
              <w:rPr>
                <w:sz w:val="18"/>
              </w:rPr>
              <w:t>euro</w:t>
            </w:r>
            <w:r>
              <w:rPr>
                <w:spacing w:val="-3"/>
                <w:sz w:val="18"/>
              </w:rPr>
              <w:t> </w:t>
            </w:r>
            <w:r>
              <w:rPr>
                <w:sz w:val="18"/>
              </w:rPr>
              <w:t>aan</w:t>
            </w:r>
            <w:r>
              <w:rPr>
                <w:spacing w:val="-6"/>
                <w:sz w:val="18"/>
              </w:rPr>
              <w:t> </w:t>
            </w:r>
            <w:r>
              <w:rPr>
                <w:sz w:val="18"/>
              </w:rPr>
              <w:t>de</w:t>
            </w:r>
            <w:r>
              <w:rPr>
                <w:spacing w:val="-4"/>
                <w:sz w:val="18"/>
              </w:rPr>
              <w:t> </w:t>
            </w:r>
            <w:r>
              <w:rPr>
                <w:sz w:val="18"/>
              </w:rPr>
              <w:t>Nederlandse</w:t>
            </w:r>
            <w:r>
              <w:rPr>
                <w:spacing w:val="-3"/>
                <w:sz w:val="18"/>
              </w:rPr>
              <w:t> </w:t>
            </w:r>
            <w:r>
              <w:rPr>
                <w:sz w:val="18"/>
              </w:rPr>
              <w:t>Spoorwegen (NS) zich tot de eenmalige compensatie aan regionale vervoerders na herijking van het </w:t>
            </w:r>
            <w:r>
              <w:rPr>
                <w:spacing w:val="-2"/>
                <w:sz w:val="18"/>
              </w:rPr>
              <w:t>studentenreisproduct?</w:t>
            </w:r>
          </w:p>
        </w:tc>
      </w:tr>
      <w:tr>
        <w:trPr>
          <w:trHeight w:val="1365" w:hRule="atLeast"/>
        </w:trPr>
        <w:tc>
          <w:tcPr>
            <w:tcW w:w="460" w:type="dxa"/>
          </w:tcPr>
          <w:p>
            <w:pPr>
              <w:pStyle w:val="TableParagraph"/>
              <w:ind w:left="0"/>
              <w:rPr>
                <w:rFonts w:ascii="Times New Roman"/>
                <w:sz w:val="18"/>
              </w:rPr>
            </w:pPr>
          </w:p>
        </w:tc>
        <w:tc>
          <w:tcPr>
            <w:tcW w:w="8456" w:type="dxa"/>
          </w:tcPr>
          <w:p>
            <w:pPr>
              <w:pStyle w:val="TableParagraph"/>
              <w:spacing w:before="141"/>
              <w:rPr>
                <w:b/>
                <w:sz w:val="18"/>
              </w:rPr>
            </w:pPr>
            <w:r>
              <w:rPr>
                <w:b/>
                <w:spacing w:val="-2"/>
                <w:sz w:val="18"/>
              </w:rPr>
              <w:t>Antwoord:</w:t>
            </w:r>
          </w:p>
          <w:p>
            <w:pPr>
              <w:pStyle w:val="TableParagraph"/>
              <w:spacing w:before="33" w:line="276" w:lineRule="auto"/>
              <w:rPr>
                <w:sz w:val="18"/>
              </w:rPr>
            </w:pPr>
            <w:r>
              <w:rPr>
                <w:sz w:val="18"/>
              </w:rPr>
              <w:t>Vorig jaar heeft het kabinet besloten om de middelen die vrijvallen als gevolg van de herijking</w:t>
            </w:r>
            <w:r>
              <w:rPr>
                <w:spacing w:val="-6"/>
                <w:sz w:val="18"/>
              </w:rPr>
              <w:t> </w:t>
            </w:r>
            <w:r>
              <w:rPr>
                <w:sz w:val="18"/>
              </w:rPr>
              <w:t>van</w:t>
            </w:r>
            <w:r>
              <w:rPr>
                <w:spacing w:val="-7"/>
                <w:sz w:val="18"/>
              </w:rPr>
              <w:t> </w:t>
            </w:r>
            <w:r>
              <w:rPr>
                <w:sz w:val="18"/>
              </w:rPr>
              <w:t>het</w:t>
            </w:r>
            <w:r>
              <w:rPr>
                <w:spacing w:val="-5"/>
                <w:sz w:val="18"/>
              </w:rPr>
              <w:t> </w:t>
            </w:r>
            <w:r>
              <w:rPr>
                <w:sz w:val="18"/>
              </w:rPr>
              <w:t>studentenreisproduct</w:t>
            </w:r>
            <w:r>
              <w:rPr>
                <w:spacing w:val="-6"/>
                <w:sz w:val="18"/>
              </w:rPr>
              <w:t> </w:t>
            </w:r>
            <w:r>
              <w:rPr>
                <w:sz w:val="18"/>
              </w:rPr>
              <w:t>eenmalig</w:t>
            </w:r>
            <w:r>
              <w:rPr>
                <w:spacing w:val="-6"/>
                <w:sz w:val="18"/>
              </w:rPr>
              <w:t> </w:t>
            </w:r>
            <w:r>
              <w:rPr>
                <w:sz w:val="18"/>
              </w:rPr>
              <w:t>aan</w:t>
            </w:r>
            <w:r>
              <w:rPr>
                <w:spacing w:val="-7"/>
                <w:sz w:val="18"/>
              </w:rPr>
              <w:t> </w:t>
            </w:r>
            <w:r>
              <w:rPr>
                <w:sz w:val="18"/>
              </w:rPr>
              <w:t>te</w:t>
            </w:r>
            <w:r>
              <w:rPr>
                <w:spacing w:val="-6"/>
                <w:sz w:val="18"/>
              </w:rPr>
              <w:t> </w:t>
            </w:r>
            <w:r>
              <w:rPr>
                <w:sz w:val="18"/>
              </w:rPr>
              <w:t>wenden</w:t>
            </w:r>
            <w:r>
              <w:rPr>
                <w:spacing w:val="-6"/>
                <w:sz w:val="18"/>
              </w:rPr>
              <w:t> </w:t>
            </w:r>
            <w:r>
              <w:rPr>
                <w:sz w:val="18"/>
              </w:rPr>
              <w:t>voor</w:t>
            </w:r>
            <w:r>
              <w:rPr>
                <w:spacing w:val="-6"/>
                <w:sz w:val="18"/>
              </w:rPr>
              <w:t> </w:t>
            </w:r>
            <w:r>
              <w:rPr>
                <w:sz w:val="18"/>
              </w:rPr>
              <w:t>ondersteuning</w:t>
            </w:r>
            <w:r>
              <w:rPr>
                <w:spacing w:val="-6"/>
                <w:sz w:val="18"/>
              </w:rPr>
              <w:t> </w:t>
            </w:r>
            <w:r>
              <w:rPr>
                <w:sz w:val="18"/>
              </w:rPr>
              <w:t>van het OV in 2024. Vervoerders (van bus, tram, metro en trein) hebben gezamenlijk een</w:t>
            </w:r>
          </w:p>
          <w:p>
            <w:pPr>
              <w:pStyle w:val="TableParagraph"/>
              <w:spacing w:line="198" w:lineRule="exact"/>
              <w:rPr>
                <w:sz w:val="18"/>
              </w:rPr>
            </w:pPr>
            <w:r>
              <w:rPr>
                <w:sz w:val="18"/>
              </w:rPr>
              <w:t>voorstel</w:t>
            </w:r>
            <w:r>
              <w:rPr>
                <w:spacing w:val="-5"/>
                <w:sz w:val="18"/>
              </w:rPr>
              <w:t> </w:t>
            </w:r>
            <w:r>
              <w:rPr>
                <w:sz w:val="18"/>
              </w:rPr>
              <w:t>gedaan</w:t>
            </w:r>
            <w:r>
              <w:rPr>
                <w:spacing w:val="-4"/>
                <w:sz w:val="18"/>
              </w:rPr>
              <w:t> </w:t>
            </w:r>
            <w:r>
              <w:rPr>
                <w:sz w:val="18"/>
              </w:rPr>
              <w:t>aan</w:t>
            </w:r>
            <w:r>
              <w:rPr>
                <w:spacing w:val="-5"/>
                <w:sz w:val="18"/>
              </w:rPr>
              <w:t> </w:t>
            </w:r>
            <w:r>
              <w:rPr>
                <w:sz w:val="18"/>
              </w:rPr>
              <w:t>de</w:t>
            </w:r>
            <w:r>
              <w:rPr>
                <w:spacing w:val="-3"/>
                <w:sz w:val="18"/>
              </w:rPr>
              <w:t> </w:t>
            </w:r>
            <w:r>
              <w:rPr>
                <w:sz w:val="18"/>
              </w:rPr>
              <w:t>leden</w:t>
            </w:r>
            <w:r>
              <w:rPr>
                <w:spacing w:val="-4"/>
                <w:sz w:val="18"/>
              </w:rPr>
              <w:t> </w:t>
            </w:r>
            <w:r>
              <w:rPr>
                <w:sz w:val="18"/>
              </w:rPr>
              <w:t>van</w:t>
            </w:r>
            <w:r>
              <w:rPr>
                <w:spacing w:val="-2"/>
                <w:sz w:val="18"/>
              </w:rPr>
              <w:t> </w:t>
            </w:r>
            <w:r>
              <w:rPr>
                <w:sz w:val="18"/>
              </w:rPr>
              <w:t>het</w:t>
            </w:r>
            <w:r>
              <w:rPr>
                <w:spacing w:val="-2"/>
                <w:sz w:val="18"/>
              </w:rPr>
              <w:t> </w:t>
            </w:r>
            <w:r>
              <w:rPr>
                <w:sz w:val="18"/>
              </w:rPr>
              <w:t>Nationaal</w:t>
            </w:r>
            <w:r>
              <w:rPr>
                <w:spacing w:val="-3"/>
                <w:sz w:val="18"/>
              </w:rPr>
              <w:t> </w:t>
            </w:r>
            <w:r>
              <w:rPr>
                <w:sz w:val="18"/>
              </w:rPr>
              <w:t>OV-beraad</w:t>
            </w:r>
            <w:r>
              <w:rPr>
                <w:spacing w:val="-3"/>
                <w:sz w:val="18"/>
              </w:rPr>
              <w:t> </w:t>
            </w:r>
            <w:r>
              <w:rPr>
                <w:sz w:val="18"/>
              </w:rPr>
              <w:t>om</w:t>
            </w:r>
            <w:r>
              <w:rPr>
                <w:spacing w:val="-3"/>
                <w:sz w:val="18"/>
              </w:rPr>
              <w:t> </w:t>
            </w:r>
            <w:r>
              <w:rPr>
                <w:sz w:val="18"/>
              </w:rPr>
              <w:t>de</w:t>
            </w:r>
            <w:r>
              <w:rPr>
                <w:spacing w:val="-4"/>
                <w:sz w:val="18"/>
              </w:rPr>
              <w:t> </w:t>
            </w:r>
            <w:r>
              <w:rPr>
                <w:sz w:val="18"/>
              </w:rPr>
              <w:t>middelen</w:t>
            </w:r>
            <w:r>
              <w:rPr>
                <w:spacing w:val="-3"/>
                <w:sz w:val="18"/>
              </w:rPr>
              <w:t> </w:t>
            </w:r>
            <w:r>
              <w:rPr>
                <w:sz w:val="18"/>
              </w:rPr>
              <w:t>te</w:t>
            </w:r>
            <w:r>
              <w:rPr>
                <w:spacing w:val="-3"/>
                <w:sz w:val="18"/>
              </w:rPr>
              <w:t> </w:t>
            </w:r>
            <w:r>
              <w:rPr>
                <w:spacing w:val="-2"/>
                <w:sz w:val="18"/>
              </w:rPr>
              <w:t>verdelen</w:t>
            </w:r>
          </w:p>
        </w:tc>
      </w:tr>
    </w:tbl>
    <w:p>
      <w:pPr>
        <w:spacing w:after="0" w:line="198" w:lineRule="exact"/>
        <w:rPr>
          <w:sz w:val="18"/>
        </w:rPr>
        <w:sectPr>
          <w:type w:val="continuous"/>
          <w:pgSz w:w="11910" w:h="16840"/>
          <w:pgMar w:top="1380" w:right="1380" w:bottom="1067" w:left="1360"/>
        </w:sectPr>
      </w:pPr>
    </w:p>
    <w:tbl>
      <w:tblPr>
        <w:tblW w:w="0" w:type="auto"/>
        <w:jc w:val="lef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518"/>
        <w:gridCol w:w="8423"/>
      </w:tblGrid>
      <w:tr>
        <w:trPr>
          <w:trHeight w:val="865" w:hRule="atLeast"/>
        </w:trPr>
        <w:tc>
          <w:tcPr>
            <w:tcW w:w="518" w:type="dxa"/>
          </w:tcPr>
          <w:p>
            <w:pPr>
              <w:pStyle w:val="TableParagraph"/>
              <w:ind w:left="0"/>
              <w:rPr>
                <w:rFonts w:ascii="Times New Roman"/>
                <w:sz w:val="18"/>
              </w:rPr>
            </w:pPr>
          </w:p>
        </w:tc>
        <w:tc>
          <w:tcPr>
            <w:tcW w:w="8423" w:type="dxa"/>
          </w:tcPr>
          <w:p>
            <w:pPr>
              <w:pStyle w:val="TableParagraph"/>
              <w:spacing w:line="276" w:lineRule="auto"/>
              <w:ind w:left="237"/>
              <w:rPr>
                <w:sz w:val="18"/>
              </w:rPr>
            </w:pPr>
            <w:r>
              <w:rPr>
                <w:sz w:val="18"/>
              </w:rPr>
              <w:t>naar</w:t>
            </w:r>
            <w:r>
              <w:rPr>
                <w:spacing w:val="-6"/>
                <w:sz w:val="18"/>
              </w:rPr>
              <w:t> </w:t>
            </w:r>
            <w:r>
              <w:rPr>
                <w:sz w:val="18"/>
              </w:rPr>
              <w:t>rato</w:t>
            </w:r>
            <w:r>
              <w:rPr>
                <w:spacing w:val="-4"/>
                <w:sz w:val="18"/>
              </w:rPr>
              <w:t> </w:t>
            </w:r>
            <w:r>
              <w:rPr>
                <w:sz w:val="18"/>
              </w:rPr>
              <w:t>van</w:t>
            </w:r>
            <w:r>
              <w:rPr>
                <w:spacing w:val="-7"/>
                <w:sz w:val="18"/>
              </w:rPr>
              <w:t> </w:t>
            </w:r>
            <w:r>
              <w:rPr>
                <w:sz w:val="18"/>
              </w:rPr>
              <w:t>het</w:t>
            </w:r>
            <w:r>
              <w:rPr>
                <w:spacing w:val="-4"/>
                <w:sz w:val="18"/>
              </w:rPr>
              <w:t> </w:t>
            </w:r>
            <w:r>
              <w:rPr>
                <w:sz w:val="18"/>
              </w:rPr>
              <w:t>aandeel</w:t>
            </w:r>
            <w:r>
              <w:rPr>
                <w:spacing w:val="-4"/>
                <w:sz w:val="18"/>
              </w:rPr>
              <w:t> </w:t>
            </w:r>
            <w:r>
              <w:rPr>
                <w:sz w:val="18"/>
              </w:rPr>
              <w:t>van</w:t>
            </w:r>
            <w:r>
              <w:rPr>
                <w:spacing w:val="-7"/>
                <w:sz w:val="18"/>
              </w:rPr>
              <w:t> </w:t>
            </w:r>
            <w:r>
              <w:rPr>
                <w:sz w:val="18"/>
              </w:rPr>
              <w:t>de</w:t>
            </w:r>
            <w:r>
              <w:rPr>
                <w:spacing w:val="-5"/>
                <w:sz w:val="18"/>
              </w:rPr>
              <w:t> </w:t>
            </w:r>
            <w:r>
              <w:rPr>
                <w:sz w:val="18"/>
              </w:rPr>
              <w:t>inkomstenderving</w:t>
            </w:r>
            <w:r>
              <w:rPr>
                <w:spacing w:val="-5"/>
                <w:sz w:val="18"/>
              </w:rPr>
              <w:t> </w:t>
            </w:r>
            <w:r>
              <w:rPr>
                <w:sz w:val="18"/>
              </w:rPr>
              <w:t>van</w:t>
            </w:r>
            <w:r>
              <w:rPr>
                <w:spacing w:val="-7"/>
                <w:sz w:val="18"/>
              </w:rPr>
              <w:t> </w:t>
            </w:r>
            <w:r>
              <w:rPr>
                <w:sz w:val="18"/>
              </w:rPr>
              <w:t>vervoerders</w:t>
            </w:r>
            <w:r>
              <w:rPr>
                <w:spacing w:val="-6"/>
                <w:sz w:val="18"/>
              </w:rPr>
              <w:t> </w:t>
            </w:r>
            <w:r>
              <w:rPr>
                <w:sz w:val="18"/>
              </w:rPr>
              <w:t>door</w:t>
            </w:r>
            <w:r>
              <w:rPr>
                <w:spacing w:val="-5"/>
                <w:sz w:val="18"/>
              </w:rPr>
              <w:t> </w:t>
            </w:r>
            <w:r>
              <w:rPr>
                <w:sz w:val="18"/>
              </w:rPr>
              <w:t>het</w:t>
            </w:r>
            <w:r>
              <w:rPr>
                <w:spacing w:val="-4"/>
                <w:sz w:val="18"/>
              </w:rPr>
              <w:t> </w:t>
            </w:r>
            <w:r>
              <w:rPr>
                <w:sz w:val="18"/>
              </w:rPr>
              <w:t>teruglopen van de vergoeding voor gebruik van het product. N.a.v. deze verdeling is 96,8 mln naar NS gegaan en 110,2 mln van de in totaal 207 mln naar regionale vervoerders.</w:t>
            </w:r>
          </w:p>
        </w:tc>
      </w:tr>
      <w:tr>
        <w:trPr>
          <w:trHeight w:val="754" w:hRule="atLeast"/>
        </w:trPr>
        <w:tc>
          <w:tcPr>
            <w:tcW w:w="518" w:type="dxa"/>
          </w:tcPr>
          <w:p>
            <w:pPr>
              <w:pStyle w:val="TableParagraph"/>
              <w:spacing w:before="142"/>
              <w:ind w:left="50"/>
              <w:rPr>
                <w:sz w:val="18"/>
              </w:rPr>
            </w:pPr>
            <w:r>
              <w:rPr>
                <w:spacing w:val="-10"/>
                <w:sz w:val="18"/>
              </w:rPr>
              <w:t>8</w:t>
            </w:r>
          </w:p>
        </w:tc>
        <w:tc>
          <w:tcPr>
            <w:tcW w:w="8423" w:type="dxa"/>
          </w:tcPr>
          <w:p>
            <w:pPr>
              <w:pStyle w:val="TableParagraph"/>
              <w:spacing w:before="142"/>
              <w:ind w:left="237"/>
              <w:rPr>
                <w:b/>
                <w:sz w:val="18"/>
              </w:rPr>
            </w:pPr>
            <w:r>
              <w:rPr>
                <w:b/>
                <w:spacing w:val="-2"/>
                <w:sz w:val="18"/>
              </w:rPr>
              <w:t>Vraag:</w:t>
            </w:r>
          </w:p>
          <w:p>
            <w:pPr>
              <w:pStyle w:val="TableParagraph"/>
              <w:spacing w:before="34"/>
              <w:ind w:left="237"/>
              <w:rPr>
                <w:sz w:val="18"/>
              </w:rPr>
            </w:pPr>
            <w:r>
              <w:rPr>
                <w:sz w:val="18"/>
              </w:rPr>
              <w:t>Hoe</w:t>
            </w:r>
            <w:r>
              <w:rPr>
                <w:spacing w:val="-3"/>
                <w:sz w:val="18"/>
              </w:rPr>
              <w:t> </w:t>
            </w:r>
            <w:r>
              <w:rPr>
                <w:sz w:val="18"/>
              </w:rPr>
              <w:t>is</w:t>
            </w:r>
            <w:r>
              <w:rPr>
                <w:spacing w:val="-2"/>
                <w:sz w:val="18"/>
              </w:rPr>
              <w:t> </w:t>
            </w:r>
            <w:r>
              <w:rPr>
                <w:sz w:val="18"/>
              </w:rPr>
              <w:t>de</w:t>
            </w:r>
            <w:r>
              <w:rPr>
                <w:spacing w:val="-2"/>
                <w:sz w:val="18"/>
              </w:rPr>
              <w:t> </w:t>
            </w:r>
            <w:r>
              <w:rPr>
                <w:sz w:val="18"/>
              </w:rPr>
              <w:t>subsidie</w:t>
            </w:r>
            <w:r>
              <w:rPr>
                <w:spacing w:val="-2"/>
                <w:sz w:val="18"/>
              </w:rPr>
              <w:t> </w:t>
            </w:r>
            <w:r>
              <w:rPr>
                <w:sz w:val="18"/>
              </w:rPr>
              <w:t>aan</w:t>
            </w:r>
            <w:r>
              <w:rPr>
                <w:spacing w:val="-4"/>
                <w:sz w:val="18"/>
              </w:rPr>
              <w:t> </w:t>
            </w:r>
            <w:r>
              <w:rPr>
                <w:sz w:val="18"/>
              </w:rPr>
              <w:t>NS</w:t>
            </w:r>
            <w:r>
              <w:rPr>
                <w:spacing w:val="-1"/>
                <w:sz w:val="18"/>
              </w:rPr>
              <w:t> </w:t>
            </w:r>
            <w:r>
              <w:rPr>
                <w:sz w:val="18"/>
              </w:rPr>
              <w:t>van</w:t>
            </w:r>
            <w:r>
              <w:rPr>
                <w:spacing w:val="-4"/>
                <w:sz w:val="18"/>
              </w:rPr>
              <w:t> </w:t>
            </w:r>
            <w:r>
              <w:rPr>
                <w:sz w:val="18"/>
              </w:rPr>
              <w:t>96,8</w:t>
            </w:r>
            <w:r>
              <w:rPr>
                <w:spacing w:val="-2"/>
                <w:sz w:val="18"/>
              </w:rPr>
              <w:t> </w:t>
            </w:r>
            <w:r>
              <w:rPr>
                <w:sz w:val="18"/>
              </w:rPr>
              <w:t>miljoen</w:t>
            </w:r>
            <w:r>
              <w:rPr>
                <w:spacing w:val="-3"/>
                <w:sz w:val="18"/>
              </w:rPr>
              <w:t> </w:t>
            </w:r>
            <w:r>
              <w:rPr>
                <w:sz w:val="18"/>
              </w:rPr>
              <w:t>euro</w:t>
            </w:r>
            <w:r>
              <w:rPr>
                <w:spacing w:val="-1"/>
                <w:sz w:val="18"/>
              </w:rPr>
              <w:t> </w:t>
            </w:r>
            <w:r>
              <w:rPr>
                <w:spacing w:val="-2"/>
                <w:sz w:val="18"/>
              </w:rPr>
              <w:t>opgebouwd?</w:t>
            </w:r>
          </w:p>
        </w:tc>
      </w:tr>
      <w:tr>
        <w:trPr>
          <w:trHeight w:val="754" w:hRule="atLeast"/>
        </w:trPr>
        <w:tc>
          <w:tcPr>
            <w:tcW w:w="518" w:type="dxa"/>
          </w:tcPr>
          <w:p>
            <w:pPr>
              <w:pStyle w:val="TableParagraph"/>
              <w:ind w:left="0"/>
              <w:rPr>
                <w:rFonts w:ascii="Times New Roman"/>
                <w:sz w:val="18"/>
              </w:rPr>
            </w:pPr>
          </w:p>
        </w:tc>
        <w:tc>
          <w:tcPr>
            <w:tcW w:w="8423" w:type="dxa"/>
          </w:tcPr>
          <w:p>
            <w:pPr>
              <w:pStyle w:val="TableParagraph"/>
              <w:spacing w:before="141"/>
              <w:ind w:left="237"/>
              <w:rPr>
                <w:b/>
                <w:sz w:val="18"/>
              </w:rPr>
            </w:pPr>
            <w:r>
              <w:rPr>
                <w:b/>
                <w:spacing w:val="-2"/>
                <w:sz w:val="18"/>
              </w:rPr>
              <w:t>Antwoord:</w:t>
            </w:r>
          </w:p>
          <w:p>
            <w:pPr>
              <w:pStyle w:val="TableParagraph"/>
              <w:spacing w:before="33"/>
              <w:ind w:left="237"/>
              <w:rPr>
                <w:sz w:val="18"/>
              </w:rPr>
            </w:pPr>
            <w:r>
              <w:rPr>
                <w:sz w:val="18"/>
              </w:rPr>
              <w:t>Zie</w:t>
            </w:r>
            <w:r>
              <w:rPr>
                <w:spacing w:val="-3"/>
                <w:sz w:val="18"/>
              </w:rPr>
              <w:t> </w:t>
            </w:r>
            <w:r>
              <w:rPr>
                <w:sz w:val="18"/>
              </w:rPr>
              <w:t>het</w:t>
            </w:r>
            <w:r>
              <w:rPr>
                <w:spacing w:val="-3"/>
                <w:sz w:val="18"/>
              </w:rPr>
              <w:t> </w:t>
            </w:r>
            <w:r>
              <w:rPr>
                <w:sz w:val="18"/>
              </w:rPr>
              <w:t>antwoord</w:t>
            </w:r>
            <w:r>
              <w:rPr>
                <w:spacing w:val="-3"/>
                <w:sz w:val="18"/>
              </w:rPr>
              <w:t> </w:t>
            </w:r>
            <w:r>
              <w:rPr>
                <w:sz w:val="18"/>
              </w:rPr>
              <w:t>op</w:t>
            </w:r>
            <w:r>
              <w:rPr>
                <w:spacing w:val="-3"/>
                <w:sz w:val="18"/>
              </w:rPr>
              <w:t> </w:t>
            </w:r>
            <w:r>
              <w:rPr>
                <w:sz w:val="18"/>
              </w:rPr>
              <w:t>vraag</w:t>
            </w:r>
            <w:r>
              <w:rPr>
                <w:spacing w:val="-4"/>
                <w:sz w:val="18"/>
              </w:rPr>
              <w:t> </w:t>
            </w:r>
            <w:r>
              <w:rPr>
                <w:spacing w:val="-5"/>
                <w:sz w:val="18"/>
              </w:rPr>
              <w:t>7.</w:t>
            </w:r>
          </w:p>
        </w:tc>
      </w:tr>
      <w:tr>
        <w:trPr>
          <w:trHeight w:val="1005" w:hRule="atLeast"/>
        </w:trPr>
        <w:tc>
          <w:tcPr>
            <w:tcW w:w="518" w:type="dxa"/>
          </w:tcPr>
          <w:p>
            <w:pPr>
              <w:pStyle w:val="TableParagraph"/>
              <w:spacing w:before="142"/>
              <w:ind w:left="50"/>
              <w:rPr>
                <w:sz w:val="18"/>
              </w:rPr>
            </w:pPr>
            <w:r>
              <w:rPr>
                <w:spacing w:val="-10"/>
                <w:sz w:val="18"/>
              </w:rPr>
              <w:t>9</w:t>
            </w:r>
          </w:p>
        </w:tc>
        <w:tc>
          <w:tcPr>
            <w:tcW w:w="8423" w:type="dxa"/>
          </w:tcPr>
          <w:p>
            <w:pPr>
              <w:pStyle w:val="TableParagraph"/>
              <w:spacing w:before="142"/>
              <w:ind w:left="237"/>
              <w:rPr>
                <w:b/>
                <w:sz w:val="18"/>
              </w:rPr>
            </w:pPr>
            <w:r>
              <w:rPr>
                <w:b/>
                <w:spacing w:val="-2"/>
                <w:sz w:val="18"/>
              </w:rPr>
              <w:t>Vraag:</w:t>
            </w:r>
          </w:p>
          <w:p>
            <w:pPr>
              <w:pStyle w:val="TableParagraph"/>
              <w:spacing w:before="31" w:line="276" w:lineRule="auto"/>
              <w:ind w:left="237"/>
              <w:rPr>
                <w:sz w:val="18"/>
              </w:rPr>
            </w:pPr>
            <w:r>
              <w:rPr>
                <w:sz w:val="18"/>
              </w:rPr>
              <w:t>Leiden</w:t>
            </w:r>
            <w:r>
              <w:rPr>
                <w:spacing w:val="-6"/>
                <w:sz w:val="18"/>
              </w:rPr>
              <w:t> </w:t>
            </w:r>
            <w:r>
              <w:rPr>
                <w:sz w:val="18"/>
              </w:rPr>
              <w:t>de</w:t>
            </w:r>
            <w:r>
              <w:rPr>
                <w:spacing w:val="-6"/>
                <w:sz w:val="18"/>
              </w:rPr>
              <w:t> </w:t>
            </w:r>
            <w:r>
              <w:rPr>
                <w:sz w:val="18"/>
              </w:rPr>
              <w:t>tegenvallers</w:t>
            </w:r>
            <w:r>
              <w:rPr>
                <w:spacing w:val="-6"/>
                <w:sz w:val="18"/>
              </w:rPr>
              <w:t> </w:t>
            </w:r>
            <w:r>
              <w:rPr>
                <w:sz w:val="18"/>
              </w:rPr>
              <w:t>op</w:t>
            </w:r>
            <w:r>
              <w:rPr>
                <w:spacing w:val="-7"/>
                <w:sz w:val="18"/>
              </w:rPr>
              <w:t> </w:t>
            </w:r>
            <w:r>
              <w:rPr>
                <w:sz w:val="18"/>
              </w:rPr>
              <w:t>de</w:t>
            </w:r>
            <w:r>
              <w:rPr>
                <w:spacing w:val="-6"/>
                <w:sz w:val="18"/>
              </w:rPr>
              <w:t> </w:t>
            </w:r>
            <w:r>
              <w:rPr>
                <w:sz w:val="18"/>
              </w:rPr>
              <w:t>begrotingsstaat</w:t>
            </w:r>
            <w:r>
              <w:rPr>
                <w:spacing w:val="-5"/>
                <w:sz w:val="18"/>
              </w:rPr>
              <w:t> </w:t>
            </w:r>
            <w:r>
              <w:rPr>
                <w:sz w:val="18"/>
              </w:rPr>
              <w:t>voor</w:t>
            </w:r>
            <w:r>
              <w:rPr>
                <w:spacing w:val="-6"/>
                <w:sz w:val="18"/>
              </w:rPr>
              <w:t> </w:t>
            </w:r>
            <w:r>
              <w:rPr>
                <w:sz w:val="18"/>
              </w:rPr>
              <w:t>Rijkswaterstaat</w:t>
            </w:r>
            <w:r>
              <w:rPr>
                <w:spacing w:val="-6"/>
                <w:sz w:val="18"/>
              </w:rPr>
              <w:t> </w:t>
            </w:r>
            <w:r>
              <w:rPr>
                <w:sz w:val="18"/>
              </w:rPr>
              <w:t>ertoe</w:t>
            </w:r>
            <w:r>
              <w:rPr>
                <w:spacing w:val="-6"/>
                <w:sz w:val="18"/>
              </w:rPr>
              <w:t> </w:t>
            </w:r>
            <w:r>
              <w:rPr>
                <w:sz w:val="18"/>
              </w:rPr>
              <w:t>dat</w:t>
            </w:r>
            <w:r>
              <w:rPr>
                <w:spacing w:val="-5"/>
                <w:sz w:val="18"/>
              </w:rPr>
              <w:t> </w:t>
            </w:r>
            <w:r>
              <w:rPr>
                <w:sz w:val="18"/>
              </w:rPr>
              <w:t>minder onderuitputting op de begroting van het Mobiliteitsfonds optreedt?</w:t>
            </w:r>
          </w:p>
        </w:tc>
      </w:tr>
      <w:tr>
        <w:trPr>
          <w:trHeight w:val="731" w:hRule="atLeast"/>
        </w:trPr>
        <w:tc>
          <w:tcPr>
            <w:tcW w:w="518" w:type="dxa"/>
          </w:tcPr>
          <w:p>
            <w:pPr>
              <w:pStyle w:val="TableParagraph"/>
              <w:ind w:left="0"/>
              <w:rPr>
                <w:rFonts w:ascii="Times New Roman"/>
                <w:sz w:val="18"/>
              </w:rPr>
            </w:pPr>
          </w:p>
        </w:tc>
        <w:tc>
          <w:tcPr>
            <w:tcW w:w="8423" w:type="dxa"/>
          </w:tcPr>
          <w:p>
            <w:pPr>
              <w:pStyle w:val="TableParagraph"/>
              <w:spacing w:before="142"/>
              <w:ind w:left="237"/>
              <w:rPr>
                <w:b/>
                <w:sz w:val="18"/>
              </w:rPr>
            </w:pPr>
            <w:r>
              <w:rPr>
                <w:b/>
                <w:spacing w:val="-2"/>
                <w:sz w:val="18"/>
              </w:rPr>
              <w:t>Antwoord:</w:t>
            </w:r>
          </w:p>
          <w:p>
            <w:pPr>
              <w:pStyle w:val="TableParagraph"/>
              <w:spacing w:before="34"/>
              <w:ind w:left="237"/>
              <w:rPr>
                <w:sz w:val="18"/>
              </w:rPr>
            </w:pPr>
            <w:r>
              <w:rPr>
                <w:sz w:val="18"/>
              </w:rPr>
              <w:t>Voor</w:t>
            </w:r>
            <w:r>
              <w:rPr>
                <w:spacing w:val="-5"/>
                <w:sz w:val="18"/>
              </w:rPr>
              <w:t> </w:t>
            </w:r>
            <w:r>
              <w:rPr>
                <w:sz w:val="18"/>
              </w:rPr>
              <w:t>tegenvallers</w:t>
            </w:r>
            <w:r>
              <w:rPr>
                <w:spacing w:val="-6"/>
                <w:sz w:val="18"/>
              </w:rPr>
              <w:t> </w:t>
            </w:r>
            <w:r>
              <w:rPr>
                <w:sz w:val="18"/>
              </w:rPr>
              <w:t>op</w:t>
            </w:r>
            <w:r>
              <w:rPr>
                <w:spacing w:val="-5"/>
                <w:sz w:val="18"/>
              </w:rPr>
              <w:t> </w:t>
            </w:r>
            <w:r>
              <w:rPr>
                <w:sz w:val="18"/>
              </w:rPr>
              <w:t>exploitatie</w:t>
            </w:r>
            <w:r>
              <w:rPr>
                <w:spacing w:val="-5"/>
                <w:sz w:val="18"/>
              </w:rPr>
              <w:t> </w:t>
            </w:r>
            <w:r>
              <w:rPr>
                <w:sz w:val="18"/>
              </w:rPr>
              <w:t>en</w:t>
            </w:r>
            <w:r>
              <w:rPr>
                <w:spacing w:val="-5"/>
                <w:sz w:val="18"/>
              </w:rPr>
              <w:t> </w:t>
            </w:r>
            <w:r>
              <w:rPr>
                <w:sz w:val="18"/>
              </w:rPr>
              <w:t>onderhoud</w:t>
            </w:r>
            <w:r>
              <w:rPr>
                <w:spacing w:val="-5"/>
                <w:sz w:val="18"/>
              </w:rPr>
              <w:t> </w:t>
            </w:r>
            <w:r>
              <w:rPr>
                <w:sz w:val="18"/>
              </w:rPr>
              <w:t>is</w:t>
            </w:r>
            <w:r>
              <w:rPr>
                <w:spacing w:val="-5"/>
                <w:sz w:val="18"/>
              </w:rPr>
              <w:t> </w:t>
            </w:r>
            <w:r>
              <w:rPr>
                <w:sz w:val="18"/>
              </w:rPr>
              <w:t>dat</w:t>
            </w:r>
            <w:r>
              <w:rPr>
                <w:spacing w:val="-5"/>
                <w:sz w:val="18"/>
              </w:rPr>
              <w:t> </w:t>
            </w:r>
            <w:r>
              <w:rPr>
                <w:sz w:val="18"/>
              </w:rPr>
              <w:t>niet</w:t>
            </w:r>
            <w:r>
              <w:rPr>
                <w:spacing w:val="-4"/>
                <w:sz w:val="18"/>
              </w:rPr>
              <w:t> </w:t>
            </w:r>
            <w:r>
              <w:rPr>
                <w:sz w:val="18"/>
              </w:rPr>
              <w:t>het</w:t>
            </w:r>
            <w:r>
              <w:rPr>
                <w:spacing w:val="-3"/>
                <w:sz w:val="18"/>
              </w:rPr>
              <w:t> </w:t>
            </w:r>
            <w:r>
              <w:rPr>
                <w:spacing w:val="-2"/>
                <w:sz w:val="18"/>
              </w:rPr>
              <w:t>geval.</w:t>
            </w:r>
          </w:p>
        </w:tc>
      </w:tr>
      <w:tr>
        <w:trPr>
          <w:trHeight w:val="1233" w:hRule="atLeast"/>
        </w:trPr>
        <w:tc>
          <w:tcPr>
            <w:tcW w:w="518" w:type="dxa"/>
          </w:tcPr>
          <w:p>
            <w:pPr>
              <w:pStyle w:val="TableParagraph"/>
              <w:spacing w:before="117"/>
              <w:ind w:left="50"/>
              <w:rPr>
                <w:sz w:val="18"/>
              </w:rPr>
            </w:pPr>
            <w:r>
              <w:rPr>
                <w:spacing w:val="-5"/>
                <w:sz w:val="18"/>
              </w:rPr>
              <w:t>10</w:t>
            </w:r>
          </w:p>
        </w:tc>
        <w:tc>
          <w:tcPr>
            <w:tcW w:w="8423" w:type="dxa"/>
          </w:tcPr>
          <w:p>
            <w:pPr>
              <w:pStyle w:val="TableParagraph"/>
              <w:spacing w:before="117"/>
              <w:ind w:left="237"/>
              <w:rPr>
                <w:b/>
                <w:sz w:val="18"/>
              </w:rPr>
            </w:pPr>
            <w:r>
              <w:rPr>
                <w:b/>
                <w:spacing w:val="-2"/>
                <w:sz w:val="18"/>
              </w:rPr>
              <w:t>Vraag:</w:t>
            </w:r>
          </w:p>
          <w:p>
            <w:pPr>
              <w:pStyle w:val="TableParagraph"/>
              <w:spacing w:before="34" w:line="276" w:lineRule="auto"/>
              <w:ind w:left="237" w:right="217"/>
              <w:jc w:val="both"/>
              <w:rPr>
                <w:sz w:val="18"/>
              </w:rPr>
            </w:pPr>
            <w:r>
              <w:rPr>
                <w:sz w:val="18"/>
              </w:rPr>
              <w:t>Kan</w:t>
            </w:r>
            <w:r>
              <w:rPr>
                <w:spacing w:val="-8"/>
                <w:sz w:val="18"/>
              </w:rPr>
              <w:t> </w:t>
            </w:r>
            <w:r>
              <w:rPr>
                <w:sz w:val="18"/>
              </w:rPr>
              <w:t>er,</w:t>
            </w:r>
            <w:r>
              <w:rPr>
                <w:spacing w:val="-5"/>
                <w:sz w:val="18"/>
              </w:rPr>
              <w:t> </w:t>
            </w:r>
            <w:r>
              <w:rPr>
                <w:sz w:val="18"/>
              </w:rPr>
              <w:t>naast</w:t>
            </w:r>
            <w:r>
              <w:rPr>
                <w:spacing w:val="-5"/>
                <w:sz w:val="18"/>
              </w:rPr>
              <w:t> </w:t>
            </w:r>
            <w:r>
              <w:rPr>
                <w:sz w:val="18"/>
              </w:rPr>
              <w:t>de</w:t>
            </w:r>
            <w:r>
              <w:rPr>
                <w:spacing w:val="-6"/>
                <w:sz w:val="18"/>
              </w:rPr>
              <w:t> </w:t>
            </w:r>
            <w:r>
              <w:rPr>
                <w:sz w:val="18"/>
              </w:rPr>
              <w:t>nieuwe</w:t>
            </w:r>
            <w:r>
              <w:rPr>
                <w:spacing w:val="-6"/>
                <w:sz w:val="18"/>
              </w:rPr>
              <w:t> </w:t>
            </w:r>
            <w:r>
              <w:rPr>
                <w:sz w:val="18"/>
              </w:rPr>
              <w:t>balanspost</w:t>
            </w:r>
            <w:r>
              <w:rPr>
                <w:spacing w:val="-6"/>
                <w:sz w:val="18"/>
              </w:rPr>
              <w:t> </w:t>
            </w:r>
            <w:r>
              <w:rPr>
                <w:sz w:val="18"/>
              </w:rPr>
              <w:t>“Saldo</w:t>
            </w:r>
            <w:r>
              <w:rPr>
                <w:spacing w:val="-5"/>
                <w:sz w:val="18"/>
              </w:rPr>
              <w:t> </w:t>
            </w:r>
            <w:r>
              <w:rPr>
                <w:sz w:val="18"/>
              </w:rPr>
              <w:t>op</w:t>
            </w:r>
            <w:r>
              <w:rPr>
                <w:spacing w:val="-6"/>
                <w:sz w:val="18"/>
              </w:rPr>
              <w:t> </w:t>
            </w:r>
            <w:r>
              <w:rPr>
                <w:sz w:val="18"/>
              </w:rPr>
              <w:t>ontvangen</w:t>
            </w:r>
            <w:r>
              <w:rPr>
                <w:spacing w:val="-7"/>
                <w:sz w:val="18"/>
              </w:rPr>
              <w:t> </w:t>
            </w:r>
            <w:r>
              <w:rPr>
                <w:sz w:val="18"/>
              </w:rPr>
              <w:t>bĳdragen”,</w:t>
            </w:r>
            <w:r>
              <w:rPr>
                <w:spacing w:val="-7"/>
                <w:sz w:val="18"/>
              </w:rPr>
              <w:t> </w:t>
            </w:r>
            <w:r>
              <w:rPr>
                <w:sz w:val="18"/>
              </w:rPr>
              <w:t>een</w:t>
            </w:r>
            <w:r>
              <w:rPr>
                <w:spacing w:val="-7"/>
                <w:sz w:val="18"/>
              </w:rPr>
              <w:t> </w:t>
            </w:r>
            <w:r>
              <w:rPr>
                <w:sz w:val="18"/>
              </w:rPr>
              <w:t>indicator</w:t>
            </w:r>
            <w:r>
              <w:rPr>
                <w:spacing w:val="-6"/>
                <w:sz w:val="18"/>
              </w:rPr>
              <w:t> </w:t>
            </w:r>
            <w:r>
              <w:rPr>
                <w:sz w:val="18"/>
              </w:rPr>
              <w:t>in</w:t>
            </w:r>
            <w:r>
              <w:rPr>
                <w:spacing w:val="-7"/>
                <w:sz w:val="18"/>
              </w:rPr>
              <w:t> </w:t>
            </w:r>
            <w:r>
              <w:rPr>
                <w:sz w:val="18"/>
              </w:rPr>
              <w:t>de begrotingen</w:t>
            </w:r>
            <w:r>
              <w:rPr>
                <w:spacing w:val="-6"/>
                <w:sz w:val="18"/>
              </w:rPr>
              <w:t> </w:t>
            </w:r>
            <w:r>
              <w:rPr>
                <w:sz w:val="18"/>
              </w:rPr>
              <w:t>en</w:t>
            </w:r>
            <w:r>
              <w:rPr>
                <w:spacing w:val="-6"/>
                <w:sz w:val="18"/>
              </w:rPr>
              <w:t> </w:t>
            </w:r>
            <w:r>
              <w:rPr>
                <w:sz w:val="18"/>
              </w:rPr>
              <w:t>jaarverslagen</w:t>
            </w:r>
            <w:r>
              <w:rPr>
                <w:spacing w:val="-6"/>
                <w:sz w:val="18"/>
              </w:rPr>
              <w:t> </w:t>
            </w:r>
            <w:r>
              <w:rPr>
                <w:sz w:val="18"/>
              </w:rPr>
              <w:t>worden</w:t>
            </w:r>
            <w:r>
              <w:rPr>
                <w:spacing w:val="-6"/>
                <w:sz w:val="18"/>
              </w:rPr>
              <w:t> </w:t>
            </w:r>
            <w:r>
              <w:rPr>
                <w:sz w:val="18"/>
              </w:rPr>
              <w:t>opgenomen</w:t>
            </w:r>
            <w:r>
              <w:rPr>
                <w:spacing w:val="-6"/>
                <w:sz w:val="18"/>
              </w:rPr>
              <w:t> </w:t>
            </w:r>
            <w:r>
              <w:rPr>
                <w:sz w:val="18"/>
              </w:rPr>
              <w:t>waarmee</w:t>
            </w:r>
            <w:r>
              <w:rPr>
                <w:spacing w:val="-4"/>
                <w:sz w:val="18"/>
              </w:rPr>
              <w:t> </w:t>
            </w:r>
            <w:r>
              <w:rPr>
                <w:sz w:val="18"/>
              </w:rPr>
              <w:t>inzicht</w:t>
            </w:r>
            <w:r>
              <w:rPr>
                <w:spacing w:val="-4"/>
                <w:sz w:val="18"/>
              </w:rPr>
              <w:t> </w:t>
            </w:r>
            <w:r>
              <w:rPr>
                <w:sz w:val="18"/>
              </w:rPr>
              <w:t>wordt</w:t>
            </w:r>
            <w:r>
              <w:rPr>
                <w:spacing w:val="-4"/>
                <w:sz w:val="18"/>
              </w:rPr>
              <w:t> </w:t>
            </w:r>
            <w:r>
              <w:rPr>
                <w:sz w:val="18"/>
              </w:rPr>
              <w:t>gegeven</w:t>
            </w:r>
            <w:r>
              <w:rPr>
                <w:spacing w:val="-6"/>
                <w:sz w:val="18"/>
              </w:rPr>
              <w:t> </w:t>
            </w:r>
            <w:r>
              <w:rPr>
                <w:sz w:val="18"/>
              </w:rPr>
              <w:t>in</w:t>
            </w:r>
            <w:r>
              <w:rPr>
                <w:spacing w:val="-6"/>
                <w:sz w:val="18"/>
              </w:rPr>
              <w:t> </w:t>
            </w:r>
            <w:r>
              <w:rPr>
                <w:sz w:val="18"/>
              </w:rPr>
              <w:t>de voortgang van de instandhoudingsopgave?</w:t>
            </w:r>
          </w:p>
        </w:tc>
      </w:tr>
      <w:tr>
        <w:trPr>
          <w:trHeight w:val="1116" w:hRule="atLeast"/>
        </w:trPr>
        <w:tc>
          <w:tcPr>
            <w:tcW w:w="518" w:type="dxa"/>
          </w:tcPr>
          <w:p>
            <w:pPr>
              <w:pStyle w:val="TableParagraph"/>
              <w:ind w:left="0"/>
              <w:rPr>
                <w:rFonts w:ascii="Times New Roman"/>
                <w:sz w:val="18"/>
              </w:rPr>
            </w:pPr>
          </w:p>
        </w:tc>
        <w:tc>
          <w:tcPr>
            <w:tcW w:w="8423" w:type="dxa"/>
          </w:tcPr>
          <w:p>
            <w:pPr>
              <w:pStyle w:val="TableParagraph"/>
              <w:spacing w:before="141"/>
              <w:ind w:left="237"/>
              <w:rPr>
                <w:b/>
                <w:sz w:val="18"/>
              </w:rPr>
            </w:pPr>
            <w:r>
              <w:rPr>
                <w:b/>
                <w:spacing w:val="-2"/>
                <w:sz w:val="18"/>
              </w:rPr>
              <w:t>Antwoord:</w:t>
            </w:r>
          </w:p>
          <w:p>
            <w:pPr>
              <w:pStyle w:val="TableParagraph"/>
              <w:spacing w:line="250" w:lineRule="atLeast"/>
              <w:ind w:left="237"/>
              <w:rPr>
                <w:sz w:val="18"/>
              </w:rPr>
            </w:pPr>
            <w:r>
              <w:rPr>
                <w:sz w:val="18"/>
              </w:rPr>
              <w:t>Via</w:t>
            </w:r>
            <w:r>
              <w:rPr>
                <w:spacing w:val="-4"/>
                <w:sz w:val="18"/>
              </w:rPr>
              <w:t> </w:t>
            </w:r>
            <w:r>
              <w:rPr>
                <w:sz w:val="18"/>
              </w:rPr>
              <w:t>de</w:t>
            </w:r>
            <w:r>
              <w:rPr>
                <w:spacing w:val="-4"/>
                <w:sz w:val="18"/>
              </w:rPr>
              <w:t> </w:t>
            </w:r>
            <w:r>
              <w:rPr>
                <w:sz w:val="18"/>
              </w:rPr>
              <w:t>instandhoudingsbijlage</w:t>
            </w:r>
            <w:r>
              <w:rPr>
                <w:spacing w:val="-4"/>
                <w:sz w:val="18"/>
              </w:rPr>
              <w:t> </w:t>
            </w:r>
            <w:r>
              <w:rPr>
                <w:sz w:val="18"/>
              </w:rPr>
              <w:t>in</w:t>
            </w:r>
            <w:r>
              <w:rPr>
                <w:spacing w:val="-5"/>
                <w:sz w:val="18"/>
              </w:rPr>
              <w:t> </w:t>
            </w:r>
            <w:r>
              <w:rPr>
                <w:sz w:val="18"/>
              </w:rPr>
              <w:t>de</w:t>
            </w:r>
            <w:r>
              <w:rPr>
                <w:spacing w:val="-4"/>
                <w:sz w:val="18"/>
              </w:rPr>
              <w:t> </w:t>
            </w:r>
            <w:r>
              <w:rPr>
                <w:sz w:val="18"/>
              </w:rPr>
              <w:t>begroting</w:t>
            </w:r>
            <w:r>
              <w:rPr>
                <w:spacing w:val="-4"/>
                <w:sz w:val="18"/>
              </w:rPr>
              <w:t> </w:t>
            </w:r>
            <w:r>
              <w:rPr>
                <w:sz w:val="18"/>
              </w:rPr>
              <w:t>en</w:t>
            </w:r>
            <w:r>
              <w:rPr>
                <w:spacing w:val="-5"/>
                <w:sz w:val="18"/>
              </w:rPr>
              <w:t> </w:t>
            </w:r>
            <w:r>
              <w:rPr>
                <w:sz w:val="18"/>
              </w:rPr>
              <w:t>het</w:t>
            </w:r>
            <w:r>
              <w:rPr>
                <w:spacing w:val="-3"/>
                <w:sz w:val="18"/>
              </w:rPr>
              <w:t> </w:t>
            </w:r>
            <w:r>
              <w:rPr>
                <w:sz w:val="18"/>
              </w:rPr>
              <w:t>jaarverslag</w:t>
            </w:r>
            <w:r>
              <w:rPr>
                <w:spacing w:val="-3"/>
                <w:sz w:val="18"/>
              </w:rPr>
              <w:t> </w:t>
            </w:r>
            <w:r>
              <w:rPr>
                <w:sz w:val="18"/>
              </w:rPr>
              <w:t>wordt</w:t>
            </w:r>
            <w:r>
              <w:rPr>
                <w:spacing w:val="-3"/>
                <w:sz w:val="18"/>
              </w:rPr>
              <w:t> </w:t>
            </w:r>
            <w:r>
              <w:rPr>
                <w:sz w:val="18"/>
              </w:rPr>
              <w:t>inzicht</w:t>
            </w:r>
            <w:r>
              <w:rPr>
                <w:spacing w:val="-3"/>
                <w:sz w:val="18"/>
              </w:rPr>
              <w:t> </w:t>
            </w:r>
            <w:r>
              <w:rPr>
                <w:sz w:val="18"/>
              </w:rPr>
              <w:t>gegeven</w:t>
            </w:r>
            <w:r>
              <w:rPr>
                <w:spacing w:val="-5"/>
                <w:sz w:val="18"/>
              </w:rPr>
              <w:t> </w:t>
            </w:r>
            <w:r>
              <w:rPr>
                <w:sz w:val="18"/>
              </w:rPr>
              <w:t>in de voortgang en de prestaties op Vernieuwing, Exploitatie en Onderhoud. Daarin zijn diverse indicatoren opgenomen.</w:t>
            </w:r>
          </w:p>
        </w:tc>
      </w:tr>
    </w:tbl>
    <w:sectPr>
      <w:type w:val="continuous"/>
      <w:pgSz w:w="11910" w:h="16840"/>
      <w:pgMar w:top="1380" w:right="1380" w:bottom="280" w:left="136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spacing w:before="76"/>
      <w:ind w:hanging="1371"/>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ind w:left="295"/>
    </w:pPr>
    <w:rPr>
      <w:rFonts w:ascii="Verdana" w:hAnsi="Verdana" w:eastAsia="Verdana" w:cs="Verdana"/>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2024-12-12T09:37:26.0000000Z</dcterms:created>
  <dcterms:modified xsi:type="dcterms:W3CDTF">2024-12-12T09:37:26.0000000Z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voor Microsoft 365</vt:lpwstr>
  </property>
  <property fmtid="{D5CDD505-2E9C-101B-9397-08002B2CF9AE}" pid="4" name="LastSaved">
    <vt:filetime>2024-12-12T00:00:00Z</vt:filetime>
  </property>
  <property fmtid="{D5CDD505-2E9C-101B-9397-08002B2CF9AE}" pid="5" name="Producer">
    <vt:lpwstr>Microsoft® Word voor Microsoft 365</vt:lpwstr>
  </property>
</Properties>
</file>