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1445C" w:rsidR="00B1445C" w:rsidP="00B1445C" w:rsidRDefault="00B1445C" w14:paraId="5164B6D5" w14:textId="77777777">
      <w:pPr>
        <w:ind w:left="1410" w:hanging="1410"/>
        <w:rPr>
          <w:b/>
          <w:bCs/>
          <w:sz w:val="24"/>
          <w:szCs w:val="24"/>
        </w:rPr>
      </w:pPr>
      <w:r w:rsidRPr="00B1445C">
        <w:rPr>
          <w:b/>
          <w:sz w:val="24"/>
          <w:szCs w:val="24"/>
        </w:rPr>
        <w:t>36 625 XVII</w:t>
      </w:r>
      <w:r w:rsidRPr="00B1445C">
        <w:rPr>
          <w:rFonts w:eastAsia="Calibri"/>
          <w:b/>
          <w:sz w:val="24"/>
          <w:szCs w:val="24"/>
          <w:lang w:eastAsia="en-US"/>
        </w:rPr>
        <w:tab/>
      </w:r>
      <w:r w:rsidRPr="00B1445C">
        <w:rPr>
          <w:b/>
          <w:bCs/>
          <w:sz w:val="24"/>
          <w:szCs w:val="24"/>
        </w:rPr>
        <w:t>Wijziging van de begrotingsstaat van Buitenlandse Handel en Ontwikkelingssamenwerking (XVII) voor het jaar 2024 (wijziging samenhangende met Najaarsnota)</w:t>
      </w:r>
    </w:p>
    <w:p w:rsidRPr="00B1445C" w:rsidR="00B1445C" w:rsidP="00B1445C" w:rsidRDefault="00B1445C" w14:paraId="36B81C94" w14:textId="77777777">
      <w:pPr>
        <w:ind w:left="1410" w:hanging="1410"/>
        <w:rPr>
          <w:rFonts w:eastAsia="Calibri"/>
          <w:sz w:val="24"/>
          <w:szCs w:val="24"/>
          <w:lang w:eastAsia="en-US"/>
        </w:rPr>
      </w:pPr>
    </w:p>
    <w:p w:rsidRPr="00B1445C" w:rsidR="00B1445C" w:rsidP="00B1445C" w:rsidRDefault="00B1445C" w14:paraId="502D2F7C" w14:textId="7660B930">
      <w:pPr>
        <w:autoSpaceDE w:val="0"/>
        <w:autoSpaceDN w:val="0"/>
        <w:adjustRightInd w:val="0"/>
        <w:ind w:left="1410" w:hanging="1410"/>
        <w:rPr>
          <w:rFonts w:eastAsia="Calibri"/>
          <w:color w:val="000000"/>
          <w:sz w:val="24"/>
          <w:szCs w:val="24"/>
          <w:lang w:eastAsia="en-US"/>
        </w:rPr>
      </w:pPr>
      <w:r w:rsidRPr="00B1445C">
        <w:rPr>
          <w:rFonts w:eastAsia="Calibri"/>
          <w:b/>
          <w:color w:val="000000"/>
          <w:sz w:val="24"/>
          <w:szCs w:val="24"/>
          <w:lang w:eastAsia="en-US"/>
        </w:rPr>
        <w:t xml:space="preserve">Nr. </w:t>
      </w:r>
      <w:r w:rsidRPr="00B1445C">
        <w:rPr>
          <w:b/>
          <w:sz w:val="24"/>
          <w:szCs w:val="24"/>
        </w:rPr>
        <w:t>3</w:t>
      </w:r>
      <w:r w:rsidRPr="00B1445C">
        <w:rPr>
          <w:rFonts w:eastAsia="Calibri"/>
          <w:b/>
          <w:color w:val="000000"/>
          <w:sz w:val="24"/>
          <w:szCs w:val="24"/>
          <w:lang w:eastAsia="en-US"/>
        </w:rPr>
        <w:tab/>
        <w:t>VERSLAG HOUDENDE EEN LIJST VAN VRAGEN EN ANTWOORDEN</w:t>
      </w:r>
      <w:r w:rsidRPr="00B1445C">
        <w:rPr>
          <w:rFonts w:eastAsia="Calibri"/>
          <w:color w:val="000000"/>
          <w:sz w:val="24"/>
          <w:szCs w:val="24"/>
          <w:lang w:eastAsia="en-US"/>
        </w:rPr>
        <w:t xml:space="preserve"> </w:t>
      </w:r>
    </w:p>
    <w:p w:rsidRPr="00B1445C" w:rsidR="00B1445C" w:rsidP="00B1445C" w:rsidRDefault="00B1445C" w14:paraId="70837A17" w14:textId="2C18A28C">
      <w:pPr>
        <w:autoSpaceDE w:val="0"/>
        <w:autoSpaceDN w:val="0"/>
        <w:adjustRightInd w:val="0"/>
        <w:ind w:firstLine="708"/>
        <w:rPr>
          <w:rFonts w:eastAsia="Calibri"/>
          <w:color w:val="000000"/>
          <w:sz w:val="24"/>
          <w:szCs w:val="24"/>
          <w:lang w:eastAsia="en-US"/>
        </w:rPr>
      </w:pPr>
      <w:r w:rsidRPr="00B1445C">
        <w:rPr>
          <w:rFonts w:eastAsia="Calibri"/>
          <w:color w:val="000000"/>
          <w:sz w:val="24"/>
          <w:szCs w:val="24"/>
          <w:lang w:eastAsia="en-US"/>
        </w:rPr>
        <w:tab/>
      </w:r>
      <w:r w:rsidRPr="00B1445C">
        <w:rPr>
          <w:rFonts w:eastAsia="Calibri"/>
          <w:color w:val="000000"/>
          <w:sz w:val="24"/>
          <w:szCs w:val="24"/>
          <w:lang w:eastAsia="en-US"/>
        </w:rPr>
        <w:tab/>
        <w:t xml:space="preserve">Vastgesteld </w:t>
      </w:r>
      <w:r w:rsidR="0085365D">
        <w:rPr>
          <w:sz w:val="24"/>
          <w:szCs w:val="24"/>
        </w:rPr>
        <w:t>12</w:t>
      </w:r>
      <w:r w:rsidRPr="00B1445C">
        <w:rPr>
          <w:sz w:val="24"/>
          <w:szCs w:val="24"/>
        </w:rPr>
        <w:t xml:space="preserve"> december 2024</w:t>
      </w:r>
    </w:p>
    <w:p w:rsidRPr="00B1445C" w:rsidR="00B1445C" w:rsidP="00B1445C" w:rsidRDefault="00B1445C" w14:paraId="7EEFC095" w14:textId="77777777">
      <w:pPr>
        <w:autoSpaceDE w:val="0"/>
        <w:autoSpaceDN w:val="0"/>
        <w:adjustRightInd w:val="0"/>
        <w:rPr>
          <w:rFonts w:eastAsia="Calibri"/>
          <w:color w:val="000000"/>
          <w:sz w:val="24"/>
          <w:szCs w:val="24"/>
          <w:lang w:eastAsia="en-US"/>
        </w:rPr>
      </w:pPr>
    </w:p>
    <w:p w:rsidRPr="00B1445C" w:rsidR="00B1445C" w:rsidP="00B1445C" w:rsidRDefault="00B1445C" w14:paraId="4EBC1AA0" w14:textId="54BCCD59">
      <w:pPr>
        <w:autoSpaceDE w:val="0"/>
        <w:autoSpaceDN w:val="0"/>
        <w:adjustRightInd w:val="0"/>
        <w:rPr>
          <w:rFonts w:eastAsia="Calibri"/>
          <w:color w:val="000000"/>
          <w:sz w:val="24"/>
          <w:szCs w:val="24"/>
          <w:lang w:eastAsia="en-US"/>
        </w:rPr>
      </w:pPr>
      <w:r w:rsidRPr="00B1445C">
        <w:rPr>
          <w:rFonts w:eastAsia="Calibri"/>
          <w:color w:val="000000"/>
          <w:sz w:val="24"/>
          <w:szCs w:val="24"/>
          <w:lang w:eastAsia="en-US"/>
        </w:rPr>
        <w:t>De</w:t>
      </w:r>
      <w:r w:rsidRPr="00B1445C">
        <w:rPr>
          <w:sz w:val="24"/>
          <w:szCs w:val="24"/>
        </w:rPr>
        <w:t xml:space="preserve"> vaste </w:t>
      </w:r>
      <w:r w:rsidRPr="00B1445C">
        <w:rPr>
          <w:rFonts w:eastAsia="Calibri"/>
          <w:color w:val="000000"/>
          <w:sz w:val="24"/>
          <w:szCs w:val="24"/>
          <w:lang w:eastAsia="en-US"/>
        </w:rPr>
        <w:t>commissie voor</w:t>
      </w:r>
      <w:r w:rsidRPr="00B1445C">
        <w:rPr>
          <w:sz w:val="24"/>
          <w:szCs w:val="24"/>
        </w:rPr>
        <w:t xml:space="preserve"> Buitenlandse Handel en Ontwikkelingshulp,</w:t>
      </w:r>
      <w:r w:rsidRPr="00B1445C">
        <w:rPr>
          <w:rFonts w:eastAsia="Calibri"/>
          <w:color w:val="000000"/>
          <w:sz w:val="24"/>
          <w:szCs w:val="24"/>
          <w:lang w:eastAsia="en-US"/>
        </w:rPr>
        <w:t xml:space="preserve"> belast met het voorbereidend onderzoek van dit voorstel van wet, heeft de eer verslag uit te brengen in de vorm van een lijst van</w:t>
      </w:r>
      <w:r w:rsidRPr="00B1445C">
        <w:rPr>
          <w:sz w:val="24"/>
          <w:szCs w:val="24"/>
        </w:rPr>
        <w:t xml:space="preserve"> vragen</w:t>
      </w:r>
      <w:r w:rsidRPr="00B1445C">
        <w:rPr>
          <w:rFonts w:eastAsia="Calibri"/>
          <w:color w:val="000000"/>
          <w:sz w:val="24"/>
          <w:szCs w:val="24"/>
          <w:lang w:eastAsia="en-US"/>
        </w:rPr>
        <w:t xml:space="preserve"> met de daarop gegeven</w:t>
      </w:r>
      <w:r w:rsidRPr="00B1445C">
        <w:rPr>
          <w:sz w:val="24"/>
          <w:szCs w:val="24"/>
        </w:rPr>
        <w:t xml:space="preserve"> antwoorden</w:t>
      </w:r>
      <w:r w:rsidRPr="00B1445C">
        <w:rPr>
          <w:rFonts w:eastAsia="Calibri"/>
          <w:color w:val="000000"/>
          <w:sz w:val="24"/>
          <w:szCs w:val="24"/>
          <w:lang w:eastAsia="en-US"/>
        </w:rPr>
        <w:t xml:space="preserve">. </w:t>
      </w:r>
    </w:p>
    <w:p w:rsidRPr="00B1445C" w:rsidR="00B1445C" w:rsidP="00B1445C" w:rsidRDefault="00B1445C" w14:paraId="215647C4" w14:textId="77777777">
      <w:pPr>
        <w:autoSpaceDE w:val="0"/>
        <w:autoSpaceDN w:val="0"/>
        <w:adjustRightInd w:val="0"/>
        <w:rPr>
          <w:rFonts w:eastAsia="Calibri"/>
          <w:color w:val="000000"/>
          <w:sz w:val="24"/>
          <w:szCs w:val="24"/>
          <w:lang w:eastAsia="en-US"/>
        </w:rPr>
      </w:pPr>
    </w:p>
    <w:p w:rsidRPr="00B1445C" w:rsidR="00B1445C" w:rsidP="00B1445C" w:rsidRDefault="00B1445C" w14:paraId="060BE34D" w14:textId="60CBF381">
      <w:pPr>
        <w:autoSpaceDE w:val="0"/>
        <w:autoSpaceDN w:val="0"/>
        <w:adjustRightInd w:val="0"/>
        <w:rPr>
          <w:rFonts w:eastAsia="Calibri"/>
          <w:color w:val="000000"/>
          <w:sz w:val="24"/>
          <w:szCs w:val="24"/>
          <w:lang w:eastAsia="en-US"/>
        </w:rPr>
      </w:pPr>
      <w:r w:rsidRPr="00B1445C">
        <w:rPr>
          <w:rFonts w:eastAsia="Calibri"/>
          <w:color w:val="000000"/>
          <w:sz w:val="24"/>
          <w:szCs w:val="24"/>
          <w:lang w:eastAsia="en-US"/>
        </w:rPr>
        <w:t xml:space="preserve">De </w:t>
      </w:r>
      <w:r w:rsidRPr="00B1445C">
        <w:rPr>
          <w:sz w:val="24"/>
          <w:szCs w:val="24"/>
        </w:rPr>
        <w:t>vragen</w:t>
      </w:r>
      <w:r w:rsidRPr="00B1445C">
        <w:rPr>
          <w:rFonts w:eastAsia="Calibri"/>
          <w:color w:val="000000"/>
          <w:sz w:val="24"/>
          <w:szCs w:val="24"/>
          <w:lang w:eastAsia="en-US"/>
        </w:rPr>
        <w:t xml:space="preserve"> </w:t>
      </w:r>
      <w:r w:rsidRPr="00B1445C">
        <w:rPr>
          <w:sz w:val="24"/>
          <w:szCs w:val="24"/>
        </w:rPr>
        <w:t>zijn</w:t>
      </w:r>
      <w:r w:rsidRPr="00B1445C">
        <w:rPr>
          <w:rFonts w:eastAsia="Calibri"/>
          <w:color w:val="000000"/>
          <w:sz w:val="24"/>
          <w:szCs w:val="24"/>
          <w:lang w:eastAsia="en-US"/>
        </w:rPr>
        <w:t xml:space="preserve"> op </w:t>
      </w:r>
      <w:r w:rsidRPr="00B1445C">
        <w:rPr>
          <w:sz w:val="24"/>
          <w:szCs w:val="24"/>
        </w:rPr>
        <w:t xml:space="preserve">5 december 2024 </w:t>
      </w:r>
      <w:r w:rsidRPr="00B1445C">
        <w:rPr>
          <w:rFonts w:eastAsia="Calibri"/>
          <w:color w:val="000000"/>
          <w:sz w:val="24"/>
          <w:szCs w:val="24"/>
          <w:lang w:eastAsia="en-US"/>
        </w:rPr>
        <w:t>voorgelegd aan de minister voor</w:t>
      </w:r>
      <w:r w:rsidRPr="00B1445C">
        <w:rPr>
          <w:sz w:val="24"/>
          <w:szCs w:val="24"/>
        </w:rPr>
        <w:t xml:space="preserve"> Buitenlandse Handel en Ontwikkelingshulp</w:t>
      </w:r>
      <w:r w:rsidRPr="00B1445C">
        <w:rPr>
          <w:rFonts w:eastAsia="Calibri"/>
          <w:color w:val="000000"/>
          <w:sz w:val="24"/>
          <w:szCs w:val="24"/>
          <w:lang w:eastAsia="en-US"/>
        </w:rPr>
        <w:t>. Bij brief van</w:t>
      </w:r>
      <w:r w:rsidRPr="00B1445C">
        <w:rPr>
          <w:sz w:val="24"/>
          <w:szCs w:val="24"/>
        </w:rPr>
        <w:t xml:space="preserve"> 10 december 2024 zijn </w:t>
      </w:r>
      <w:r w:rsidRPr="00B1445C">
        <w:rPr>
          <w:rFonts w:eastAsia="Calibri"/>
          <w:color w:val="000000"/>
          <w:sz w:val="24"/>
          <w:szCs w:val="24"/>
          <w:lang w:eastAsia="en-US"/>
        </w:rPr>
        <w:t xml:space="preserve">ze door de minister voor Buitenlandse Handel en Ontwikkelingshulp beantwoord. </w:t>
      </w:r>
    </w:p>
    <w:p w:rsidRPr="00B1445C" w:rsidR="00B1445C" w:rsidP="00B1445C" w:rsidRDefault="00B1445C" w14:paraId="111BC430" w14:textId="77777777">
      <w:pPr>
        <w:autoSpaceDE w:val="0"/>
        <w:autoSpaceDN w:val="0"/>
        <w:adjustRightInd w:val="0"/>
        <w:rPr>
          <w:rFonts w:eastAsia="Calibri"/>
          <w:color w:val="000000"/>
          <w:sz w:val="24"/>
          <w:szCs w:val="24"/>
          <w:lang w:eastAsia="en-US"/>
        </w:rPr>
      </w:pPr>
    </w:p>
    <w:p w:rsidRPr="00B1445C" w:rsidR="00B1445C" w:rsidP="00B1445C" w:rsidRDefault="00B1445C" w14:paraId="7142164A" w14:textId="77777777">
      <w:pPr>
        <w:autoSpaceDE w:val="0"/>
        <w:autoSpaceDN w:val="0"/>
        <w:adjustRightInd w:val="0"/>
        <w:rPr>
          <w:rFonts w:eastAsia="Calibri"/>
          <w:color w:val="000000"/>
          <w:sz w:val="24"/>
          <w:szCs w:val="24"/>
          <w:lang w:eastAsia="en-US"/>
        </w:rPr>
      </w:pPr>
      <w:r w:rsidRPr="00B1445C">
        <w:rPr>
          <w:rFonts w:eastAsia="Calibri"/>
          <w:color w:val="000000"/>
          <w:sz w:val="24"/>
          <w:szCs w:val="24"/>
          <w:lang w:eastAsia="en-US"/>
        </w:rPr>
        <w:t xml:space="preserve">Met de vaststelling van het verslag acht de commissie de openbare behandeling van het wetsvoorstel voldoende voorbereid. </w:t>
      </w:r>
    </w:p>
    <w:p w:rsidRPr="00B1445C" w:rsidR="00B1445C" w:rsidP="00B1445C" w:rsidRDefault="00B1445C" w14:paraId="0F5DFF36" w14:textId="77777777">
      <w:pPr>
        <w:autoSpaceDE w:val="0"/>
        <w:autoSpaceDN w:val="0"/>
        <w:adjustRightInd w:val="0"/>
        <w:rPr>
          <w:rFonts w:eastAsia="Calibri"/>
          <w:color w:val="000000"/>
          <w:sz w:val="24"/>
          <w:szCs w:val="24"/>
          <w:lang w:eastAsia="en-US"/>
        </w:rPr>
      </w:pPr>
    </w:p>
    <w:p w:rsidRPr="00B1445C" w:rsidR="00B1445C" w:rsidP="00B1445C" w:rsidRDefault="00B1445C" w14:paraId="24146481" w14:textId="77777777">
      <w:pPr>
        <w:autoSpaceDE w:val="0"/>
        <w:autoSpaceDN w:val="0"/>
        <w:adjustRightInd w:val="0"/>
        <w:rPr>
          <w:rFonts w:eastAsia="Calibri"/>
          <w:color w:val="000000"/>
          <w:sz w:val="24"/>
          <w:szCs w:val="24"/>
          <w:lang w:eastAsia="en-US"/>
        </w:rPr>
      </w:pPr>
      <w:r w:rsidRPr="00B1445C">
        <w:rPr>
          <w:rFonts w:eastAsia="Calibri"/>
          <w:color w:val="000000"/>
          <w:sz w:val="24"/>
          <w:szCs w:val="24"/>
          <w:lang w:eastAsia="en-US"/>
        </w:rPr>
        <w:t>De voorzitter van de commissie,</w:t>
      </w:r>
    </w:p>
    <w:p w:rsidRPr="00B1445C" w:rsidR="00B1445C" w:rsidP="00B1445C" w:rsidRDefault="00B1445C" w14:paraId="3D6070F2" w14:textId="7E9CAAE2">
      <w:pPr>
        <w:autoSpaceDE w:val="0"/>
        <w:autoSpaceDN w:val="0"/>
        <w:adjustRightInd w:val="0"/>
        <w:rPr>
          <w:sz w:val="24"/>
          <w:szCs w:val="24"/>
        </w:rPr>
      </w:pPr>
      <w:r w:rsidRPr="00B1445C">
        <w:rPr>
          <w:sz w:val="24"/>
          <w:szCs w:val="24"/>
        </w:rPr>
        <w:t>Aukje de Vries</w:t>
      </w:r>
    </w:p>
    <w:p w:rsidRPr="00B1445C" w:rsidR="00B1445C" w:rsidP="00B1445C" w:rsidRDefault="00B1445C" w14:paraId="37D9C3B7" w14:textId="77777777">
      <w:pPr>
        <w:autoSpaceDE w:val="0"/>
        <w:autoSpaceDN w:val="0"/>
        <w:adjustRightInd w:val="0"/>
        <w:rPr>
          <w:rFonts w:eastAsia="Calibri"/>
          <w:color w:val="000000"/>
          <w:sz w:val="24"/>
          <w:szCs w:val="24"/>
          <w:lang w:eastAsia="en-US"/>
        </w:rPr>
      </w:pPr>
    </w:p>
    <w:p w:rsidRPr="00B1445C" w:rsidR="00B1445C" w:rsidP="00B1445C" w:rsidRDefault="00B1445C" w14:paraId="3836081E" w14:textId="3F61B93B">
      <w:pPr>
        <w:autoSpaceDE w:val="0"/>
        <w:autoSpaceDN w:val="0"/>
        <w:adjustRightInd w:val="0"/>
        <w:rPr>
          <w:rFonts w:eastAsia="Calibri"/>
          <w:color w:val="000000"/>
          <w:sz w:val="24"/>
          <w:szCs w:val="24"/>
          <w:lang w:eastAsia="en-US"/>
        </w:rPr>
      </w:pPr>
      <w:r w:rsidRPr="00B1445C">
        <w:rPr>
          <w:rFonts w:eastAsia="Calibri"/>
          <w:color w:val="000000"/>
          <w:sz w:val="24"/>
          <w:szCs w:val="24"/>
          <w:lang w:eastAsia="en-US"/>
        </w:rPr>
        <w:t>Adjunct-griffier van de commissie,</w:t>
      </w:r>
    </w:p>
    <w:p w:rsidRPr="00B1445C" w:rsidR="0068773E" w:rsidP="0068773E" w:rsidRDefault="00B1445C" w14:paraId="01A3F29B" w14:textId="2738914E">
      <w:pPr>
        <w:spacing w:before="0" w:after="0"/>
        <w:rPr>
          <w:sz w:val="24"/>
          <w:szCs w:val="24"/>
        </w:rPr>
      </w:pPr>
      <w:r w:rsidRPr="00B1445C">
        <w:rPr>
          <w:sz w:val="24"/>
          <w:szCs w:val="24"/>
        </w:rPr>
        <w:t>Prenger</w:t>
      </w:r>
    </w:p>
    <w:p w:rsidRPr="00B1445C" w:rsidR="00792ECA" w:rsidRDefault="00792ECA" w14:paraId="7226B358" w14:textId="77777777">
      <w:pPr>
        <w:rPr>
          <w:sz w:val="24"/>
          <w:szCs w:val="24"/>
        </w:rPr>
      </w:pPr>
    </w:p>
    <w:p w:rsidR="0085365D" w:rsidRDefault="0085365D" w14:paraId="5D0266E6" w14:textId="4820997E">
      <w:pPr>
        <w:spacing w:before="0" w:after="0"/>
        <w:rPr>
          <w:sz w:val="24"/>
          <w:szCs w:val="24"/>
        </w:rPr>
      </w:pPr>
      <w:r>
        <w:rPr>
          <w:sz w:val="24"/>
          <w:szCs w:val="24"/>
        </w:rPr>
        <w:br w:type="page"/>
      </w:r>
    </w:p>
    <w:p w:rsidRPr="00B1445C" w:rsidR="00B1445C" w:rsidRDefault="00B1445C" w14:paraId="25AD5F4D" w14:textId="77777777">
      <w:pPr>
        <w:rPr>
          <w:sz w:val="24"/>
          <w:szCs w:val="24"/>
        </w:rPr>
      </w:pPr>
    </w:p>
    <w:p w:rsidRPr="00B1445C" w:rsidR="00B1445C" w:rsidRDefault="00B1445C" w14:paraId="69EF5B6D" w14:textId="336A6404">
      <w:pPr>
        <w:rPr>
          <w:b/>
          <w:bCs/>
          <w:sz w:val="24"/>
          <w:szCs w:val="24"/>
        </w:rPr>
      </w:pPr>
      <w:r w:rsidRPr="00B1445C">
        <w:rPr>
          <w:b/>
          <w:bCs/>
          <w:sz w:val="24"/>
          <w:szCs w:val="24"/>
        </w:rPr>
        <w:t>Vragen en antwoorden</w:t>
      </w: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B1445C" w:rsidR="00B1445C" w:rsidTr="00B1445C" w14:paraId="42EA989A" w14:textId="77777777">
        <w:tc>
          <w:tcPr>
            <w:tcW w:w="567" w:type="dxa"/>
          </w:tcPr>
          <w:p w:rsidRPr="00B1445C" w:rsidR="00B1445C" w:rsidRDefault="00B1445C" w14:paraId="4E1BDF49" w14:textId="77777777">
            <w:pPr>
              <w:rPr>
                <w:sz w:val="24"/>
                <w:szCs w:val="24"/>
              </w:rPr>
            </w:pPr>
            <w:r w:rsidRPr="00B1445C">
              <w:rPr>
                <w:sz w:val="24"/>
                <w:szCs w:val="24"/>
              </w:rPr>
              <w:t>1</w:t>
            </w:r>
          </w:p>
        </w:tc>
        <w:tc>
          <w:tcPr>
            <w:tcW w:w="6521" w:type="dxa"/>
          </w:tcPr>
          <w:p w:rsidRPr="00B1445C" w:rsidR="00B1445C" w:rsidRDefault="00B1445C" w14:paraId="521C866E" w14:textId="77777777">
            <w:pPr>
              <w:rPr>
                <w:sz w:val="24"/>
                <w:szCs w:val="24"/>
              </w:rPr>
            </w:pPr>
            <w:r w:rsidRPr="00B1445C">
              <w:rPr>
                <w:sz w:val="24"/>
                <w:szCs w:val="24"/>
              </w:rPr>
              <w:t>Waarom ontbreekt het eerder toegezegde meerjarig overzicht van de mutaties op de verplichtingen in de suppletoire begroting, conform de afspraak die op verzoek van de rapporteurs is gemaakt?</w:t>
            </w:r>
          </w:p>
          <w:p w:rsidRPr="00B1445C" w:rsidR="00B1445C" w:rsidRDefault="00B1445C" w14:paraId="4F4C1216" w14:textId="77777777">
            <w:pPr>
              <w:rPr>
                <w:sz w:val="24"/>
                <w:szCs w:val="24"/>
              </w:rPr>
            </w:pPr>
          </w:p>
          <w:p w:rsidRPr="00B1445C" w:rsidR="00B1445C" w:rsidP="00EF7520" w:rsidRDefault="00B1445C" w14:paraId="7C5D457E" w14:textId="77777777">
            <w:pPr>
              <w:rPr>
                <w:b/>
                <w:bCs/>
                <w:sz w:val="24"/>
                <w:szCs w:val="24"/>
              </w:rPr>
            </w:pPr>
            <w:r w:rsidRPr="00B1445C">
              <w:rPr>
                <w:b/>
                <w:bCs/>
                <w:sz w:val="24"/>
                <w:szCs w:val="24"/>
              </w:rPr>
              <w:t>Antwoord:</w:t>
            </w:r>
          </w:p>
          <w:p w:rsidRPr="00B1445C" w:rsidR="00B1445C" w:rsidP="009F31FE" w:rsidRDefault="00B1445C" w14:paraId="3B4DE8CC" w14:textId="2628C231">
            <w:pPr>
              <w:rPr>
                <w:b/>
                <w:bCs/>
                <w:sz w:val="24"/>
                <w:szCs w:val="24"/>
              </w:rPr>
            </w:pPr>
            <w:r w:rsidRPr="00B1445C">
              <w:rPr>
                <w:b/>
                <w:bCs/>
                <w:sz w:val="24"/>
                <w:szCs w:val="24"/>
              </w:rPr>
              <w:t>De tweede suppletoire begroting ziet alleen op wijzigingen in het lopende jaar. Als onderdeel van het verantwoord begroten zijn daarom alleen de juridische verplichtingen voor het jaar 2024 opgenomen. De laatste stand van de meerjarige verplichtingen is als bijlage toegevoegd aan de Ontwerpbegroting 2025 (Kamerstuk 36600-XVII, nr.2).</w:t>
            </w:r>
          </w:p>
          <w:p w:rsidRPr="00B1445C" w:rsidR="00B1445C" w:rsidP="00EF7520" w:rsidRDefault="00B1445C" w14:paraId="1E51C053" w14:textId="5A63ABA9">
            <w:pPr>
              <w:rPr>
                <w:b/>
                <w:bCs/>
                <w:sz w:val="24"/>
                <w:szCs w:val="24"/>
              </w:rPr>
            </w:pPr>
            <w:r w:rsidRPr="00B1445C">
              <w:rPr>
                <w:b/>
                <w:bCs/>
                <w:sz w:val="24"/>
                <w:szCs w:val="24"/>
              </w:rPr>
              <w:t>Als onderdeel van de beantwoording van deze Kamervragen wordt een actueel meerjarig overzicht alsnog met uw Kamer gedeeld, zie antwoord vraag 2.</w:t>
            </w:r>
            <w:r w:rsidRPr="00B1445C">
              <w:rPr>
                <w:b/>
                <w:bCs/>
                <w:sz w:val="24"/>
                <w:szCs w:val="24"/>
              </w:rPr>
              <w:br/>
            </w:r>
          </w:p>
        </w:tc>
      </w:tr>
      <w:tr w:rsidRPr="00B1445C" w:rsidR="00B1445C" w:rsidTr="00B1445C" w14:paraId="5C680E3A" w14:textId="77777777">
        <w:tc>
          <w:tcPr>
            <w:tcW w:w="567" w:type="dxa"/>
          </w:tcPr>
          <w:p w:rsidRPr="00B1445C" w:rsidR="00B1445C" w:rsidRDefault="00B1445C" w14:paraId="3CED2975" w14:textId="77777777">
            <w:pPr>
              <w:rPr>
                <w:sz w:val="24"/>
                <w:szCs w:val="24"/>
              </w:rPr>
            </w:pPr>
            <w:r w:rsidRPr="00B1445C">
              <w:rPr>
                <w:sz w:val="24"/>
                <w:szCs w:val="24"/>
              </w:rPr>
              <w:t>2</w:t>
            </w:r>
          </w:p>
        </w:tc>
        <w:tc>
          <w:tcPr>
            <w:tcW w:w="6521" w:type="dxa"/>
          </w:tcPr>
          <w:p w:rsidRPr="00B1445C" w:rsidR="00B1445C" w:rsidRDefault="00B1445C" w14:paraId="272D8503" w14:textId="77777777">
            <w:pPr>
              <w:rPr>
                <w:sz w:val="24"/>
                <w:szCs w:val="24"/>
              </w:rPr>
            </w:pPr>
            <w:r w:rsidRPr="00B1445C">
              <w:rPr>
                <w:sz w:val="24"/>
                <w:szCs w:val="24"/>
              </w:rPr>
              <w:t>Kunt u toelichten in de vorm van een overzichtstabel voor de periode 2024-2029 wat de totale omvang is van de reeds in de begrotingen opgenomen verplichtingen met de stand van eind 2024?</w:t>
            </w:r>
          </w:p>
          <w:p w:rsidRPr="00B1445C" w:rsidR="00B1445C" w:rsidRDefault="00B1445C" w14:paraId="00B74B16" w14:textId="77777777">
            <w:pPr>
              <w:rPr>
                <w:sz w:val="24"/>
                <w:szCs w:val="24"/>
              </w:rPr>
            </w:pPr>
          </w:p>
          <w:p w:rsidRPr="00B1445C" w:rsidR="00B1445C" w:rsidP="00850E35" w:rsidRDefault="00B1445C" w14:paraId="5E7C1D2E" w14:textId="77777777">
            <w:pPr>
              <w:rPr>
                <w:b/>
                <w:bCs/>
                <w:sz w:val="24"/>
                <w:szCs w:val="24"/>
              </w:rPr>
            </w:pPr>
            <w:r w:rsidRPr="00B1445C">
              <w:rPr>
                <w:b/>
                <w:bCs/>
                <w:sz w:val="24"/>
                <w:szCs w:val="24"/>
              </w:rPr>
              <w:t>Antwoord:</w:t>
            </w:r>
          </w:p>
          <w:p w:rsidRPr="00B1445C" w:rsidR="00B1445C" w:rsidP="00850E35" w:rsidRDefault="00B1445C" w14:paraId="715C3B5A" w14:textId="3CBD45DD">
            <w:pPr>
              <w:rPr>
                <w:b/>
                <w:sz w:val="24"/>
                <w:szCs w:val="24"/>
              </w:rPr>
            </w:pPr>
            <w:r w:rsidRPr="00B1445C">
              <w:rPr>
                <w:b/>
                <w:bCs/>
                <w:sz w:val="24"/>
                <w:szCs w:val="24"/>
              </w:rPr>
              <w:t xml:space="preserve">Een actueel overzicht van de verplichtingen voor de periode 2024-2029, inclusief een toelichting, is opgenomen in de </w:t>
            </w:r>
            <w:r w:rsidRPr="00B1445C">
              <w:rPr>
                <w:b/>
                <w:sz w:val="24"/>
                <w:szCs w:val="24"/>
              </w:rPr>
              <w:t>bijlage.</w:t>
            </w:r>
            <w:r w:rsidRPr="00B1445C">
              <w:rPr>
                <w:b/>
                <w:bCs/>
                <w:sz w:val="24"/>
                <w:szCs w:val="24"/>
              </w:rPr>
              <w:t xml:space="preserve"> Op basis van de beleidsinhoudelijke verdelingen van de bezuinigingen voor 2026 en verder kunnen de budgetten nog wijzigen.</w:t>
            </w:r>
            <w:r w:rsidRPr="00B1445C">
              <w:rPr>
                <w:b/>
                <w:bCs/>
                <w:sz w:val="24"/>
                <w:szCs w:val="24"/>
              </w:rPr>
              <w:br/>
            </w:r>
          </w:p>
        </w:tc>
      </w:tr>
      <w:tr w:rsidRPr="00B1445C" w:rsidR="00B1445C" w:rsidTr="00B1445C" w14:paraId="0F645DCC" w14:textId="77777777">
        <w:tc>
          <w:tcPr>
            <w:tcW w:w="567" w:type="dxa"/>
          </w:tcPr>
          <w:p w:rsidRPr="00B1445C" w:rsidR="00B1445C" w:rsidRDefault="00B1445C" w14:paraId="1EF6BA9D" w14:textId="77777777">
            <w:pPr>
              <w:rPr>
                <w:sz w:val="24"/>
                <w:szCs w:val="24"/>
              </w:rPr>
            </w:pPr>
            <w:r w:rsidRPr="00B1445C">
              <w:rPr>
                <w:sz w:val="24"/>
                <w:szCs w:val="24"/>
              </w:rPr>
              <w:t>3</w:t>
            </w:r>
          </w:p>
        </w:tc>
        <w:tc>
          <w:tcPr>
            <w:tcW w:w="6521" w:type="dxa"/>
          </w:tcPr>
          <w:p w:rsidRPr="00B1445C" w:rsidR="00B1445C" w:rsidP="00850E35" w:rsidRDefault="00B1445C" w14:paraId="6F908616" w14:textId="3C9C9940">
            <w:pPr>
              <w:rPr>
                <w:sz w:val="24"/>
                <w:szCs w:val="24"/>
              </w:rPr>
            </w:pPr>
            <w:r w:rsidRPr="00B1445C">
              <w:rPr>
                <w:sz w:val="24"/>
                <w:szCs w:val="24"/>
              </w:rPr>
              <w:t>Kunt u dit meerjarig toelichten, gespecificeerd op het niveau van de beleidsartikelen en de sub-artikelen? Kunt u dit overzicht voortaan, zoals afgesproken, toevoegen bij de suppletoire begrotingen en overige begrotingsmomenten?</w:t>
            </w:r>
          </w:p>
          <w:p w:rsidR="0085365D" w:rsidP="00850E35" w:rsidRDefault="0085365D" w14:paraId="0378D3B8" w14:textId="77777777">
            <w:pPr>
              <w:rPr>
                <w:b/>
                <w:bCs/>
                <w:sz w:val="24"/>
                <w:szCs w:val="24"/>
              </w:rPr>
            </w:pPr>
          </w:p>
          <w:p w:rsidRPr="00B1445C" w:rsidR="00B1445C" w:rsidP="00850E35" w:rsidRDefault="00B1445C" w14:paraId="0A4FD0AA" w14:textId="072DCF5D">
            <w:pPr>
              <w:rPr>
                <w:b/>
                <w:bCs/>
                <w:sz w:val="24"/>
                <w:szCs w:val="24"/>
              </w:rPr>
            </w:pPr>
            <w:r w:rsidRPr="00B1445C">
              <w:rPr>
                <w:b/>
                <w:bCs/>
                <w:sz w:val="24"/>
                <w:szCs w:val="24"/>
              </w:rPr>
              <w:t>Antwoord:</w:t>
            </w:r>
          </w:p>
          <w:p w:rsidRPr="00B1445C" w:rsidR="00B1445C" w:rsidP="00850E35" w:rsidRDefault="00B1445C" w14:paraId="7A61E6F5" w14:textId="4D5EDE69">
            <w:pPr>
              <w:rPr>
                <w:b/>
                <w:bCs/>
                <w:sz w:val="24"/>
                <w:szCs w:val="24"/>
              </w:rPr>
            </w:pPr>
            <w:r w:rsidRPr="00B1445C">
              <w:rPr>
                <w:b/>
                <w:bCs/>
                <w:sz w:val="24"/>
                <w:szCs w:val="24"/>
              </w:rPr>
              <w:t xml:space="preserve">Zie antwoord vraag 2. Een meerjarig overzicht van de verplichtingen, inclusief toelichting is opgenomen in de </w:t>
            </w:r>
            <w:r w:rsidRPr="00B1445C">
              <w:rPr>
                <w:b/>
                <w:sz w:val="24"/>
                <w:szCs w:val="24"/>
              </w:rPr>
              <w:t>bijlage</w:t>
            </w:r>
            <w:r w:rsidRPr="00B1445C">
              <w:rPr>
                <w:b/>
                <w:bCs/>
                <w:sz w:val="24"/>
                <w:szCs w:val="24"/>
              </w:rPr>
              <w:t>. Ik zal de toezegging gestand doen.</w:t>
            </w:r>
          </w:p>
        </w:tc>
      </w:tr>
      <w:tr w:rsidRPr="00B1445C" w:rsidR="00B1445C" w:rsidTr="00B1445C" w14:paraId="795FFA76" w14:textId="77777777">
        <w:tc>
          <w:tcPr>
            <w:tcW w:w="567" w:type="dxa"/>
          </w:tcPr>
          <w:p w:rsidRPr="00B1445C" w:rsidR="00B1445C" w:rsidRDefault="00B1445C" w14:paraId="186F1076" w14:textId="77777777">
            <w:pPr>
              <w:rPr>
                <w:sz w:val="24"/>
                <w:szCs w:val="24"/>
              </w:rPr>
            </w:pPr>
            <w:r w:rsidRPr="00B1445C">
              <w:rPr>
                <w:sz w:val="24"/>
                <w:szCs w:val="24"/>
              </w:rPr>
              <w:t>4</w:t>
            </w:r>
          </w:p>
        </w:tc>
        <w:tc>
          <w:tcPr>
            <w:tcW w:w="6521" w:type="dxa"/>
          </w:tcPr>
          <w:p w:rsidRPr="00B1445C" w:rsidR="00B1445C" w:rsidRDefault="00B1445C" w14:paraId="0A8793CD" w14:textId="77777777">
            <w:pPr>
              <w:rPr>
                <w:sz w:val="24"/>
                <w:szCs w:val="24"/>
              </w:rPr>
            </w:pPr>
            <w:r w:rsidRPr="00B1445C">
              <w:rPr>
                <w:sz w:val="24"/>
                <w:szCs w:val="24"/>
              </w:rPr>
              <w:t>Waarom wordt alleen de juridische verplichting voor het huidige begrotingsjaar opgenomen in de begroting, en niet meerjarige verplichtingen, terwijl dit risico's kan opleveren voor de stabiliteit van beleid?</w:t>
            </w:r>
          </w:p>
          <w:p w:rsidRPr="00B1445C" w:rsidR="00B1445C" w:rsidRDefault="00B1445C" w14:paraId="73377871" w14:textId="77777777">
            <w:pPr>
              <w:rPr>
                <w:sz w:val="24"/>
                <w:szCs w:val="24"/>
              </w:rPr>
            </w:pPr>
          </w:p>
          <w:p w:rsidRPr="00B1445C" w:rsidR="00B1445C" w:rsidP="00850E35" w:rsidRDefault="00B1445C" w14:paraId="0CBABE10" w14:textId="77777777">
            <w:pPr>
              <w:rPr>
                <w:b/>
                <w:bCs/>
                <w:sz w:val="24"/>
                <w:szCs w:val="24"/>
              </w:rPr>
            </w:pPr>
            <w:r w:rsidRPr="00B1445C">
              <w:rPr>
                <w:b/>
                <w:bCs/>
                <w:sz w:val="24"/>
                <w:szCs w:val="24"/>
              </w:rPr>
              <w:t>Antwoord:</w:t>
            </w:r>
          </w:p>
          <w:p w:rsidRPr="00B1445C" w:rsidR="00B1445C" w:rsidP="0085365D" w:rsidRDefault="00B1445C" w14:paraId="77D73EEE" w14:textId="4B872E32">
            <w:pPr>
              <w:rPr>
                <w:sz w:val="24"/>
                <w:szCs w:val="24"/>
              </w:rPr>
            </w:pPr>
            <w:r w:rsidRPr="00B1445C">
              <w:rPr>
                <w:b/>
                <w:bCs/>
                <w:sz w:val="24"/>
                <w:szCs w:val="24"/>
              </w:rPr>
              <w:t>Zie antwoord vraag 1.</w:t>
            </w:r>
          </w:p>
        </w:tc>
      </w:tr>
      <w:tr w:rsidRPr="00B1445C" w:rsidR="00B1445C" w:rsidTr="00B1445C" w14:paraId="06142CD0" w14:textId="77777777">
        <w:tc>
          <w:tcPr>
            <w:tcW w:w="567" w:type="dxa"/>
          </w:tcPr>
          <w:p w:rsidRPr="00B1445C" w:rsidR="00B1445C" w:rsidRDefault="00B1445C" w14:paraId="721878E6" w14:textId="77777777">
            <w:pPr>
              <w:rPr>
                <w:sz w:val="24"/>
                <w:szCs w:val="24"/>
              </w:rPr>
            </w:pPr>
            <w:r w:rsidRPr="00B1445C">
              <w:rPr>
                <w:sz w:val="24"/>
                <w:szCs w:val="24"/>
              </w:rPr>
              <w:lastRenderedPageBreak/>
              <w:t>5</w:t>
            </w:r>
          </w:p>
        </w:tc>
        <w:tc>
          <w:tcPr>
            <w:tcW w:w="6521" w:type="dxa"/>
          </w:tcPr>
          <w:p w:rsidRPr="00B1445C" w:rsidR="00B1445C" w:rsidRDefault="00B1445C" w14:paraId="454C9FF9" w14:textId="77777777">
            <w:pPr>
              <w:rPr>
                <w:sz w:val="24"/>
                <w:szCs w:val="24"/>
              </w:rPr>
            </w:pPr>
            <w:r w:rsidRPr="00B1445C">
              <w:rPr>
                <w:sz w:val="24"/>
                <w:szCs w:val="24"/>
              </w:rPr>
              <w:t>Hoe kan de Kamer meer inzicht krijgen in de bijdrage van multilaterale programma's aan Nederlandse beleidsdoelen?</w:t>
            </w:r>
          </w:p>
          <w:p w:rsidRPr="00B1445C" w:rsidR="00B1445C" w:rsidRDefault="00B1445C" w14:paraId="08F41B7A" w14:textId="77777777">
            <w:pPr>
              <w:rPr>
                <w:sz w:val="24"/>
                <w:szCs w:val="24"/>
              </w:rPr>
            </w:pPr>
          </w:p>
          <w:p w:rsidRPr="00B1445C" w:rsidR="00B1445C" w:rsidP="00850E35" w:rsidRDefault="00B1445C" w14:paraId="6D6ACE1B" w14:textId="77777777">
            <w:pPr>
              <w:rPr>
                <w:b/>
                <w:bCs/>
                <w:sz w:val="24"/>
                <w:szCs w:val="24"/>
              </w:rPr>
            </w:pPr>
            <w:r w:rsidRPr="00B1445C">
              <w:rPr>
                <w:b/>
                <w:bCs/>
                <w:sz w:val="24"/>
                <w:szCs w:val="24"/>
              </w:rPr>
              <w:t>Antwoord:</w:t>
            </w:r>
          </w:p>
          <w:p w:rsidRPr="0085365D" w:rsidR="00B1445C" w:rsidP="00850E35" w:rsidRDefault="00B1445C" w14:paraId="2FE30F75" w14:textId="1C041C04">
            <w:pPr>
              <w:rPr>
                <w:b/>
                <w:sz w:val="24"/>
                <w:szCs w:val="24"/>
              </w:rPr>
            </w:pPr>
            <w:r w:rsidRPr="00B1445C">
              <w:rPr>
                <w:b/>
                <w:bCs/>
                <w:sz w:val="24"/>
                <w:szCs w:val="24"/>
              </w:rPr>
              <w:t>Middels de Resultatenrapportage en het bijbehorende online portaal geeft het ministerie van Buitenlandse Zaken elk jaar een beeld van de resultaten die Nederland behaalt op het gebied van ontwikkelingshulp. Dit betreft zowel resultaten behaald via bilaterale kanalen als via het multilaterale systeem. De Nederlandse beleidsdoelen zijn leidend en op basis hiervan wordt het meest effectieve kanaal gekozen om de gewenste resultaten te behalen. Daarnaast omvatten de door het ministerie van Buitenlandse Zaken opgestelde scorekaarten over multilaterale organisaties waar Nederland mee samenwerkt een analyse van de beleidsrelevantie voor Nederland van een bepaalde organisatie. De scorekaarten geven een beeld van het functioneren van de organisaties, de relevantie, eventuele aandachtspunten en wat Nederland kan doen om de organisaties te vernieuwen en verbeteren.</w:t>
            </w:r>
          </w:p>
        </w:tc>
      </w:tr>
      <w:tr w:rsidRPr="00B1445C" w:rsidR="00B1445C" w:rsidTr="00B1445C" w14:paraId="073EB9C1" w14:textId="77777777">
        <w:tc>
          <w:tcPr>
            <w:tcW w:w="567" w:type="dxa"/>
          </w:tcPr>
          <w:p w:rsidRPr="00B1445C" w:rsidR="00B1445C" w:rsidRDefault="00B1445C" w14:paraId="4F07CF59" w14:textId="77777777">
            <w:pPr>
              <w:rPr>
                <w:sz w:val="24"/>
                <w:szCs w:val="24"/>
              </w:rPr>
            </w:pPr>
            <w:r w:rsidRPr="00B1445C">
              <w:rPr>
                <w:sz w:val="24"/>
                <w:szCs w:val="24"/>
              </w:rPr>
              <w:t>6</w:t>
            </w:r>
          </w:p>
        </w:tc>
        <w:tc>
          <w:tcPr>
            <w:tcW w:w="6521" w:type="dxa"/>
          </w:tcPr>
          <w:p w:rsidRPr="00B1445C" w:rsidR="00B1445C" w:rsidRDefault="00B1445C" w14:paraId="6B144BEF" w14:textId="77777777">
            <w:pPr>
              <w:rPr>
                <w:sz w:val="24"/>
                <w:szCs w:val="24"/>
              </w:rPr>
            </w:pPr>
            <w:r w:rsidRPr="00B1445C">
              <w:rPr>
                <w:sz w:val="24"/>
                <w:szCs w:val="24"/>
              </w:rPr>
              <w:t>Wat kan en wil het kabinet doen om bij toekomstige suppletoire begrotingen consistentie te garanderen?</w:t>
            </w:r>
          </w:p>
          <w:p w:rsidR="0085365D" w:rsidP="00850E35" w:rsidRDefault="0085365D" w14:paraId="5888A236" w14:textId="77777777">
            <w:pPr>
              <w:rPr>
                <w:b/>
                <w:bCs/>
                <w:sz w:val="24"/>
                <w:szCs w:val="24"/>
              </w:rPr>
            </w:pPr>
          </w:p>
          <w:p w:rsidRPr="00B1445C" w:rsidR="00B1445C" w:rsidP="00850E35" w:rsidRDefault="00B1445C" w14:paraId="685FD513" w14:textId="64B395D9">
            <w:pPr>
              <w:rPr>
                <w:b/>
                <w:bCs/>
                <w:sz w:val="24"/>
                <w:szCs w:val="24"/>
              </w:rPr>
            </w:pPr>
            <w:r w:rsidRPr="00B1445C">
              <w:rPr>
                <w:b/>
                <w:bCs/>
                <w:sz w:val="24"/>
                <w:szCs w:val="24"/>
              </w:rPr>
              <w:t>Antwoord:</w:t>
            </w:r>
          </w:p>
          <w:p w:rsidRPr="0085365D" w:rsidR="00B1445C" w:rsidP="00850E35" w:rsidRDefault="00B1445C" w14:paraId="79AA747A" w14:textId="0CC3DF8A">
            <w:pPr>
              <w:rPr>
                <w:b/>
                <w:sz w:val="24"/>
                <w:szCs w:val="24"/>
              </w:rPr>
            </w:pPr>
            <w:r w:rsidRPr="00B1445C">
              <w:rPr>
                <w:b/>
                <w:sz w:val="24"/>
                <w:szCs w:val="24"/>
              </w:rPr>
              <w:t xml:space="preserve">Ik streef er naar om u zo transparant en consistent mogelijk te informeren in de suppletoire begrotingen die onder mijn verantwoordelijkheid vallen. </w:t>
            </w:r>
            <w:r w:rsidRPr="00B1445C">
              <w:rPr>
                <w:b/>
                <w:bCs/>
                <w:sz w:val="24"/>
                <w:szCs w:val="24"/>
              </w:rPr>
              <w:t xml:space="preserve"> Hierbij neem ik alle regels en voorschriften uit de Rijksbegrotingsvoorschriften in acht. </w:t>
            </w:r>
          </w:p>
        </w:tc>
      </w:tr>
      <w:tr w:rsidRPr="00B1445C" w:rsidR="00B1445C" w:rsidTr="00B1445C" w14:paraId="201D2E74" w14:textId="77777777">
        <w:tc>
          <w:tcPr>
            <w:tcW w:w="567" w:type="dxa"/>
          </w:tcPr>
          <w:p w:rsidRPr="00B1445C" w:rsidR="00B1445C" w:rsidRDefault="00B1445C" w14:paraId="0C68DB56" w14:textId="77777777">
            <w:pPr>
              <w:rPr>
                <w:sz w:val="24"/>
                <w:szCs w:val="24"/>
              </w:rPr>
            </w:pPr>
            <w:r w:rsidRPr="00B1445C">
              <w:rPr>
                <w:sz w:val="24"/>
                <w:szCs w:val="24"/>
              </w:rPr>
              <w:t>7</w:t>
            </w:r>
          </w:p>
        </w:tc>
        <w:tc>
          <w:tcPr>
            <w:tcW w:w="6521" w:type="dxa"/>
          </w:tcPr>
          <w:p w:rsidRPr="00B1445C" w:rsidR="00B1445C" w:rsidRDefault="00B1445C" w14:paraId="0C9ABC28" w14:textId="77777777">
            <w:pPr>
              <w:rPr>
                <w:sz w:val="24"/>
                <w:szCs w:val="24"/>
              </w:rPr>
            </w:pPr>
            <w:r w:rsidRPr="00B1445C">
              <w:rPr>
                <w:sz w:val="24"/>
                <w:szCs w:val="24"/>
              </w:rPr>
              <w:t>Kunt u toelichten hoe wordt geborgd dat de middelen die zijn gealloceerd voor de wederopbouw van zowel Oekraïne als Gaza ook daadwerkelijk voor die doelen beschikbaar blijven en welke concrete voorwaarden er worden gesteld aan de besteding van deze gelden zodra tot wederopbouw kan worden overgegaan?</w:t>
            </w:r>
          </w:p>
          <w:p w:rsidRPr="00B1445C" w:rsidR="00B1445C" w:rsidRDefault="00B1445C" w14:paraId="20FA1CF5" w14:textId="77777777">
            <w:pPr>
              <w:rPr>
                <w:sz w:val="24"/>
                <w:szCs w:val="24"/>
              </w:rPr>
            </w:pPr>
          </w:p>
          <w:p w:rsidRPr="00B1445C" w:rsidR="00B1445C" w:rsidP="00850E35" w:rsidRDefault="00B1445C" w14:paraId="52207FD2" w14:textId="5B2654EA">
            <w:pPr>
              <w:rPr>
                <w:b/>
                <w:bCs/>
                <w:sz w:val="24"/>
                <w:szCs w:val="24"/>
              </w:rPr>
            </w:pPr>
            <w:r w:rsidRPr="00B1445C">
              <w:rPr>
                <w:b/>
                <w:bCs/>
                <w:sz w:val="24"/>
                <w:szCs w:val="24"/>
              </w:rPr>
              <w:t>Antwoord:</w:t>
            </w:r>
          </w:p>
          <w:p w:rsidRPr="00B1445C" w:rsidR="00B1445C" w:rsidP="004D66F5" w:rsidRDefault="00B1445C" w14:paraId="2FF99C4B" w14:textId="79197775">
            <w:pPr>
              <w:rPr>
                <w:b/>
                <w:bCs/>
                <w:sz w:val="24"/>
                <w:szCs w:val="24"/>
                <w:lang w:eastAsia="en-US"/>
              </w:rPr>
            </w:pPr>
            <w:r w:rsidRPr="00B1445C">
              <w:rPr>
                <w:b/>
                <w:bCs/>
                <w:sz w:val="24"/>
                <w:szCs w:val="24"/>
                <w:lang w:eastAsia="en-US"/>
              </w:rPr>
              <w:t>Herstel- en wederopbouwactiviteiten zijn in Oekraïne op veel plekken al begonnen en Nederland draagt hier volop aan bij. Denk aan het herstel van kritieke energie-infrastructuur, maar ook de wederopbouw van huizen, scholen en ziekenhuizen die door Russische aanvallen zijn beschadigd of vernietigd. In 2024 en 2025 besteden we ruwweg EUR 500 miljoen aan wederopbouw, kritiek herstel en humanitair. Op EUR 50 miljoen  na zijn deze middelen reeds uitgegeven dan wel gecommitteerd.</w:t>
            </w:r>
          </w:p>
          <w:p w:rsidRPr="00B1445C" w:rsidR="00B1445C" w:rsidP="00850E35" w:rsidRDefault="00B1445C" w14:paraId="6BBB8571" w14:textId="77777777">
            <w:pPr>
              <w:rPr>
                <w:sz w:val="24"/>
                <w:szCs w:val="24"/>
              </w:rPr>
            </w:pPr>
          </w:p>
          <w:p w:rsidRPr="0085365D" w:rsidR="00B1445C" w:rsidP="00850E35" w:rsidRDefault="00B1445C" w14:paraId="2DB32AE4" w14:textId="51637684">
            <w:pPr>
              <w:rPr>
                <w:b/>
                <w:sz w:val="24"/>
                <w:szCs w:val="24"/>
              </w:rPr>
            </w:pPr>
            <w:r w:rsidRPr="00B1445C">
              <w:rPr>
                <w:b/>
                <w:sz w:val="24"/>
                <w:szCs w:val="24"/>
              </w:rPr>
              <w:t xml:space="preserve">De reservering van EUR 20 miljoen, bestemd voor activiteiten op gebied van wederopbouw in Gaza, zal in 2024 niet voor dit doel worden ingezet. Op dit moment leent de situatie in Gaza, </w:t>
            </w:r>
            <w:r w:rsidRPr="00B1445C">
              <w:rPr>
                <w:b/>
                <w:sz w:val="24"/>
                <w:szCs w:val="24"/>
              </w:rPr>
              <w:lastRenderedPageBreak/>
              <w:t xml:space="preserve">die zeer volatiel blijft, zich nog niet voor wederopbouw. Dit wordt ook door onze partnerorganisaties benadrukt. Aandacht gaat op dit moment vooral uit naar het reageren op de kritieke humanitaire noden. In 2025 zal binnen de BHO-begroting EUR 20 miljoen beschikbaar zijn voor wederopbouw. </w:t>
            </w:r>
            <w:bookmarkStart w:name="_Hlk184375538" w:id="0"/>
            <w:r w:rsidRPr="00B1445C">
              <w:rPr>
                <w:b/>
                <w:sz w:val="24"/>
                <w:szCs w:val="24"/>
              </w:rPr>
              <w:t xml:space="preserve">Over de besteding hiervan wordt u in 2025 geïnformeerd. </w:t>
            </w:r>
            <w:bookmarkEnd w:id="0"/>
          </w:p>
        </w:tc>
      </w:tr>
      <w:tr w:rsidRPr="00B1445C" w:rsidR="00B1445C" w:rsidTr="00B1445C" w14:paraId="211A08C2" w14:textId="77777777">
        <w:tc>
          <w:tcPr>
            <w:tcW w:w="567" w:type="dxa"/>
          </w:tcPr>
          <w:p w:rsidRPr="00B1445C" w:rsidR="00B1445C" w:rsidRDefault="00B1445C" w14:paraId="1A8BE8C4" w14:textId="77777777">
            <w:pPr>
              <w:rPr>
                <w:sz w:val="24"/>
                <w:szCs w:val="24"/>
              </w:rPr>
            </w:pPr>
            <w:r w:rsidRPr="00B1445C">
              <w:rPr>
                <w:sz w:val="24"/>
                <w:szCs w:val="24"/>
              </w:rPr>
              <w:lastRenderedPageBreak/>
              <w:t>8</w:t>
            </w:r>
          </w:p>
        </w:tc>
        <w:tc>
          <w:tcPr>
            <w:tcW w:w="6521" w:type="dxa"/>
          </w:tcPr>
          <w:p w:rsidRPr="00B1445C" w:rsidR="00B1445C" w:rsidRDefault="00B1445C" w14:paraId="7D8BFC05" w14:textId="77777777">
            <w:pPr>
              <w:rPr>
                <w:sz w:val="24"/>
                <w:szCs w:val="24"/>
              </w:rPr>
            </w:pPr>
            <w:r w:rsidRPr="00B1445C">
              <w:rPr>
                <w:sz w:val="24"/>
                <w:szCs w:val="24"/>
              </w:rPr>
              <w:t>Kunt u toelichten hoeveel onderbesteding er in totaal op de begroting van 2024 is?</w:t>
            </w:r>
          </w:p>
          <w:p w:rsidRPr="00B1445C" w:rsidR="00B1445C" w:rsidRDefault="00B1445C" w14:paraId="65EF16B0" w14:textId="77777777">
            <w:pPr>
              <w:rPr>
                <w:sz w:val="24"/>
                <w:szCs w:val="24"/>
              </w:rPr>
            </w:pPr>
          </w:p>
          <w:p w:rsidRPr="00B1445C" w:rsidR="00B1445C" w:rsidP="00850E35" w:rsidRDefault="00B1445C" w14:paraId="3F5F9488" w14:textId="77777777">
            <w:pPr>
              <w:rPr>
                <w:b/>
                <w:bCs/>
                <w:sz w:val="24"/>
                <w:szCs w:val="24"/>
              </w:rPr>
            </w:pPr>
            <w:r w:rsidRPr="00B1445C">
              <w:rPr>
                <w:b/>
                <w:bCs/>
                <w:sz w:val="24"/>
                <w:szCs w:val="24"/>
              </w:rPr>
              <w:t>Antwoord:</w:t>
            </w:r>
          </w:p>
          <w:p w:rsidRPr="0085365D" w:rsidR="00B1445C" w:rsidP="00850E35" w:rsidRDefault="00B1445C" w14:paraId="046D6BC4" w14:textId="6FC6876F">
            <w:pPr>
              <w:rPr>
                <w:b/>
                <w:bCs/>
                <w:strike/>
                <w:sz w:val="24"/>
                <w:szCs w:val="24"/>
              </w:rPr>
            </w:pPr>
            <w:r w:rsidRPr="00B1445C">
              <w:rPr>
                <w:b/>
                <w:bCs/>
                <w:sz w:val="24"/>
                <w:szCs w:val="24"/>
              </w:rPr>
              <w:t xml:space="preserve">In het jaarverslag BHO 2024 wordt verslag gedaan van de realisatie over het begrotingsjaar 2024. Het jaarverslag zal uw Kamer in mei 2025 toegaan. </w:t>
            </w:r>
          </w:p>
        </w:tc>
      </w:tr>
      <w:tr w:rsidRPr="00B1445C" w:rsidR="00B1445C" w:rsidTr="00B1445C" w14:paraId="6F4438EE" w14:textId="77777777">
        <w:tc>
          <w:tcPr>
            <w:tcW w:w="567" w:type="dxa"/>
          </w:tcPr>
          <w:p w:rsidRPr="00B1445C" w:rsidR="00B1445C" w:rsidRDefault="00B1445C" w14:paraId="7ECEB0A5" w14:textId="77777777">
            <w:pPr>
              <w:rPr>
                <w:sz w:val="24"/>
                <w:szCs w:val="24"/>
              </w:rPr>
            </w:pPr>
            <w:r w:rsidRPr="00B1445C">
              <w:rPr>
                <w:sz w:val="24"/>
                <w:szCs w:val="24"/>
              </w:rPr>
              <w:t>9</w:t>
            </w:r>
          </w:p>
        </w:tc>
        <w:tc>
          <w:tcPr>
            <w:tcW w:w="6521" w:type="dxa"/>
          </w:tcPr>
          <w:p w:rsidRPr="00B1445C" w:rsidR="00B1445C" w:rsidRDefault="00B1445C" w14:paraId="2A2AC4F0" w14:textId="77777777">
            <w:pPr>
              <w:rPr>
                <w:sz w:val="24"/>
                <w:szCs w:val="24"/>
              </w:rPr>
            </w:pPr>
            <w:r w:rsidRPr="00B1445C">
              <w:rPr>
                <w:sz w:val="24"/>
                <w:szCs w:val="24"/>
              </w:rPr>
              <w:t>Hoeveel volledig vrij besteedbare ruimte is er nog op de begroting?</w:t>
            </w:r>
          </w:p>
          <w:p w:rsidRPr="00B1445C" w:rsidR="00B1445C" w:rsidRDefault="00B1445C" w14:paraId="24235A36" w14:textId="77777777">
            <w:pPr>
              <w:rPr>
                <w:sz w:val="24"/>
                <w:szCs w:val="24"/>
              </w:rPr>
            </w:pPr>
          </w:p>
          <w:p w:rsidRPr="00B1445C" w:rsidR="00B1445C" w:rsidP="00850E35" w:rsidRDefault="00B1445C" w14:paraId="39C8B820" w14:textId="77777777">
            <w:pPr>
              <w:rPr>
                <w:b/>
                <w:bCs/>
                <w:sz w:val="24"/>
                <w:szCs w:val="24"/>
              </w:rPr>
            </w:pPr>
            <w:r w:rsidRPr="00B1445C">
              <w:rPr>
                <w:b/>
                <w:bCs/>
                <w:sz w:val="24"/>
                <w:szCs w:val="24"/>
              </w:rPr>
              <w:t>Antwoord:</w:t>
            </w:r>
          </w:p>
          <w:p w:rsidRPr="0085365D" w:rsidR="00B1445C" w:rsidP="00850E35" w:rsidRDefault="00B1445C" w14:paraId="5A5BB6A8" w14:textId="2E46933A">
            <w:pPr>
              <w:rPr>
                <w:b/>
                <w:sz w:val="24"/>
                <w:szCs w:val="24"/>
              </w:rPr>
            </w:pPr>
            <w:r w:rsidRPr="00B1445C">
              <w:rPr>
                <w:b/>
                <w:sz w:val="24"/>
                <w:szCs w:val="24"/>
              </w:rPr>
              <w:t xml:space="preserve">Ten tijde van indiening van de tweede suppletoire begroting was er geen vrij besteedbare ruimte </w:t>
            </w:r>
            <w:r w:rsidRPr="00B1445C">
              <w:rPr>
                <w:sz w:val="24"/>
                <w:szCs w:val="24"/>
              </w:rPr>
              <w:t xml:space="preserve">meer </w:t>
            </w:r>
            <w:r w:rsidRPr="00B1445C">
              <w:rPr>
                <w:b/>
                <w:sz w:val="24"/>
                <w:szCs w:val="24"/>
              </w:rPr>
              <w:t>op de begroting.</w:t>
            </w:r>
          </w:p>
        </w:tc>
      </w:tr>
      <w:tr w:rsidRPr="00B1445C" w:rsidR="00B1445C" w:rsidTr="00B1445C" w14:paraId="488F933A" w14:textId="77777777">
        <w:tc>
          <w:tcPr>
            <w:tcW w:w="567" w:type="dxa"/>
          </w:tcPr>
          <w:p w:rsidRPr="00B1445C" w:rsidR="00B1445C" w:rsidRDefault="00B1445C" w14:paraId="2748F960" w14:textId="77777777">
            <w:pPr>
              <w:rPr>
                <w:sz w:val="24"/>
                <w:szCs w:val="24"/>
              </w:rPr>
            </w:pPr>
            <w:r w:rsidRPr="00B1445C">
              <w:rPr>
                <w:sz w:val="24"/>
                <w:szCs w:val="24"/>
              </w:rPr>
              <w:t>10</w:t>
            </w:r>
          </w:p>
        </w:tc>
        <w:tc>
          <w:tcPr>
            <w:tcW w:w="6521" w:type="dxa"/>
          </w:tcPr>
          <w:p w:rsidRPr="00B1445C" w:rsidR="00B1445C" w:rsidRDefault="00B1445C" w14:paraId="13956062" w14:textId="77777777">
            <w:pPr>
              <w:rPr>
                <w:sz w:val="24"/>
                <w:szCs w:val="24"/>
              </w:rPr>
            </w:pPr>
            <w:r w:rsidRPr="00B1445C">
              <w:rPr>
                <w:sz w:val="24"/>
                <w:szCs w:val="24"/>
              </w:rPr>
              <w:t>Kunt u toelichten hoe de verlaging van de verplichtingen op artikel 2 met €214 miljoen meerjarig is verwerkt?</w:t>
            </w:r>
          </w:p>
          <w:p w:rsidRPr="00B1445C" w:rsidR="00B1445C" w:rsidRDefault="00B1445C" w14:paraId="4EBD3257" w14:textId="77777777">
            <w:pPr>
              <w:rPr>
                <w:sz w:val="24"/>
                <w:szCs w:val="24"/>
              </w:rPr>
            </w:pPr>
          </w:p>
          <w:p w:rsidRPr="00B1445C" w:rsidR="00B1445C" w:rsidP="00850E35" w:rsidRDefault="00B1445C" w14:paraId="79C39CA5" w14:textId="77777777">
            <w:pPr>
              <w:rPr>
                <w:b/>
                <w:bCs/>
                <w:sz w:val="24"/>
                <w:szCs w:val="24"/>
              </w:rPr>
            </w:pPr>
            <w:r w:rsidRPr="00B1445C">
              <w:rPr>
                <w:b/>
                <w:bCs/>
                <w:sz w:val="24"/>
                <w:szCs w:val="24"/>
              </w:rPr>
              <w:t>Antwoord:</w:t>
            </w:r>
          </w:p>
          <w:p w:rsidRPr="0085365D" w:rsidR="00B1445C" w:rsidP="00850E35" w:rsidRDefault="00B1445C" w14:paraId="3593958B" w14:textId="648AF31B">
            <w:pPr>
              <w:rPr>
                <w:b/>
                <w:bCs/>
                <w:sz w:val="24"/>
                <w:szCs w:val="24"/>
              </w:rPr>
            </w:pPr>
            <w:r w:rsidRPr="00B1445C">
              <w:rPr>
                <w:b/>
                <w:bCs/>
                <w:sz w:val="24"/>
                <w:szCs w:val="24"/>
              </w:rPr>
              <w:t>De verlaging van de verplichtingen is het gevolg van terughoudendheid op het aangaan van nieuwe verplichtingen met een meerjarig kaseffect. Als gevolg van de verwerking van de bezuinigingen in 2025 en verder, werden er minder meerjarige verplichtingen aangegaan.</w:t>
            </w:r>
          </w:p>
        </w:tc>
      </w:tr>
      <w:tr w:rsidRPr="00B1445C" w:rsidR="00B1445C" w:rsidTr="00B1445C" w14:paraId="1534D683" w14:textId="77777777">
        <w:tc>
          <w:tcPr>
            <w:tcW w:w="567" w:type="dxa"/>
          </w:tcPr>
          <w:p w:rsidRPr="00B1445C" w:rsidR="00B1445C" w:rsidRDefault="00B1445C" w14:paraId="4710047E" w14:textId="77777777">
            <w:pPr>
              <w:rPr>
                <w:sz w:val="24"/>
                <w:szCs w:val="24"/>
              </w:rPr>
            </w:pPr>
            <w:r w:rsidRPr="00B1445C">
              <w:rPr>
                <w:sz w:val="24"/>
                <w:szCs w:val="24"/>
              </w:rPr>
              <w:t>11</w:t>
            </w:r>
          </w:p>
        </w:tc>
        <w:tc>
          <w:tcPr>
            <w:tcW w:w="6521" w:type="dxa"/>
          </w:tcPr>
          <w:p w:rsidRPr="00B1445C" w:rsidR="00B1445C" w:rsidRDefault="00B1445C" w14:paraId="27A12622" w14:textId="77777777">
            <w:pPr>
              <w:rPr>
                <w:sz w:val="24"/>
                <w:szCs w:val="24"/>
              </w:rPr>
            </w:pPr>
            <w:r w:rsidRPr="00B1445C">
              <w:rPr>
                <w:sz w:val="24"/>
                <w:szCs w:val="24"/>
              </w:rPr>
              <w:t>Kunt u toelichten uit welke mutaties de afname van de verplichtingen op artikel 3 is opgebouwd en hoe deze meerjarig zijn verwerkt?</w:t>
            </w:r>
          </w:p>
          <w:p w:rsidRPr="00B1445C" w:rsidR="00B1445C" w:rsidRDefault="00B1445C" w14:paraId="07A4914F" w14:textId="77777777">
            <w:pPr>
              <w:rPr>
                <w:sz w:val="24"/>
                <w:szCs w:val="24"/>
              </w:rPr>
            </w:pPr>
          </w:p>
          <w:p w:rsidRPr="00B1445C" w:rsidR="00B1445C" w:rsidP="00850E35" w:rsidRDefault="00B1445C" w14:paraId="282EA3D6" w14:textId="77777777">
            <w:pPr>
              <w:rPr>
                <w:b/>
                <w:bCs/>
                <w:sz w:val="24"/>
                <w:szCs w:val="24"/>
              </w:rPr>
            </w:pPr>
            <w:r w:rsidRPr="00B1445C">
              <w:rPr>
                <w:b/>
                <w:bCs/>
                <w:sz w:val="24"/>
                <w:szCs w:val="24"/>
              </w:rPr>
              <w:t>Antwoord:</w:t>
            </w:r>
          </w:p>
          <w:p w:rsidRPr="00B1445C" w:rsidR="00B1445C" w:rsidP="0024049D" w:rsidRDefault="00B1445C" w14:paraId="21D794B3" w14:textId="1E6914C1">
            <w:pPr>
              <w:rPr>
                <w:b/>
                <w:bCs/>
                <w:sz w:val="24"/>
                <w:szCs w:val="24"/>
              </w:rPr>
            </w:pPr>
            <w:r w:rsidRPr="00B1445C">
              <w:rPr>
                <w:b/>
                <w:bCs/>
                <w:sz w:val="24"/>
                <w:szCs w:val="24"/>
              </w:rPr>
              <w:t>De in de tweede suppletoire begroting gepresenteerde daling van het verplichtingenbudget op artikel 3 met EUR 47 miljoen is het saldo van een aantal mutaties, waarvan de belangrijkste neerwaartse mutaties zijn:</w:t>
            </w:r>
          </w:p>
          <w:p w:rsidRPr="00B1445C" w:rsidR="00B1445C" w:rsidP="0024049D" w:rsidRDefault="00B1445C" w14:paraId="455C6D10" w14:textId="77777777">
            <w:pPr>
              <w:rPr>
                <w:b/>
                <w:bCs/>
                <w:sz w:val="24"/>
                <w:szCs w:val="24"/>
              </w:rPr>
            </w:pPr>
          </w:p>
          <w:p w:rsidRPr="00B1445C" w:rsidR="00B1445C" w:rsidP="0024049D" w:rsidRDefault="00B1445C" w14:paraId="519DD07A" w14:textId="17EDAD84">
            <w:pPr>
              <w:rPr>
                <w:b/>
                <w:bCs/>
                <w:sz w:val="24"/>
                <w:szCs w:val="24"/>
              </w:rPr>
            </w:pPr>
            <w:r w:rsidRPr="00B1445C">
              <w:rPr>
                <w:b/>
                <w:bCs/>
                <w:sz w:val="24"/>
                <w:szCs w:val="24"/>
              </w:rPr>
              <w:t>Mondiale gezondheid en SRGR:</w:t>
            </w:r>
          </w:p>
          <w:p w:rsidRPr="00B1445C" w:rsidR="00B1445C" w:rsidP="0024049D" w:rsidRDefault="00B1445C" w14:paraId="53B78BA9" w14:textId="732F5F1C">
            <w:pPr>
              <w:numPr>
                <w:ilvl w:val="0"/>
                <w:numId w:val="1"/>
              </w:numPr>
              <w:rPr>
                <w:b/>
                <w:bCs/>
                <w:sz w:val="24"/>
                <w:szCs w:val="24"/>
              </w:rPr>
            </w:pPr>
            <w:r w:rsidRPr="00B1445C">
              <w:rPr>
                <w:b/>
                <w:bCs/>
                <w:sz w:val="24"/>
                <w:szCs w:val="24"/>
              </w:rPr>
              <w:t>EUR 17 miljoen Oeganda</w:t>
            </w:r>
          </w:p>
          <w:p w:rsidRPr="00B1445C" w:rsidR="00B1445C" w:rsidP="0024049D" w:rsidRDefault="00B1445C" w14:paraId="7610DEC0" w14:textId="2CBC83B4">
            <w:pPr>
              <w:numPr>
                <w:ilvl w:val="0"/>
                <w:numId w:val="1"/>
              </w:numPr>
              <w:rPr>
                <w:b/>
                <w:bCs/>
                <w:sz w:val="24"/>
                <w:szCs w:val="24"/>
              </w:rPr>
            </w:pPr>
            <w:r w:rsidRPr="00B1445C">
              <w:rPr>
                <w:b/>
                <w:bCs/>
                <w:sz w:val="24"/>
                <w:szCs w:val="24"/>
              </w:rPr>
              <w:t>EUR 12 miljoen Benin</w:t>
            </w:r>
          </w:p>
          <w:p w:rsidRPr="00B1445C" w:rsidR="00B1445C" w:rsidP="0024049D" w:rsidRDefault="00B1445C" w14:paraId="67F2F522" w14:textId="04AE9AFE">
            <w:pPr>
              <w:numPr>
                <w:ilvl w:val="0"/>
                <w:numId w:val="1"/>
              </w:numPr>
              <w:rPr>
                <w:b/>
                <w:bCs/>
                <w:sz w:val="24"/>
                <w:szCs w:val="24"/>
              </w:rPr>
            </w:pPr>
            <w:r w:rsidRPr="00B1445C">
              <w:rPr>
                <w:b/>
                <w:bCs/>
                <w:sz w:val="24"/>
                <w:szCs w:val="24"/>
              </w:rPr>
              <w:t>EUR 6 miljoen Burundi</w:t>
            </w:r>
          </w:p>
          <w:p w:rsidRPr="00B1445C" w:rsidR="00B1445C" w:rsidP="00C0195E" w:rsidRDefault="00B1445C" w14:paraId="367662F7" w14:textId="77777777">
            <w:pPr>
              <w:rPr>
                <w:b/>
                <w:bCs/>
                <w:sz w:val="24"/>
                <w:szCs w:val="24"/>
              </w:rPr>
            </w:pPr>
          </w:p>
          <w:p w:rsidRPr="00B1445C" w:rsidR="00B1445C" w:rsidP="00C0195E" w:rsidRDefault="00B1445C" w14:paraId="7D6FB9C9" w14:textId="48118839">
            <w:pPr>
              <w:rPr>
                <w:b/>
                <w:bCs/>
                <w:sz w:val="24"/>
                <w:szCs w:val="24"/>
              </w:rPr>
            </w:pPr>
            <w:r w:rsidRPr="00B1445C">
              <w:rPr>
                <w:b/>
                <w:bCs/>
                <w:sz w:val="24"/>
                <w:szCs w:val="24"/>
              </w:rPr>
              <w:t>Onderwijs</w:t>
            </w:r>
          </w:p>
          <w:p w:rsidRPr="00B1445C" w:rsidR="00B1445C" w:rsidP="00C0195E" w:rsidRDefault="00B1445C" w14:paraId="0A4C67C2" w14:textId="6402A9EF">
            <w:pPr>
              <w:pStyle w:val="Lijstalinea"/>
              <w:numPr>
                <w:ilvl w:val="0"/>
                <w:numId w:val="1"/>
              </w:numPr>
              <w:rPr>
                <w:b/>
                <w:bCs/>
                <w:sz w:val="24"/>
                <w:szCs w:val="24"/>
              </w:rPr>
            </w:pPr>
            <w:r w:rsidRPr="00B1445C">
              <w:rPr>
                <w:b/>
                <w:bCs/>
                <w:sz w:val="24"/>
                <w:szCs w:val="24"/>
              </w:rPr>
              <w:t>EUR 7 miljoen</w:t>
            </w:r>
          </w:p>
          <w:p w:rsidRPr="00B1445C" w:rsidR="00B1445C" w:rsidP="00C0195E" w:rsidRDefault="00B1445C" w14:paraId="492DDB74" w14:textId="77777777">
            <w:pPr>
              <w:pStyle w:val="Lijstalinea"/>
              <w:rPr>
                <w:b/>
                <w:bCs/>
                <w:sz w:val="24"/>
                <w:szCs w:val="24"/>
              </w:rPr>
            </w:pPr>
          </w:p>
          <w:p w:rsidRPr="0085365D" w:rsidR="00B1445C" w:rsidP="00850E35" w:rsidRDefault="00B1445C" w14:paraId="4C89293E" w14:textId="419D473F">
            <w:pPr>
              <w:rPr>
                <w:b/>
                <w:bCs/>
                <w:sz w:val="24"/>
                <w:szCs w:val="24"/>
              </w:rPr>
            </w:pPr>
            <w:r w:rsidRPr="00B1445C">
              <w:rPr>
                <w:b/>
                <w:bCs/>
                <w:sz w:val="24"/>
                <w:szCs w:val="24"/>
              </w:rPr>
              <w:t>De reden van de neerwaartse bijstelling ligt vooral in het betrachten van terughoudendheid bij het aangaan van nieuwe verplichtingen met een meerjarig kaseffect. De terughoudendheid wordt in acht genomen vanwege de lagere kasbudgetten in 2025 en om zoveel mogelijk de meerjarige niet juridisch verplichte ruimte te behouden ten behoeve van de aangekondigde beleidsbrief BHO.</w:t>
            </w:r>
          </w:p>
        </w:tc>
      </w:tr>
      <w:tr w:rsidRPr="00B1445C" w:rsidR="00B1445C" w:rsidTr="00B1445C" w14:paraId="754B0B73" w14:textId="77777777">
        <w:tc>
          <w:tcPr>
            <w:tcW w:w="567" w:type="dxa"/>
          </w:tcPr>
          <w:p w:rsidRPr="00B1445C" w:rsidR="00B1445C" w:rsidRDefault="00B1445C" w14:paraId="27161E4F" w14:textId="77777777">
            <w:pPr>
              <w:rPr>
                <w:sz w:val="24"/>
                <w:szCs w:val="24"/>
              </w:rPr>
            </w:pPr>
            <w:r w:rsidRPr="00B1445C">
              <w:rPr>
                <w:sz w:val="24"/>
                <w:szCs w:val="24"/>
              </w:rPr>
              <w:lastRenderedPageBreak/>
              <w:t>12</w:t>
            </w:r>
          </w:p>
        </w:tc>
        <w:tc>
          <w:tcPr>
            <w:tcW w:w="6521" w:type="dxa"/>
          </w:tcPr>
          <w:p w:rsidRPr="00B1445C" w:rsidR="00B1445C" w:rsidRDefault="00B1445C" w14:paraId="0B5B01D2" w14:textId="77777777">
            <w:pPr>
              <w:rPr>
                <w:sz w:val="24"/>
                <w:szCs w:val="24"/>
              </w:rPr>
            </w:pPr>
            <w:r w:rsidRPr="00B1445C">
              <w:rPr>
                <w:sz w:val="24"/>
                <w:szCs w:val="24"/>
              </w:rPr>
              <w:t>Kunt u toelichten uit welke mutaties de afname van de verplichtingen op artikel 4 is opgebouwd en hoe deze meerjarig in de begroting worden opgenomen?</w:t>
            </w:r>
          </w:p>
          <w:p w:rsidRPr="00B1445C" w:rsidR="00B1445C" w:rsidRDefault="00B1445C" w14:paraId="64AB57A3" w14:textId="77777777">
            <w:pPr>
              <w:rPr>
                <w:sz w:val="24"/>
                <w:szCs w:val="24"/>
              </w:rPr>
            </w:pPr>
          </w:p>
          <w:p w:rsidRPr="00B1445C" w:rsidR="00B1445C" w:rsidP="00850E35" w:rsidRDefault="00B1445C" w14:paraId="7CF4088B" w14:textId="77777777">
            <w:pPr>
              <w:rPr>
                <w:b/>
                <w:bCs/>
                <w:sz w:val="24"/>
                <w:szCs w:val="24"/>
              </w:rPr>
            </w:pPr>
            <w:r w:rsidRPr="00B1445C">
              <w:rPr>
                <w:b/>
                <w:bCs/>
                <w:sz w:val="24"/>
                <w:szCs w:val="24"/>
              </w:rPr>
              <w:t>Antwoord:</w:t>
            </w:r>
          </w:p>
          <w:p w:rsidRPr="00B1445C" w:rsidR="00B1445C" w:rsidP="00850E35" w:rsidRDefault="00B1445C" w14:paraId="38F8AD6A" w14:textId="043A7652">
            <w:pPr>
              <w:rPr>
                <w:b/>
                <w:sz w:val="24"/>
                <w:szCs w:val="24"/>
              </w:rPr>
            </w:pPr>
            <w:r w:rsidRPr="00B1445C">
              <w:rPr>
                <w:b/>
                <w:bCs/>
                <w:sz w:val="24"/>
                <w:szCs w:val="24"/>
              </w:rPr>
              <w:t>De in de tweede suppletoire begroting gepresenteerde daling van het verplichtingenbudget op artikel 4 met EUR 152 miljoen is het saldo van een aantal mutaties, waarvan de specificatie op artikelonderdeel is:</w:t>
            </w:r>
          </w:p>
          <w:p w:rsidRPr="00B1445C" w:rsidR="00B1445C" w:rsidP="00850E35" w:rsidRDefault="00B1445C" w14:paraId="25B103A8" w14:textId="0C96795B">
            <w:pPr>
              <w:rPr>
                <w:b/>
                <w:bCs/>
                <w:sz w:val="24"/>
                <w:szCs w:val="24"/>
              </w:rPr>
            </w:pPr>
            <w:r w:rsidRPr="00B1445C">
              <w:rPr>
                <w:b/>
                <w:bCs/>
                <w:sz w:val="24"/>
                <w:szCs w:val="24"/>
              </w:rPr>
              <w:t>4.1. Humanitaire Hulp: + EUR 16 miljoen</w:t>
            </w:r>
          </w:p>
          <w:p w:rsidRPr="00B1445C" w:rsidR="00B1445C" w:rsidP="00850E35" w:rsidRDefault="00B1445C" w14:paraId="25F83ABF" w14:textId="453795BE">
            <w:pPr>
              <w:rPr>
                <w:b/>
                <w:bCs/>
                <w:sz w:val="24"/>
                <w:szCs w:val="24"/>
              </w:rPr>
            </w:pPr>
            <w:r w:rsidRPr="00B1445C">
              <w:rPr>
                <w:b/>
                <w:bCs/>
                <w:sz w:val="24"/>
                <w:szCs w:val="24"/>
              </w:rPr>
              <w:t>4.2. Opvang in de Regio en Migratiesamenwerking: - EUR 88 miljoen</w:t>
            </w:r>
          </w:p>
          <w:p w:rsidRPr="00B1445C" w:rsidR="00B1445C" w:rsidP="00850E35" w:rsidRDefault="00B1445C" w14:paraId="1580C1D6" w14:textId="6A3E174B">
            <w:pPr>
              <w:rPr>
                <w:b/>
                <w:bCs/>
                <w:sz w:val="24"/>
                <w:szCs w:val="24"/>
              </w:rPr>
            </w:pPr>
            <w:r w:rsidRPr="00B1445C">
              <w:rPr>
                <w:b/>
                <w:bCs/>
                <w:sz w:val="24"/>
                <w:szCs w:val="24"/>
              </w:rPr>
              <w:t>4.3. Veiligheid en Rechtsorde: - EUR 80 miljoen</w:t>
            </w:r>
          </w:p>
          <w:p w:rsidRPr="00B1445C" w:rsidR="00B1445C" w:rsidP="00850E35" w:rsidRDefault="00B1445C" w14:paraId="60869528" w14:textId="77777777">
            <w:pPr>
              <w:rPr>
                <w:b/>
                <w:bCs/>
                <w:sz w:val="24"/>
                <w:szCs w:val="24"/>
              </w:rPr>
            </w:pPr>
          </w:p>
          <w:p w:rsidRPr="00B1445C" w:rsidR="00B1445C" w:rsidP="00850E35" w:rsidRDefault="00B1445C" w14:paraId="457A5BF4" w14:textId="77777777">
            <w:pPr>
              <w:rPr>
                <w:b/>
                <w:bCs/>
                <w:sz w:val="24"/>
                <w:szCs w:val="24"/>
              </w:rPr>
            </w:pPr>
            <w:r w:rsidRPr="00B1445C">
              <w:rPr>
                <w:b/>
                <w:bCs/>
                <w:sz w:val="24"/>
                <w:szCs w:val="24"/>
              </w:rPr>
              <w:t>De verhoging op artikel 4.1. Humanitaire Hulp houdt verband met de ophoging van de uitgavenbegroting.</w:t>
            </w:r>
          </w:p>
          <w:p w:rsidRPr="0085365D" w:rsidR="00B1445C" w:rsidP="00850E35" w:rsidRDefault="00B1445C" w14:paraId="16957174" w14:textId="49C32011">
            <w:pPr>
              <w:rPr>
                <w:b/>
                <w:bCs/>
                <w:sz w:val="24"/>
                <w:szCs w:val="24"/>
              </w:rPr>
            </w:pPr>
            <w:r w:rsidRPr="00B1445C">
              <w:rPr>
                <w:b/>
                <w:bCs/>
                <w:sz w:val="24"/>
                <w:szCs w:val="24"/>
              </w:rPr>
              <w:t xml:space="preserve">De verlaging voor 4.2. Opvang in de regio en Migratie en 4.3. Veiligheid en Rechtsstaatontwikkeling is te verklaren uit de in acht genomen terughoudendheid in het aangaan van nieuwe verplichtingen met het oog op de bezuinigingen in 2025 en verder.  </w:t>
            </w:r>
          </w:p>
        </w:tc>
      </w:tr>
      <w:tr w:rsidRPr="00B1445C" w:rsidR="00B1445C" w:rsidTr="00B1445C" w14:paraId="764A1E9C" w14:textId="77777777">
        <w:tc>
          <w:tcPr>
            <w:tcW w:w="567" w:type="dxa"/>
          </w:tcPr>
          <w:p w:rsidRPr="00B1445C" w:rsidR="00B1445C" w:rsidRDefault="00B1445C" w14:paraId="5B031FDB" w14:textId="77777777">
            <w:pPr>
              <w:rPr>
                <w:sz w:val="24"/>
                <w:szCs w:val="24"/>
              </w:rPr>
            </w:pPr>
            <w:r w:rsidRPr="00B1445C">
              <w:rPr>
                <w:sz w:val="24"/>
                <w:szCs w:val="24"/>
              </w:rPr>
              <w:t>13</w:t>
            </w:r>
          </w:p>
        </w:tc>
        <w:tc>
          <w:tcPr>
            <w:tcW w:w="6521" w:type="dxa"/>
          </w:tcPr>
          <w:p w:rsidRPr="00B1445C" w:rsidR="00B1445C" w:rsidRDefault="00B1445C" w14:paraId="7F74439E" w14:textId="77777777">
            <w:pPr>
              <w:rPr>
                <w:sz w:val="24"/>
                <w:szCs w:val="24"/>
              </w:rPr>
            </w:pPr>
            <w:r w:rsidRPr="00B1445C">
              <w:rPr>
                <w:sz w:val="24"/>
                <w:szCs w:val="24"/>
              </w:rPr>
              <w:t>Welke criteria bepalen dat mutaties onder de drempelwaarde niet worden toegelicht, en hoe waarborgt dit voldoende transparantie?</w:t>
            </w:r>
          </w:p>
          <w:p w:rsidRPr="00B1445C" w:rsidR="00B1445C" w:rsidRDefault="00B1445C" w14:paraId="5003A12D" w14:textId="77777777">
            <w:pPr>
              <w:rPr>
                <w:sz w:val="24"/>
                <w:szCs w:val="24"/>
              </w:rPr>
            </w:pPr>
          </w:p>
          <w:p w:rsidRPr="00B1445C" w:rsidR="00B1445C" w:rsidP="00850E35" w:rsidRDefault="00B1445C" w14:paraId="21E9EFC0" w14:textId="5DB20065">
            <w:pPr>
              <w:rPr>
                <w:sz w:val="24"/>
                <w:szCs w:val="24"/>
              </w:rPr>
            </w:pPr>
            <w:r w:rsidRPr="00B1445C">
              <w:rPr>
                <w:b/>
                <w:bCs/>
                <w:sz w:val="24"/>
                <w:szCs w:val="24"/>
              </w:rPr>
              <w:t>Antwoord:</w:t>
            </w:r>
            <w:r w:rsidRPr="00B1445C">
              <w:rPr>
                <w:sz w:val="24"/>
                <w:szCs w:val="24"/>
              </w:rPr>
              <w:br/>
            </w:r>
            <w:r w:rsidRPr="00B1445C">
              <w:rPr>
                <w:b/>
                <w:bCs/>
                <w:sz w:val="24"/>
                <w:szCs w:val="24"/>
              </w:rPr>
              <w:t xml:space="preserve">Bij het opstellen van de tweede suppletoire begroting worden de modellen in de Regeling </w:t>
            </w:r>
            <w:proofErr w:type="spellStart"/>
            <w:r w:rsidRPr="00B1445C">
              <w:rPr>
                <w:b/>
                <w:bCs/>
                <w:sz w:val="24"/>
                <w:szCs w:val="24"/>
              </w:rPr>
              <w:t>Rĳksbegrotingsvoorschriften</w:t>
            </w:r>
            <w:proofErr w:type="spellEnd"/>
            <w:r w:rsidRPr="00B1445C">
              <w:rPr>
                <w:b/>
                <w:bCs/>
                <w:sz w:val="24"/>
                <w:szCs w:val="24"/>
              </w:rPr>
              <w:t xml:space="preserve"> toegepast. </w:t>
            </w:r>
            <w:proofErr w:type="spellStart"/>
            <w:r w:rsidRPr="00B1445C">
              <w:rPr>
                <w:b/>
                <w:bCs/>
                <w:sz w:val="24"/>
                <w:szCs w:val="24"/>
              </w:rPr>
              <w:t>Bĳ</w:t>
            </w:r>
            <w:proofErr w:type="spellEnd"/>
            <w:r w:rsidRPr="00B1445C">
              <w:rPr>
                <w:b/>
                <w:bCs/>
                <w:sz w:val="24"/>
                <w:szCs w:val="24"/>
              </w:rPr>
              <w:t xml:space="preserve"> diverse modellen worden kwantitatieve grenzen gehanteerd zoals aantal </w:t>
            </w:r>
            <w:proofErr w:type="spellStart"/>
            <w:r w:rsidRPr="00B1445C">
              <w:rPr>
                <w:b/>
                <w:bCs/>
                <w:sz w:val="24"/>
                <w:szCs w:val="24"/>
              </w:rPr>
              <w:t>bladzĳden</w:t>
            </w:r>
            <w:proofErr w:type="spellEnd"/>
            <w:r w:rsidRPr="00B1445C">
              <w:rPr>
                <w:b/>
                <w:bCs/>
                <w:sz w:val="24"/>
                <w:szCs w:val="24"/>
              </w:rPr>
              <w:t xml:space="preserve"> of een ondergrens die luidt in miljoenen euro’s. Deze kwantitatieve grenzen gelden als hoofdregel. Van deze hoofdregel mag alleen (ex-ante) met instemming van de Minister van Financiën worden afgeweken. </w:t>
            </w:r>
            <w:proofErr w:type="spellStart"/>
            <w:r w:rsidRPr="00B1445C">
              <w:rPr>
                <w:b/>
                <w:bCs/>
                <w:sz w:val="24"/>
                <w:szCs w:val="24"/>
              </w:rPr>
              <w:t>Bĳ</w:t>
            </w:r>
            <w:proofErr w:type="spellEnd"/>
            <w:r w:rsidRPr="00B1445C">
              <w:rPr>
                <w:b/>
                <w:bCs/>
                <w:sz w:val="24"/>
                <w:szCs w:val="24"/>
              </w:rPr>
              <w:t xml:space="preserve"> de toepassing van deze grenzen is de leesbaarheid van tabellen een </w:t>
            </w:r>
            <w:proofErr w:type="spellStart"/>
            <w:r w:rsidRPr="00B1445C">
              <w:rPr>
                <w:b/>
                <w:bCs/>
                <w:sz w:val="24"/>
                <w:szCs w:val="24"/>
              </w:rPr>
              <w:t>belangrĳke</w:t>
            </w:r>
            <w:proofErr w:type="spellEnd"/>
            <w:r w:rsidRPr="00B1445C">
              <w:rPr>
                <w:b/>
                <w:bCs/>
                <w:sz w:val="24"/>
                <w:szCs w:val="24"/>
              </w:rPr>
              <w:t xml:space="preserve"> invalshoek. In de tabel </w:t>
            </w:r>
            <w:proofErr w:type="spellStart"/>
            <w:r w:rsidRPr="00B1445C">
              <w:rPr>
                <w:b/>
                <w:bCs/>
                <w:sz w:val="24"/>
                <w:szCs w:val="24"/>
              </w:rPr>
              <w:t>belangrĳkste</w:t>
            </w:r>
            <w:proofErr w:type="spellEnd"/>
            <w:r w:rsidRPr="00B1445C">
              <w:rPr>
                <w:b/>
                <w:bCs/>
                <w:sz w:val="24"/>
                <w:szCs w:val="24"/>
              </w:rPr>
              <w:t xml:space="preserve"> suppletoire uitgavenmutaties 2024 (Tweede suppletoire begroting) (model 2.25) worden voor een specifiek beleidsartikel alle mutaties opgenomen, zowel beleidsmatig relevante als technische mutaties, conform de voorgeschreven </w:t>
            </w:r>
            <w:r w:rsidRPr="00B1445C">
              <w:rPr>
                <w:b/>
                <w:bCs/>
                <w:sz w:val="24"/>
                <w:szCs w:val="24"/>
              </w:rPr>
              <w:lastRenderedPageBreak/>
              <w:t xml:space="preserve">staffel. Alleen de beleidsmatig relevante mutaties vanaf de Suppletoire Begroting September worden toegelicht. </w:t>
            </w:r>
          </w:p>
        </w:tc>
      </w:tr>
      <w:tr w:rsidRPr="00B1445C" w:rsidR="00B1445C" w:rsidTr="00B1445C" w14:paraId="0B0D26C9" w14:textId="77777777">
        <w:tc>
          <w:tcPr>
            <w:tcW w:w="567" w:type="dxa"/>
          </w:tcPr>
          <w:p w:rsidRPr="00B1445C" w:rsidR="00B1445C" w:rsidRDefault="00B1445C" w14:paraId="148545C1" w14:textId="77777777">
            <w:pPr>
              <w:rPr>
                <w:sz w:val="24"/>
                <w:szCs w:val="24"/>
              </w:rPr>
            </w:pPr>
            <w:r w:rsidRPr="00B1445C">
              <w:rPr>
                <w:sz w:val="24"/>
                <w:szCs w:val="24"/>
              </w:rPr>
              <w:lastRenderedPageBreak/>
              <w:t>14</w:t>
            </w:r>
          </w:p>
        </w:tc>
        <w:tc>
          <w:tcPr>
            <w:tcW w:w="6521" w:type="dxa"/>
          </w:tcPr>
          <w:p w:rsidRPr="00B1445C" w:rsidR="00B1445C" w:rsidRDefault="00B1445C" w14:paraId="54424111" w14:textId="29A780D0">
            <w:pPr>
              <w:rPr>
                <w:sz w:val="24"/>
                <w:szCs w:val="24"/>
              </w:rPr>
            </w:pPr>
            <w:r w:rsidRPr="00B1445C">
              <w:rPr>
                <w:sz w:val="24"/>
                <w:szCs w:val="24"/>
              </w:rPr>
              <w:t>Wat is de reden dat binnen het programma Sectorale Samenwerking voor Internationaal Maatschappelijk Verantwoord Ondernemen (IMVO) minder subsidieaanvragen bij de Rijkdienst voor Ondernemend Nederland (RvO) zijn gedaan en op welke manier worden bedrijven geattendeerd op de beschikbaarheid van deze subsidies?</w:t>
            </w:r>
          </w:p>
          <w:p w:rsidRPr="00B1445C" w:rsidR="00B1445C" w:rsidP="00850E35" w:rsidRDefault="00B1445C" w14:paraId="2D9C0F36" w14:textId="77777777">
            <w:pPr>
              <w:rPr>
                <w:b/>
                <w:bCs/>
                <w:sz w:val="24"/>
                <w:szCs w:val="24"/>
              </w:rPr>
            </w:pPr>
            <w:r w:rsidRPr="00B1445C">
              <w:rPr>
                <w:b/>
                <w:bCs/>
                <w:sz w:val="24"/>
                <w:szCs w:val="24"/>
              </w:rPr>
              <w:t>Antwoord:</w:t>
            </w:r>
          </w:p>
          <w:p w:rsidRPr="00B1445C" w:rsidR="00B1445C" w:rsidP="00850E35" w:rsidRDefault="00B1445C" w14:paraId="57D1B2FC" w14:textId="10C602D4">
            <w:pPr>
              <w:rPr>
                <w:b/>
                <w:bCs/>
                <w:sz w:val="24"/>
                <w:szCs w:val="24"/>
              </w:rPr>
            </w:pPr>
            <w:r w:rsidRPr="00B1445C">
              <w:rPr>
                <w:b/>
                <w:bCs/>
                <w:sz w:val="24"/>
                <w:szCs w:val="24"/>
              </w:rPr>
              <w:t xml:space="preserve">In de Kamerbrief over de uitkomst peilmoment sectorale samenwerking (Kamerstuk 26485, nr. 430) van 6 november 2023 is aangegeven dat het instrument sectorale samenwerking wordt herzien. Deze nieuwe opzet die in overleg met verschillende stakeholders tot stand is gekomen zorgde ervoor dat er gedurende deze periode weinig aanvragen binnen konden komen bij de oude regeling. Daarnaast was een aantal criteria voor het aanvragen van de subsidie te uitdagend voor bedrijven. Deze zijn in de nieuwe regeling aangepast. </w:t>
            </w:r>
          </w:p>
        </w:tc>
      </w:tr>
      <w:tr w:rsidRPr="00B1445C" w:rsidR="00B1445C" w:rsidTr="00B1445C" w14:paraId="1D572DF8" w14:textId="77777777">
        <w:tc>
          <w:tcPr>
            <w:tcW w:w="567" w:type="dxa"/>
          </w:tcPr>
          <w:p w:rsidRPr="00B1445C" w:rsidR="00B1445C" w:rsidRDefault="00B1445C" w14:paraId="1295B1CF" w14:textId="77777777">
            <w:pPr>
              <w:rPr>
                <w:sz w:val="24"/>
                <w:szCs w:val="24"/>
              </w:rPr>
            </w:pPr>
            <w:r w:rsidRPr="00B1445C">
              <w:rPr>
                <w:sz w:val="24"/>
                <w:szCs w:val="24"/>
              </w:rPr>
              <w:t>15</w:t>
            </w:r>
          </w:p>
        </w:tc>
        <w:tc>
          <w:tcPr>
            <w:tcW w:w="6521" w:type="dxa"/>
          </w:tcPr>
          <w:p w:rsidRPr="00B1445C" w:rsidR="00B1445C" w:rsidRDefault="00B1445C" w14:paraId="1D23BB03" w14:textId="77777777">
            <w:pPr>
              <w:rPr>
                <w:sz w:val="24"/>
                <w:szCs w:val="24"/>
              </w:rPr>
            </w:pPr>
            <w:r w:rsidRPr="00B1445C">
              <w:rPr>
                <w:sz w:val="24"/>
                <w:szCs w:val="24"/>
              </w:rPr>
              <w:t>Kunt u toelichten op welke programma’s voor infrastructurele ontwikkeling de verhoging van het budget met €23,5 miljoen betrekking heeft en hoe is dit verdeeld?</w:t>
            </w:r>
          </w:p>
          <w:p w:rsidRPr="00B1445C" w:rsidR="00B1445C" w:rsidRDefault="00B1445C" w14:paraId="2BA136B8" w14:textId="77777777">
            <w:pPr>
              <w:rPr>
                <w:sz w:val="24"/>
                <w:szCs w:val="24"/>
              </w:rPr>
            </w:pPr>
          </w:p>
          <w:p w:rsidRPr="00B1445C" w:rsidR="00B1445C" w:rsidP="00850E35" w:rsidRDefault="00B1445C" w14:paraId="7AD6E48A" w14:textId="77777777">
            <w:pPr>
              <w:rPr>
                <w:b/>
                <w:bCs/>
                <w:sz w:val="24"/>
                <w:szCs w:val="24"/>
              </w:rPr>
            </w:pPr>
            <w:r w:rsidRPr="00B1445C">
              <w:rPr>
                <w:b/>
                <w:bCs/>
                <w:sz w:val="24"/>
                <w:szCs w:val="24"/>
              </w:rPr>
              <w:t>Antwoord:</w:t>
            </w:r>
          </w:p>
          <w:p w:rsidRPr="0085365D" w:rsidR="00B1445C" w:rsidP="00850E35" w:rsidRDefault="00B1445C" w14:paraId="13D2FBF0" w14:textId="17673438">
            <w:pPr>
              <w:rPr>
                <w:b/>
                <w:bCs/>
                <w:sz w:val="24"/>
                <w:szCs w:val="24"/>
              </w:rPr>
            </w:pPr>
            <w:r w:rsidRPr="00B1445C">
              <w:rPr>
                <w:b/>
                <w:bCs/>
                <w:sz w:val="24"/>
                <w:szCs w:val="24"/>
              </w:rPr>
              <w:t xml:space="preserve">Het budget voor artikel 1.3 stijgt in totaal met €23,5 miljoen. Deze stijging wordt veroorzaakt door de overheveling van €20 miljoen van artikel 5.2 naar artikel 1.3. Daarnaast wordt € 3,5 miljoen overgeheveld van artikel 1.1 naar artikel 1.3. De stijging wordt ingezet ten behoeve van een lening aan het programma met de Private </w:t>
            </w:r>
            <w:proofErr w:type="spellStart"/>
            <w:r w:rsidRPr="00B1445C">
              <w:rPr>
                <w:b/>
                <w:bCs/>
                <w:sz w:val="24"/>
                <w:szCs w:val="24"/>
              </w:rPr>
              <w:t>Infrastructure</w:t>
            </w:r>
            <w:proofErr w:type="spellEnd"/>
            <w:r w:rsidRPr="00B1445C">
              <w:rPr>
                <w:b/>
                <w:bCs/>
                <w:sz w:val="24"/>
                <w:szCs w:val="24"/>
              </w:rPr>
              <w:t xml:space="preserve"> Development Group (€ 5,9 miljoen), subsidies voor het DRIVE programma (€ 10,2 miljoen) en de uitvoeringskosten van </w:t>
            </w:r>
            <w:proofErr w:type="spellStart"/>
            <w:r w:rsidRPr="00B1445C">
              <w:rPr>
                <w:b/>
                <w:bCs/>
                <w:sz w:val="24"/>
                <w:szCs w:val="24"/>
              </w:rPr>
              <w:t>Invest</w:t>
            </w:r>
            <w:proofErr w:type="spellEnd"/>
            <w:r w:rsidRPr="00B1445C">
              <w:rPr>
                <w:b/>
                <w:bCs/>
                <w:sz w:val="24"/>
                <w:szCs w:val="24"/>
              </w:rPr>
              <w:t xml:space="preserve"> International voor het uitvoeren van de regelingen DRIVE, </w:t>
            </w:r>
            <w:proofErr w:type="spellStart"/>
            <w:r w:rsidRPr="00B1445C">
              <w:rPr>
                <w:b/>
                <w:bCs/>
                <w:sz w:val="24"/>
                <w:szCs w:val="24"/>
              </w:rPr>
              <w:t>Develop</w:t>
            </w:r>
            <w:proofErr w:type="spellEnd"/>
            <w:r w:rsidRPr="00B1445C">
              <w:rPr>
                <w:b/>
                <w:bCs/>
                <w:sz w:val="24"/>
                <w:szCs w:val="24"/>
              </w:rPr>
              <w:t xml:space="preserve"> </w:t>
            </w:r>
            <w:proofErr w:type="spellStart"/>
            <w:r w:rsidRPr="00B1445C">
              <w:rPr>
                <w:b/>
                <w:bCs/>
                <w:sz w:val="24"/>
                <w:szCs w:val="24"/>
              </w:rPr>
              <w:t>to</w:t>
            </w:r>
            <w:proofErr w:type="spellEnd"/>
            <w:r w:rsidRPr="00B1445C">
              <w:rPr>
                <w:b/>
                <w:bCs/>
                <w:sz w:val="24"/>
                <w:szCs w:val="24"/>
              </w:rPr>
              <w:t xml:space="preserve"> </w:t>
            </w:r>
            <w:proofErr w:type="spellStart"/>
            <w:r w:rsidRPr="00B1445C">
              <w:rPr>
                <w:b/>
                <w:bCs/>
                <w:sz w:val="24"/>
                <w:szCs w:val="24"/>
              </w:rPr>
              <w:t>Build</w:t>
            </w:r>
            <w:proofErr w:type="spellEnd"/>
            <w:r w:rsidRPr="00B1445C">
              <w:rPr>
                <w:b/>
                <w:bCs/>
                <w:sz w:val="24"/>
                <w:szCs w:val="24"/>
              </w:rPr>
              <w:t xml:space="preserve"> en ORIO (€7,4 miljoen).</w:t>
            </w:r>
          </w:p>
        </w:tc>
      </w:tr>
      <w:tr w:rsidRPr="00B1445C" w:rsidR="00B1445C" w:rsidTr="00B1445C" w14:paraId="6E38A2FE" w14:textId="77777777">
        <w:tc>
          <w:tcPr>
            <w:tcW w:w="567" w:type="dxa"/>
          </w:tcPr>
          <w:p w:rsidRPr="00B1445C" w:rsidR="00B1445C" w:rsidRDefault="00B1445C" w14:paraId="348B4854" w14:textId="77777777">
            <w:pPr>
              <w:rPr>
                <w:sz w:val="24"/>
                <w:szCs w:val="24"/>
              </w:rPr>
            </w:pPr>
            <w:r w:rsidRPr="00B1445C">
              <w:rPr>
                <w:sz w:val="24"/>
                <w:szCs w:val="24"/>
              </w:rPr>
              <w:t>16</w:t>
            </w:r>
          </w:p>
        </w:tc>
        <w:tc>
          <w:tcPr>
            <w:tcW w:w="6521" w:type="dxa"/>
          </w:tcPr>
          <w:p w:rsidRPr="00B1445C" w:rsidR="00B1445C" w:rsidRDefault="00B1445C" w14:paraId="3AE0572C" w14:textId="77777777">
            <w:pPr>
              <w:rPr>
                <w:sz w:val="24"/>
                <w:szCs w:val="24"/>
              </w:rPr>
            </w:pPr>
            <w:r w:rsidRPr="00B1445C">
              <w:rPr>
                <w:sz w:val="24"/>
                <w:szCs w:val="24"/>
              </w:rPr>
              <w:t xml:space="preserve">Klopt het dat de geplande bijdragen voor 2025 aan </w:t>
            </w:r>
            <w:proofErr w:type="spellStart"/>
            <w:r w:rsidRPr="00B1445C">
              <w:rPr>
                <w:sz w:val="24"/>
                <w:szCs w:val="24"/>
              </w:rPr>
              <w:t>landenspecifieke</w:t>
            </w:r>
            <w:proofErr w:type="spellEnd"/>
            <w:r w:rsidRPr="00B1445C">
              <w:rPr>
                <w:sz w:val="24"/>
                <w:szCs w:val="24"/>
              </w:rPr>
              <w:t xml:space="preserve"> VN-fondsen al in 2024 gedaan zijn? Betekent dit dat de Nederlandse bijdrage aan deze fondsen in 2025 vervalt? In andere woorden: is deze extra bijdrage in 2024 vervangend of aanvullend?</w:t>
            </w:r>
          </w:p>
          <w:p w:rsidRPr="00B1445C" w:rsidR="00B1445C" w:rsidRDefault="00B1445C" w14:paraId="16CF32EC" w14:textId="77777777">
            <w:pPr>
              <w:rPr>
                <w:sz w:val="24"/>
                <w:szCs w:val="24"/>
              </w:rPr>
            </w:pPr>
          </w:p>
          <w:p w:rsidRPr="00B1445C" w:rsidR="00B1445C" w:rsidP="00850E35" w:rsidRDefault="00B1445C" w14:paraId="7396741D" w14:textId="1EAEB3D8">
            <w:pPr>
              <w:rPr>
                <w:b/>
                <w:bCs/>
                <w:sz w:val="24"/>
                <w:szCs w:val="24"/>
              </w:rPr>
            </w:pPr>
            <w:r w:rsidRPr="00B1445C">
              <w:rPr>
                <w:b/>
                <w:bCs/>
                <w:sz w:val="24"/>
                <w:szCs w:val="24"/>
              </w:rPr>
              <w:t>Antwoord:</w:t>
            </w:r>
          </w:p>
          <w:p w:rsidRPr="00B1445C" w:rsidR="00B1445C" w:rsidP="00850E35" w:rsidRDefault="00B1445C" w14:paraId="7CFFB8B6" w14:textId="78A7DCA0">
            <w:pPr>
              <w:rPr>
                <w:b/>
                <w:sz w:val="24"/>
                <w:szCs w:val="24"/>
              </w:rPr>
            </w:pPr>
            <w:r w:rsidRPr="00B1445C">
              <w:rPr>
                <w:b/>
                <w:sz w:val="24"/>
                <w:szCs w:val="24"/>
              </w:rPr>
              <w:t>De genoemde bijdragen</w:t>
            </w:r>
            <w:r w:rsidRPr="00B1445C" w:rsidDel="00570B0F">
              <w:rPr>
                <w:b/>
                <w:sz w:val="24"/>
                <w:szCs w:val="24"/>
              </w:rPr>
              <w:t xml:space="preserve"> </w:t>
            </w:r>
            <w:r w:rsidRPr="00B1445C">
              <w:rPr>
                <w:b/>
                <w:sz w:val="24"/>
                <w:szCs w:val="24"/>
              </w:rPr>
              <w:t>zijn gedaan voor de lopende meerjarige verplichtingen en betreft een technische schuif op betaalritme om beschikbare middelen in het lopende jaar zo goed mogelijk te benutten.</w:t>
            </w:r>
          </w:p>
          <w:p w:rsidRPr="00B1445C" w:rsidR="00B1445C" w:rsidP="0085365D" w:rsidRDefault="00B1445C" w14:paraId="5E62920F" w14:textId="6D4AFA78">
            <w:pPr>
              <w:rPr>
                <w:sz w:val="24"/>
                <w:szCs w:val="24"/>
              </w:rPr>
            </w:pPr>
            <w:r w:rsidRPr="00B1445C">
              <w:rPr>
                <w:b/>
                <w:sz w:val="24"/>
                <w:szCs w:val="24"/>
              </w:rPr>
              <w:t xml:space="preserve">Over de aanwending van het humanitair budget volgend jaar zal ik de Kamer begin 2025 nader informeren, zoals aangekondigd in de begroting.  </w:t>
            </w:r>
          </w:p>
        </w:tc>
      </w:tr>
      <w:tr w:rsidRPr="00B1445C" w:rsidR="00B1445C" w:rsidTr="00B1445C" w14:paraId="1EE80EEC" w14:textId="77777777">
        <w:tc>
          <w:tcPr>
            <w:tcW w:w="567" w:type="dxa"/>
          </w:tcPr>
          <w:p w:rsidRPr="00B1445C" w:rsidR="00B1445C" w:rsidRDefault="00B1445C" w14:paraId="0DD1E130" w14:textId="77777777">
            <w:pPr>
              <w:rPr>
                <w:sz w:val="24"/>
                <w:szCs w:val="24"/>
              </w:rPr>
            </w:pPr>
            <w:r w:rsidRPr="00B1445C">
              <w:rPr>
                <w:sz w:val="24"/>
                <w:szCs w:val="24"/>
              </w:rPr>
              <w:lastRenderedPageBreak/>
              <w:t>17</w:t>
            </w:r>
          </w:p>
        </w:tc>
        <w:tc>
          <w:tcPr>
            <w:tcW w:w="6521" w:type="dxa"/>
          </w:tcPr>
          <w:p w:rsidRPr="00B1445C" w:rsidR="00B1445C" w:rsidRDefault="00B1445C" w14:paraId="1260D541" w14:textId="77777777">
            <w:pPr>
              <w:rPr>
                <w:sz w:val="24"/>
                <w:szCs w:val="24"/>
              </w:rPr>
            </w:pPr>
            <w:r w:rsidRPr="00B1445C">
              <w:rPr>
                <w:sz w:val="24"/>
                <w:szCs w:val="24"/>
              </w:rPr>
              <w:t>Waarom worden de geplande bijdragen van €19,1 miljoen aan VN-fondsen naar voren gehaald, terwijl dit druk legt op het budget van 2024?</w:t>
            </w:r>
          </w:p>
          <w:p w:rsidRPr="00B1445C" w:rsidR="00B1445C" w:rsidRDefault="00B1445C" w14:paraId="1E06255D" w14:textId="77777777">
            <w:pPr>
              <w:rPr>
                <w:sz w:val="24"/>
                <w:szCs w:val="24"/>
              </w:rPr>
            </w:pPr>
          </w:p>
          <w:p w:rsidRPr="00B1445C" w:rsidR="00B1445C" w:rsidP="00CE0B9D" w:rsidRDefault="00B1445C" w14:paraId="0C0C0EAA" w14:textId="221E3784">
            <w:pPr>
              <w:rPr>
                <w:b/>
                <w:bCs/>
                <w:sz w:val="24"/>
                <w:szCs w:val="24"/>
              </w:rPr>
            </w:pPr>
            <w:r w:rsidRPr="00B1445C">
              <w:rPr>
                <w:b/>
                <w:bCs/>
                <w:sz w:val="24"/>
                <w:szCs w:val="24"/>
              </w:rPr>
              <w:t>Antwoord:</w:t>
            </w:r>
          </w:p>
          <w:p w:rsidRPr="00B1445C" w:rsidR="00B1445C" w:rsidP="00850E35" w:rsidRDefault="00B1445C" w14:paraId="47B8AC1A" w14:textId="7077BB49">
            <w:pPr>
              <w:rPr>
                <w:sz w:val="24"/>
                <w:szCs w:val="24"/>
              </w:rPr>
            </w:pPr>
            <w:r w:rsidRPr="00B1445C">
              <w:rPr>
                <w:b/>
                <w:bCs/>
                <w:sz w:val="24"/>
                <w:szCs w:val="24"/>
              </w:rPr>
              <w:t>Een deel van het budget dat beschikbaar komt door de overboeking vanaf de begroting van Asiel en Migratie in 2024 wordt ingezet voor uitgaven aan humanitaire hulp op artikel 4.1. Door een technische schuif op het betaalritme van lopende verplichtingen worden beschikbare middelen in het lopende jaar zo goed mogelijk benut.</w:t>
            </w:r>
          </w:p>
        </w:tc>
      </w:tr>
      <w:tr w:rsidRPr="00B1445C" w:rsidR="00B1445C" w:rsidTr="00B1445C" w14:paraId="45461AA6" w14:textId="77777777">
        <w:tc>
          <w:tcPr>
            <w:tcW w:w="567" w:type="dxa"/>
          </w:tcPr>
          <w:p w:rsidRPr="00B1445C" w:rsidR="00B1445C" w:rsidRDefault="00B1445C" w14:paraId="47913DEA" w14:textId="77777777">
            <w:pPr>
              <w:rPr>
                <w:sz w:val="24"/>
                <w:szCs w:val="24"/>
              </w:rPr>
            </w:pPr>
            <w:r w:rsidRPr="00B1445C">
              <w:rPr>
                <w:sz w:val="24"/>
                <w:szCs w:val="24"/>
              </w:rPr>
              <w:t>18</w:t>
            </w:r>
          </w:p>
        </w:tc>
        <w:tc>
          <w:tcPr>
            <w:tcW w:w="6521" w:type="dxa"/>
          </w:tcPr>
          <w:p w:rsidRPr="00B1445C" w:rsidR="00B1445C" w:rsidRDefault="00B1445C" w14:paraId="464348B6" w14:textId="77777777">
            <w:pPr>
              <w:rPr>
                <w:sz w:val="24"/>
                <w:szCs w:val="24"/>
              </w:rPr>
            </w:pPr>
            <w:r w:rsidRPr="00B1445C">
              <w:rPr>
                <w:sz w:val="24"/>
                <w:szCs w:val="24"/>
              </w:rPr>
              <w:t>Wat is de afweging achter de verhoging van €40,5 miljoen in de begroting van Buitenlandse Handel en Ontwikkelingshulp, terwijl er op andere terreinen wordt bezuinigd?</w:t>
            </w:r>
          </w:p>
          <w:p w:rsidRPr="00B1445C" w:rsidR="00B1445C" w:rsidRDefault="00B1445C" w14:paraId="7EDB56D5" w14:textId="77777777">
            <w:pPr>
              <w:rPr>
                <w:sz w:val="24"/>
                <w:szCs w:val="24"/>
              </w:rPr>
            </w:pPr>
          </w:p>
          <w:p w:rsidRPr="00B1445C" w:rsidR="00B1445C" w:rsidP="00850E35" w:rsidRDefault="00B1445C" w14:paraId="2A010D1B" w14:textId="3C58DCBA">
            <w:pPr>
              <w:rPr>
                <w:sz w:val="24"/>
                <w:szCs w:val="24"/>
              </w:rPr>
            </w:pPr>
            <w:r w:rsidRPr="00B1445C">
              <w:rPr>
                <w:b/>
                <w:bCs/>
                <w:sz w:val="24"/>
                <w:szCs w:val="24"/>
              </w:rPr>
              <w:t>Antwoord:</w:t>
            </w:r>
            <w:r w:rsidRPr="00B1445C">
              <w:rPr>
                <w:sz w:val="24"/>
                <w:szCs w:val="24"/>
              </w:rPr>
              <w:br/>
            </w:r>
            <w:r w:rsidRPr="00B1445C">
              <w:rPr>
                <w:b/>
                <w:bCs/>
                <w:sz w:val="24"/>
                <w:szCs w:val="24"/>
              </w:rPr>
              <w:t xml:space="preserve">De mutatie van EUR 40,5 miljoen op de BHO-begroting komt met name door de aanpassing van de raming van de bezetting en prijs bij het COA voor de opvang van eerstejaars asielzoekers uit DAC-landen. Dit leidt conform ODA-systematiek namelijk tot een overboeking in 2024 vanaf de begroting van Asiel en Migratie. Het betreft een mutatie in 2024 en de bezuinigingen uit het Hoofdlijnenakkoord gaan pas in vanaf 2025. </w:t>
            </w:r>
          </w:p>
        </w:tc>
      </w:tr>
      <w:tr w:rsidRPr="00B1445C" w:rsidR="00B1445C" w:rsidTr="00B1445C" w14:paraId="3CB8FF29" w14:textId="77777777">
        <w:tc>
          <w:tcPr>
            <w:tcW w:w="567" w:type="dxa"/>
          </w:tcPr>
          <w:p w:rsidRPr="00B1445C" w:rsidR="00B1445C" w:rsidRDefault="00B1445C" w14:paraId="2D792B52" w14:textId="77777777">
            <w:pPr>
              <w:rPr>
                <w:sz w:val="24"/>
                <w:szCs w:val="24"/>
              </w:rPr>
            </w:pPr>
            <w:r w:rsidRPr="00B1445C">
              <w:rPr>
                <w:sz w:val="24"/>
                <w:szCs w:val="24"/>
              </w:rPr>
              <w:t>19</w:t>
            </w:r>
          </w:p>
        </w:tc>
        <w:tc>
          <w:tcPr>
            <w:tcW w:w="6521" w:type="dxa"/>
          </w:tcPr>
          <w:p w:rsidRPr="00B1445C" w:rsidR="00B1445C" w:rsidRDefault="00B1445C" w14:paraId="36F0EA6D" w14:textId="77777777">
            <w:pPr>
              <w:rPr>
                <w:sz w:val="24"/>
                <w:szCs w:val="24"/>
              </w:rPr>
            </w:pPr>
            <w:r w:rsidRPr="00B1445C">
              <w:rPr>
                <w:sz w:val="24"/>
                <w:szCs w:val="24"/>
              </w:rPr>
              <w:t>Hoe wordt de daling van €7,5 miljoen op IMVO gerechtvaardigd, gezien het belang voor bedrijven voor een goede implementatie van de CSDDD?</w:t>
            </w:r>
          </w:p>
          <w:p w:rsidRPr="00B1445C" w:rsidR="00B1445C" w:rsidRDefault="00B1445C" w14:paraId="5BEB21E1" w14:textId="77777777">
            <w:pPr>
              <w:rPr>
                <w:sz w:val="24"/>
                <w:szCs w:val="24"/>
              </w:rPr>
            </w:pPr>
          </w:p>
          <w:p w:rsidRPr="00B1445C" w:rsidR="00B1445C" w:rsidP="00850E35" w:rsidRDefault="00B1445C" w14:paraId="3C608686" w14:textId="77777777">
            <w:pPr>
              <w:rPr>
                <w:b/>
                <w:bCs/>
                <w:sz w:val="24"/>
                <w:szCs w:val="24"/>
              </w:rPr>
            </w:pPr>
            <w:r w:rsidRPr="00B1445C">
              <w:rPr>
                <w:b/>
                <w:bCs/>
                <w:sz w:val="24"/>
                <w:szCs w:val="24"/>
              </w:rPr>
              <w:t>Antwoord:</w:t>
            </w:r>
          </w:p>
          <w:p w:rsidRPr="00B1445C" w:rsidR="00B1445C" w:rsidP="0085365D" w:rsidRDefault="00B1445C" w14:paraId="1C7FBA8A" w14:textId="38189321">
            <w:pPr>
              <w:rPr>
                <w:sz w:val="24"/>
                <w:szCs w:val="24"/>
              </w:rPr>
            </w:pPr>
            <w:r w:rsidRPr="00B1445C">
              <w:rPr>
                <w:b/>
                <w:bCs/>
                <w:sz w:val="24"/>
                <w:szCs w:val="24"/>
              </w:rPr>
              <w:t xml:space="preserve">In de Kamerbrief over de uitkomst peilmoment sectorale samenwerking (Kamerstuk 26485, nr. 430) van 6 november 2023 is aangegeven dat het instrument sectorale samenwerking wordt herzien. Als gevolg van deze herziening vielen de uitgaven voor dit instrument lager uit dan begroot. De verwachting is nog steeds dat het instrument sectorale samenwerking een belangrijke rol zal spelen in het ondersteunen van bedrijven om gepaste zorgvuldigheid in hun </w:t>
            </w:r>
            <w:proofErr w:type="spellStart"/>
            <w:r w:rsidRPr="00B1445C">
              <w:rPr>
                <w:b/>
                <w:bCs/>
                <w:sz w:val="24"/>
                <w:szCs w:val="24"/>
              </w:rPr>
              <w:t>waardeketens</w:t>
            </w:r>
            <w:proofErr w:type="spellEnd"/>
            <w:r w:rsidRPr="00B1445C">
              <w:rPr>
                <w:b/>
                <w:bCs/>
                <w:sz w:val="24"/>
                <w:szCs w:val="24"/>
              </w:rPr>
              <w:t xml:space="preserve"> toe te passen en als voorbereiding op aanstaande Europese IMVO-wetgeving. De SER heeft juli jl. voor de IMVO-sectorovereenkomsten een </w:t>
            </w:r>
            <w:proofErr w:type="spellStart"/>
            <w:r w:rsidRPr="00B1445C">
              <w:rPr>
                <w:b/>
                <w:bCs/>
                <w:sz w:val="24"/>
                <w:szCs w:val="24"/>
              </w:rPr>
              <w:t>budgetneutrale</w:t>
            </w:r>
            <w:proofErr w:type="spellEnd"/>
            <w:r w:rsidRPr="00B1445C">
              <w:rPr>
                <w:b/>
                <w:bCs/>
                <w:sz w:val="24"/>
                <w:szCs w:val="24"/>
              </w:rPr>
              <w:t xml:space="preserve"> verlenging gekregen tot 2030 en de bijbehorende subsidieregeling bij RVO is in augustus jl. gepubliceerd. De middelen die niet besteed zijn in de afgelopen jaren, zijn bedoeld voor deze verlenging. Daarnaast zijn de middelen voor het MVO-steunpunt opgehoogd dat eveneens een belangrijke rol speelt bij de ondersteuning van bedrijven bij de implementatie van aanstaande Europese IMVO-wetgeving, waaronder de CSDDD.</w:t>
            </w:r>
          </w:p>
        </w:tc>
      </w:tr>
      <w:tr w:rsidRPr="00B1445C" w:rsidR="00B1445C" w:rsidTr="00B1445C" w14:paraId="3AC71222" w14:textId="77777777">
        <w:tc>
          <w:tcPr>
            <w:tcW w:w="567" w:type="dxa"/>
          </w:tcPr>
          <w:p w:rsidRPr="00B1445C" w:rsidR="00B1445C" w:rsidRDefault="00B1445C" w14:paraId="2021900E" w14:textId="77777777">
            <w:pPr>
              <w:rPr>
                <w:sz w:val="24"/>
                <w:szCs w:val="24"/>
              </w:rPr>
            </w:pPr>
            <w:r w:rsidRPr="00B1445C">
              <w:rPr>
                <w:sz w:val="24"/>
                <w:szCs w:val="24"/>
              </w:rPr>
              <w:lastRenderedPageBreak/>
              <w:t>20</w:t>
            </w:r>
          </w:p>
        </w:tc>
        <w:tc>
          <w:tcPr>
            <w:tcW w:w="6521" w:type="dxa"/>
          </w:tcPr>
          <w:p w:rsidRPr="00B1445C" w:rsidR="00B1445C" w:rsidRDefault="00B1445C" w14:paraId="384151E3" w14:textId="77777777">
            <w:pPr>
              <w:rPr>
                <w:sz w:val="24"/>
                <w:szCs w:val="24"/>
              </w:rPr>
            </w:pPr>
            <w:r w:rsidRPr="00B1445C">
              <w:rPr>
                <w:sz w:val="24"/>
                <w:szCs w:val="24"/>
              </w:rPr>
              <w:t>Kunt u specificeren waarom een deel van het budget voor speciale multilaterale activiteiten en voor het assistent-deskundigenprogramma niet tot besteding komt?</w:t>
            </w:r>
          </w:p>
          <w:p w:rsidRPr="00B1445C" w:rsidR="00B1445C" w:rsidRDefault="00B1445C" w14:paraId="42C9E547" w14:textId="77777777">
            <w:pPr>
              <w:rPr>
                <w:sz w:val="24"/>
                <w:szCs w:val="24"/>
              </w:rPr>
            </w:pPr>
          </w:p>
          <w:p w:rsidRPr="00B1445C" w:rsidR="00B1445C" w:rsidP="00850E35" w:rsidRDefault="00B1445C" w14:paraId="2D016834" w14:textId="77777777">
            <w:pPr>
              <w:rPr>
                <w:b/>
                <w:bCs/>
                <w:sz w:val="24"/>
                <w:szCs w:val="24"/>
              </w:rPr>
            </w:pPr>
            <w:r w:rsidRPr="00B1445C">
              <w:rPr>
                <w:b/>
                <w:bCs/>
                <w:sz w:val="24"/>
                <w:szCs w:val="24"/>
              </w:rPr>
              <w:t>Antwoord:</w:t>
            </w:r>
          </w:p>
          <w:p w:rsidRPr="00B1445C" w:rsidR="00B1445C" w:rsidP="00FE0192" w:rsidRDefault="00B1445C" w14:paraId="4CF999FE" w14:textId="1B465849">
            <w:pPr>
              <w:rPr>
                <w:b/>
                <w:sz w:val="24"/>
                <w:szCs w:val="24"/>
              </w:rPr>
            </w:pPr>
            <w:r w:rsidRPr="00B1445C">
              <w:rPr>
                <w:b/>
                <w:sz w:val="24"/>
                <w:szCs w:val="24"/>
              </w:rPr>
              <w:t xml:space="preserve">De terughoudendheid in het aangaan van nieuwe meerjarige verplichtingen </w:t>
            </w:r>
            <w:r w:rsidRPr="00B1445C">
              <w:rPr>
                <w:b/>
                <w:bCs/>
                <w:sz w:val="24"/>
                <w:szCs w:val="24"/>
              </w:rPr>
              <w:t>houdt</w:t>
            </w:r>
            <w:r w:rsidRPr="00B1445C">
              <w:rPr>
                <w:b/>
                <w:sz w:val="24"/>
                <w:szCs w:val="24"/>
              </w:rPr>
              <w:t xml:space="preserve"> verband </w:t>
            </w:r>
            <w:r w:rsidRPr="00B1445C">
              <w:rPr>
                <w:b/>
                <w:bCs/>
                <w:sz w:val="24"/>
                <w:szCs w:val="24"/>
              </w:rPr>
              <w:t xml:space="preserve">met </w:t>
            </w:r>
            <w:r w:rsidRPr="00B1445C">
              <w:rPr>
                <w:b/>
                <w:sz w:val="24"/>
                <w:szCs w:val="24"/>
              </w:rPr>
              <w:t>de kabinetsbezuinigingen</w:t>
            </w:r>
            <w:r w:rsidRPr="00B1445C">
              <w:rPr>
                <w:b/>
                <w:bCs/>
                <w:sz w:val="24"/>
                <w:szCs w:val="24"/>
              </w:rPr>
              <w:t>. Dit</w:t>
            </w:r>
            <w:r w:rsidRPr="00B1445C">
              <w:rPr>
                <w:b/>
                <w:sz w:val="24"/>
                <w:szCs w:val="24"/>
              </w:rPr>
              <w:t xml:space="preserve"> heeft reeds in 2024 geleid tot een verlaging van uitgaven aan diverse multilaterale activiteiten en aan het assistent-deskundigenprogramma.</w:t>
            </w:r>
          </w:p>
          <w:p w:rsidRPr="00B1445C" w:rsidR="00B1445C" w:rsidP="00850E35" w:rsidRDefault="00B1445C" w14:paraId="42A0197D" w14:textId="26BA4E87">
            <w:pPr>
              <w:rPr>
                <w:sz w:val="24"/>
                <w:szCs w:val="24"/>
              </w:rPr>
            </w:pPr>
          </w:p>
        </w:tc>
      </w:tr>
      <w:tr w:rsidRPr="00B1445C" w:rsidR="00B1445C" w:rsidTr="00B1445C" w14:paraId="18EFF2E5" w14:textId="77777777">
        <w:tc>
          <w:tcPr>
            <w:tcW w:w="567" w:type="dxa"/>
          </w:tcPr>
          <w:p w:rsidRPr="00B1445C" w:rsidR="00B1445C" w:rsidRDefault="00B1445C" w14:paraId="020F6F4F" w14:textId="77777777">
            <w:pPr>
              <w:rPr>
                <w:sz w:val="24"/>
                <w:szCs w:val="24"/>
              </w:rPr>
            </w:pPr>
            <w:r w:rsidRPr="00B1445C">
              <w:rPr>
                <w:sz w:val="24"/>
                <w:szCs w:val="24"/>
              </w:rPr>
              <w:t>21</w:t>
            </w:r>
          </w:p>
        </w:tc>
        <w:tc>
          <w:tcPr>
            <w:tcW w:w="6521" w:type="dxa"/>
          </w:tcPr>
          <w:p w:rsidRPr="00B1445C" w:rsidR="00B1445C" w:rsidRDefault="00B1445C" w14:paraId="2437513A" w14:textId="77777777">
            <w:pPr>
              <w:rPr>
                <w:sz w:val="24"/>
                <w:szCs w:val="24"/>
              </w:rPr>
            </w:pPr>
            <w:r w:rsidRPr="00B1445C">
              <w:rPr>
                <w:sz w:val="24"/>
                <w:szCs w:val="24"/>
              </w:rPr>
              <w:t>Wanneer zullen de verdragsmiddelen voor Suriname tot besteding komen en wat is het totale budget hiervoor?</w:t>
            </w:r>
          </w:p>
          <w:p w:rsidRPr="00B1445C" w:rsidR="00B1445C" w:rsidRDefault="00B1445C" w14:paraId="583C2884" w14:textId="77777777">
            <w:pPr>
              <w:rPr>
                <w:sz w:val="24"/>
                <w:szCs w:val="24"/>
              </w:rPr>
            </w:pPr>
          </w:p>
          <w:p w:rsidRPr="00B1445C" w:rsidR="00B1445C" w:rsidP="00850E35" w:rsidRDefault="00B1445C" w14:paraId="42D6F8BC" w14:textId="77777777">
            <w:pPr>
              <w:rPr>
                <w:b/>
                <w:bCs/>
                <w:sz w:val="24"/>
                <w:szCs w:val="24"/>
              </w:rPr>
            </w:pPr>
            <w:r w:rsidRPr="00B1445C">
              <w:rPr>
                <w:b/>
                <w:bCs/>
                <w:sz w:val="24"/>
                <w:szCs w:val="24"/>
              </w:rPr>
              <w:t>Antwoord:</w:t>
            </w:r>
          </w:p>
          <w:p w:rsidRPr="00B1445C" w:rsidR="00B1445C" w:rsidP="00850E35" w:rsidRDefault="00B1445C" w14:paraId="68867C29" w14:textId="5BCE77A4">
            <w:pPr>
              <w:rPr>
                <w:b/>
                <w:bCs/>
                <w:sz w:val="24"/>
                <w:szCs w:val="24"/>
              </w:rPr>
            </w:pPr>
            <w:r w:rsidRPr="00B1445C">
              <w:rPr>
                <w:b/>
                <w:bCs/>
                <w:sz w:val="24"/>
                <w:szCs w:val="24"/>
              </w:rPr>
              <w:t xml:space="preserve">Het budget dat bij de 2e suppletoire begroting 2024 wordt afgeboekt (EUR 6,3 miljoen in 2024) zal de aankomende jaren beschikbaar blijven, conform de uitvoering van het verdrag. In totaal is nog EUR 9,7 miljoen beschikbaar voor Suriname vanuit de Verdragsmiddelen, waarvan EUR 3,4 miljoen reeds gecommitteerd en begroot is. Nederland en Suriname werken aan een zo spoedige mogelijke besteding van de Verdragsmiddelen. </w:t>
            </w:r>
          </w:p>
          <w:p w:rsidRPr="00B1445C" w:rsidR="00B1445C" w:rsidP="00850E35" w:rsidRDefault="00B1445C" w14:paraId="252DCBB8" w14:textId="2582ECA4">
            <w:pPr>
              <w:rPr>
                <w:sz w:val="24"/>
                <w:szCs w:val="24"/>
              </w:rPr>
            </w:pPr>
          </w:p>
        </w:tc>
      </w:tr>
      <w:tr w:rsidRPr="00B1445C" w:rsidR="00B1445C" w:rsidTr="00B1445C" w14:paraId="2CC84ACC" w14:textId="77777777">
        <w:tc>
          <w:tcPr>
            <w:tcW w:w="567" w:type="dxa"/>
          </w:tcPr>
          <w:p w:rsidRPr="00B1445C" w:rsidR="00B1445C" w:rsidRDefault="00B1445C" w14:paraId="48460CB7" w14:textId="77777777">
            <w:pPr>
              <w:rPr>
                <w:sz w:val="24"/>
                <w:szCs w:val="24"/>
              </w:rPr>
            </w:pPr>
            <w:r w:rsidRPr="00B1445C">
              <w:rPr>
                <w:sz w:val="24"/>
                <w:szCs w:val="24"/>
              </w:rPr>
              <w:t>22</w:t>
            </w:r>
          </w:p>
        </w:tc>
        <w:tc>
          <w:tcPr>
            <w:tcW w:w="6521" w:type="dxa"/>
          </w:tcPr>
          <w:p w:rsidRPr="00B1445C" w:rsidR="00B1445C" w:rsidRDefault="00B1445C" w14:paraId="3AB8A301" w14:textId="77777777">
            <w:pPr>
              <w:rPr>
                <w:sz w:val="24"/>
                <w:szCs w:val="24"/>
              </w:rPr>
            </w:pPr>
            <w:r w:rsidRPr="00B1445C">
              <w:rPr>
                <w:sz w:val="24"/>
                <w:szCs w:val="24"/>
              </w:rPr>
              <w:t>Wat is de reden van de daling van €6,3 miljoen in verdragsmiddelen voor Suriname, terwijl dit budget al gepland was?</w:t>
            </w:r>
          </w:p>
          <w:p w:rsidRPr="00B1445C" w:rsidR="00B1445C" w:rsidRDefault="00B1445C" w14:paraId="634DCC62" w14:textId="77777777">
            <w:pPr>
              <w:rPr>
                <w:sz w:val="24"/>
                <w:szCs w:val="24"/>
              </w:rPr>
            </w:pPr>
          </w:p>
          <w:p w:rsidRPr="00B1445C" w:rsidR="00B1445C" w:rsidP="00850E35" w:rsidRDefault="00B1445C" w14:paraId="0501D9BF" w14:textId="16A37843">
            <w:pPr>
              <w:rPr>
                <w:b/>
                <w:bCs/>
                <w:sz w:val="24"/>
                <w:szCs w:val="24"/>
              </w:rPr>
            </w:pPr>
            <w:r w:rsidRPr="00B1445C">
              <w:rPr>
                <w:b/>
                <w:bCs/>
                <w:sz w:val="24"/>
                <w:szCs w:val="24"/>
              </w:rPr>
              <w:t xml:space="preserve">Antwoord: </w:t>
            </w:r>
          </w:p>
          <w:p w:rsidRPr="00B1445C" w:rsidR="00B1445C" w:rsidP="00850E35" w:rsidRDefault="00B1445C" w14:paraId="520ED1D8" w14:textId="326DABA2">
            <w:pPr>
              <w:rPr>
                <w:b/>
                <w:bCs/>
                <w:sz w:val="24"/>
                <w:szCs w:val="24"/>
              </w:rPr>
            </w:pPr>
            <w:r w:rsidRPr="00B1445C">
              <w:rPr>
                <w:b/>
                <w:bCs/>
                <w:sz w:val="24"/>
                <w:szCs w:val="24"/>
              </w:rPr>
              <w:t xml:space="preserve">De EUR 6,3 miljoen van Verdragsmiddelen die begroot stond voor 2024 zal de aankomende jaren beschikbaar blijven, conform de uitvoering van het verdrag. Het budget is in 2024 niet tot besteding gekomen omdat het niet gelukt is om tijdig tot overeenstemming te komen over de uitputting van deze middelen. Nederland en Suriname werken aan een zo spoedig mogelijke besteding van de resterende Verdragsmiddelen.  </w:t>
            </w:r>
          </w:p>
          <w:p w:rsidRPr="00B1445C" w:rsidR="00B1445C" w:rsidP="00850E35" w:rsidRDefault="00B1445C" w14:paraId="426293EF" w14:textId="678432DF">
            <w:pPr>
              <w:rPr>
                <w:sz w:val="24"/>
                <w:szCs w:val="24"/>
              </w:rPr>
            </w:pPr>
          </w:p>
        </w:tc>
      </w:tr>
      <w:tr w:rsidRPr="00B1445C" w:rsidR="00B1445C" w:rsidTr="00B1445C" w14:paraId="4F58F370" w14:textId="77777777">
        <w:tc>
          <w:tcPr>
            <w:tcW w:w="567" w:type="dxa"/>
          </w:tcPr>
          <w:p w:rsidRPr="00B1445C" w:rsidR="00B1445C" w:rsidRDefault="00B1445C" w14:paraId="1AEA44E2" w14:textId="77777777">
            <w:pPr>
              <w:rPr>
                <w:sz w:val="24"/>
                <w:szCs w:val="24"/>
              </w:rPr>
            </w:pPr>
            <w:r w:rsidRPr="00B1445C">
              <w:rPr>
                <w:sz w:val="24"/>
                <w:szCs w:val="24"/>
              </w:rPr>
              <w:t>23</w:t>
            </w:r>
          </w:p>
        </w:tc>
        <w:tc>
          <w:tcPr>
            <w:tcW w:w="6521" w:type="dxa"/>
          </w:tcPr>
          <w:p w:rsidRPr="00B1445C" w:rsidR="00B1445C" w:rsidRDefault="00B1445C" w14:paraId="02FAD6AE" w14:textId="77777777">
            <w:pPr>
              <w:rPr>
                <w:sz w:val="24"/>
                <w:szCs w:val="24"/>
              </w:rPr>
            </w:pPr>
            <w:r w:rsidRPr="00B1445C">
              <w:rPr>
                <w:sz w:val="24"/>
                <w:szCs w:val="24"/>
              </w:rPr>
              <w:t>Hoeveel containerscanners kan Nederland op welke termijn leveren met de extra bijdrage aan het Stabiliteitsfonds voor Gaza?</w:t>
            </w:r>
          </w:p>
          <w:p w:rsidRPr="00B1445C" w:rsidR="00B1445C" w:rsidRDefault="00B1445C" w14:paraId="6C57512D" w14:textId="77777777">
            <w:pPr>
              <w:rPr>
                <w:sz w:val="24"/>
                <w:szCs w:val="24"/>
              </w:rPr>
            </w:pPr>
          </w:p>
          <w:p w:rsidRPr="00B1445C" w:rsidR="00B1445C" w:rsidP="00850E35" w:rsidRDefault="00B1445C" w14:paraId="424CA4F5" w14:textId="77777777">
            <w:pPr>
              <w:rPr>
                <w:b/>
                <w:bCs/>
                <w:sz w:val="24"/>
                <w:szCs w:val="24"/>
              </w:rPr>
            </w:pPr>
            <w:r w:rsidRPr="00B1445C">
              <w:rPr>
                <w:b/>
                <w:bCs/>
                <w:sz w:val="24"/>
                <w:szCs w:val="24"/>
              </w:rPr>
              <w:t>Antwoord:</w:t>
            </w:r>
          </w:p>
          <w:p w:rsidRPr="00B1445C" w:rsidR="00B1445C" w:rsidP="00052259" w:rsidRDefault="00B1445C" w14:paraId="6190F35F" w14:textId="4A0D3A04">
            <w:pPr>
              <w:rPr>
                <w:b/>
                <w:bCs/>
                <w:sz w:val="24"/>
                <w:szCs w:val="24"/>
              </w:rPr>
            </w:pPr>
            <w:r w:rsidRPr="00B1445C">
              <w:rPr>
                <w:b/>
                <w:bCs/>
                <w:sz w:val="24"/>
                <w:szCs w:val="24"/>
              </w:rPr>
              <w:t xml:space="preserve">Een levering aan Israël van twee door Nederland gefinancierde palletscanners voor het versnellen van humanitaire landtoegang is reeds via VN-organisatie UNOPS in gang gezet. Gezien de levertijd van enkele maanden kunnen deze naar </w:t>
            </w:r>
            <w:r w:rsidRPr="00B1445C">
              <w:rPr>
                <w:b/>
                <w:bCs/>
                <w:sz w:val="24"/>
                <w:szCs w:val="24"/>
              </w:rPr>
              <w:lastRenderedPageBreak/>
              <w:t>verwachting uiterlijk in maart 2025 operationeel zijn. Daarbij gaat het om nadere inspectie van kleinere pakketten.</w:t>
            </w:r>
          </w:p>
          <w:p w:rsidRPr="00B1445C" w:rsidR="00B1445C" w:rsidP="00052259" w:rsidRDefault="00B1445C" w14:paraId="0A248DBA" w14:textId="13186762">
            <w:pPr>
              <w:rPr>
                <w:b/>
                <w:bCs/>
                <w:sz w:val="24"/>
                <w:szCs w:val="24"/>
              </w:rPr>
            </w:pPr>
            <w:r w:rsidRPr="00B1445C">
              <w:rPr>
                <w:b/>
                <w:bCs/>
                <w:sz w:val="24"/>
                <w:szCs w:val="24"/>
              </w:rPr>
              <w:t xml:space="preserve">In reactie op het Nederlandse aanbod van een truckscanner voor grotere humanitaire hulpgoederen heeft Israël dit voorjaar aangegeven in voldoende mate over deze vorm van scancapaciteit te beschikken. Een Nederlandse donatie van een dergelijke scanner voor humanitaire hulpverlening is op dit moment dan ook niet aan de orde. </w:t>
            </w:r>
          </w:p>
          <w:p w:rsidRPr="00B1445C" w:rsidR="00B1445C" w:rsidP="00850E35" w:rsidRDefault="00B1445C" w14:paraId="28616499" w14:textId="5E3D6502">
            <w:pPr>
              <w:rPr>
                <w:sz w:val="24"/>
                <w:szCs w:val="24"/>
              </w:rPr>
            </w:pPr>
          </w:p>
        </w:tc>
      </w:tr>
      <w:tr w:rsidRPr="00B1445C" w:rsidR="00B1445C" w:rsidTr="00B1445C" w14:paraId="38A7C18B" w14:textId="77777777">
        <w:tc>
          <w:tcPr>
            <w:tcW w:w="567" w:type="dxa"/>
          </w:tcPr>
          <w:p w:rsidRPr="00B1445C" w:rsidR="00B1445C" w:rsidRDefault="00B1445C" w14:paraId="22800208" w14:textId="77777777">
            <w:pPr>
              <w:rPr>
                <w:sz w:val="24"/>
                <w:szCs w:val="24"/>
              </w:rPr>
            </w:pPr>
            <w:r w:rsidRPr="00B1445C">
              <w:rPr>
                <w:sz w:val="24"/>
                <w:szCs w:val="24"/>
              </w:rPr>
              <w:lastRenderedPageBreak/>
              <w:t>24</w:t>
            </w:r>
          </w:p>
        </w:tc>
        <w:tc>
          <w:tcPr>
            <w:tcW w:w="6521" w:type="dxa"/>
          </w:tcPr>
          <w:p w:rsidRPr="00B1445C" w:rsidR="00B1445C" w:rsidRDefault="00B1445C" w14:paraId="1F20D505" w14:textId="77777777">
            <w:pPr>
              <w:rPr>
                <w:sz w:val="24"/>
                <w:szCs w:val="24"/>
              </w:rPr>
            </w:pPr>
            <w:r w:rsidRPr="00B1445C">
              <w:rPr>
                <w:sz w:val="24"/>
                <w:szCs w:val="24"/>
              </w:rPr>
              <w:t>Kunt u toelichten wat de reden is dat er €3 miljoen minder wordt uitgegeven voor het versterken van de concurrentiepositie van Nederland?</w:t>
            </w:r>
          </w:p>
          <w:p w:rsidRPr="00B1445C" w:rsidR="00B1445C" w:rsidRDefault="00B1445C" w14:paraId="09037CAD" w14:textId="77777777">
            <w:pPr>
              <w:rPr>
                <w:sz w:val="24"/>
                <w:szCs w:val="24"/>
              </w:rPr>
            </w:pPr>
          </w:p>
          <w:p w:rsidRPr="00B1445C" w:rsidR="00B1445C" w:rsidP="00850E35" w:rsidRDefault="00B1445C" w14:paraId="5E748065" w14:textId="77777777">
            <w:pPr>
              <w:rPr>
                <w:b/>
                <w:bCs/>
                <w:sz w:val="24"/>
                <w:szCs w:val="24"/>
              </w:rPr>
            </w:pPr>
            <w:r w:rsidRPr="00B1445C">
              <w:rPr>
                <w:b/>
                <w:bCs/>
                <w:sz w:val="24"/>
                <w:szCs w:val="24"/>
              </w:rPr>
              <w:t>Antwoord:</w:t>
            </w:r>
          </w:p>
          <w:p w:rsidRPr="00B1445C" w:rsidR="00B1445C" w:rsidP="00850E35" w:rsidRDefault="00B1445C" w14:paraId="366E8659" w14:textId="731A62C3">
            <w:pPr>
              <w:rPr>
                <w:b/>
                <w:sz w:val="24"/>
                <w:szCs w:val="24"/>
              </w:rPr>
            </w:pPr>
            <w:r w:rsidRPr="00B1445C">
              <w:rPr>
                <w:b/>
                <w:bCs/>
                <w:sz w:val="24"/>
                <w:szCs w:val="24"/>
              </w:rPr>
              <w:t xml:space="preserve">Dit betreft een budgettaire schuif binnen hetzelfde begrotingsartikel in het kader van de BHO steun aan Publiek-Private Samenwerking ten behoeve van het internationale verdienvermogen. Het betreft een schuif van EUR 3 miljoen vanuit het budget voor subsidies voor versterking Nederlands concurrentievermogen in het buitenland naar het budget voor opdrachten voor internationale handelsbevordering. Het budget blijft ten goede komen aan dezelfde concurrentievermogen-doelstelling, middels nieuw PPS-instrumentarium toegevoegd aan de RVO opdracht en aangestuurd vanuit het PPS-Regieteam. </w:t>
            </w:r>
          </w:p>
          <w:p w:rsidRPr="00B1445C" w:rsidR="00B1445C" w:rsidP="00850E35" w:rsidRDefault="00B1445C" w14:paraId="23DAA76D" w14:textId="4DBC9F55">
            <w:pPr>
              <w:rPr>
                <w:sz w:val="24"/>
                <w:szCs w:val="24"/>
              </w:rPr>
            </w:pPr>
          </w:p>
        </w:tc>
      </w:tr>
      <w:tr w:rsidRPr="00B1445C" w:rsidR="00B1445C" w:rsidTr="00B1445C" w14:paraId="3AC047EB" w14:textId="77777777">
        <w:tc>
          <w:tcPr>
            <w:tcW w:w="567" w:type="dxa"/>
          </w:tcPr>
          <w:p w:rsidRPr="00B1445C" w:rsidR="00B1445C" w:rsidP="00EF7520" w:rsidRDefault="00B1445C" w14:paraId="16B8B8AE" w14:textId="77777777">
            <w:pPr>
              <w:rPr>
                <w:sz w:val="24"/>
                <w:szCs w:val="24"/>
              </w:rPr>
            </w:pPr>
            <w:r w:rsidRPr="00B1445C">
              <w:rPr>
                <w:sz w:val="24"/>
                <w:szCs w:val="24"/>
              </w:rPr>
              <w:t>25</w:t>
            </w:r>
          </w:p>
        </w:tc>
        <w:tc>
          <w:tcPr>
            <w:tcW w:w="6521" w:type="dxa"/>
          </w:tcPr>
          <w:p w:rsidRPr="00B1445C" w:rsidR="00B1445C" w:rsidP="00EF7520" w:rsidRDefault="00B1445C" w14:paraId="6BC4F4D1" w14:textId="77777777">
            <w:pPr>
              <w:rPr>
                <w:sz w:val="24"/>
                <w:szCs w:val="24"/>
              </w:rPr>
            </w:pPr>
            <w:r w:rsidRPr="00B1445C">
              <w:rPr>
                <w:sz w:val="24"/>
                <w:szCs w:val="24"/>
              </w:rPr>
              <w:t>Hoe kunnen de extra middelen in artikel 1 worden ingezet om de economische voordelen voor Nederland te maximaliseren?</w:t>
            </w:r>
          </w:p>
          <w:p w:rsidRPr="00B1445C" w:rsidR="00B1445C" w:rsidP="00EF7520" w:rsidRDefault="00B1445C" w14:paraId="1DDD5BCF" w14:textId="77777777">
            <w:pPr>
              <w:rPr>
                <w:sz w:val="24"/>
                <w:szCs w:val="24"/>
              </w:rPr>
            </w:pPr>
          </w:p>
          <w:p w:rsidRPr="00B1445C" w:rsidR="00B1445C" w:rsidP="00850E35" w:rsidRDefault="00B1445C" w14:paraId="124A77C5" w14:textId="77777777">
            <w:pPr>
              <w:rPr>
                <w:b/>
                <w:bCs/>
                <w:sz w:val="24"/>
                <w:szCs w:val="24"/>
              </w:rPr>
            </w:pPr>
            <w:r w:rsidRPr="00B1445C">
              <w:rPr>
                <w:b/>
                <w:bCs/>
                <w:sz w:val="24"/>
                <w:szCs w:val="24"/>
              </w:rPr>
              <w:t>Antwoord:</w:t>
            </w:r>
          </w:p>
          <w:p w:rsidRPr="00B1445C" w:rsidR="00B1445C" w:rsidP="00850E35" w:rsidRDefault="00B1445C" w14:paraId="313686BB" w14:textId="57447BFC">
            <w:pPr>
              <w:rPr>
                <w:b/>
                <w:bCs/>
                <w:sz w:val="24"/>
                <w:szCs w:val="24"/>
              </w:rPr>
            </w:pPr>
            <w:r w:rsidRPr="00B1445C">
              <w:rPr>
                <w:b/>
                <w:bCs/>
                <w:sz w:val="24"/>
                <w:szCs w:val="24"/>
              </w:rPr>
              <w:t>Zie antwoord vraag 15. De extra middelen worden onder andere ingezet voor infrastructurele programma’s, zoals DRIVE dat zich vooral richt op het Nederlandse bedrijfsleven.</w:t>
            </w:r>
          </w:p>
          <w:p w:rsidRPr="00B1445C" w:rsidR="00B1445C" w:rsidP="00850E35" w:rsidRDefault="00B1445C" w14:paraId="4791B41E" w14:textId="72E02D75">
            <w:pPr>
              <w:rPr>
                <w:sz w:val="24"/>
                <w:szCs w:val="24"/>
              </w:rPr>
            </w:pPr>
          </w:p>
        </w:tc>
      </w:tr>
      <w:tr w:rsidRPr="00B1445C" w:rsidR="00B1445C" w:rsidTr="00B1445C" w14:paraId="482830FC" w14:textId="77777777">
        <w:tc>
          <w:tcPr>
            <w:tcW w:w="567" w:type="dxa"/>
          </w:tcPr>
          <w:p w:rsidRPr="00B1445C" w:rsidR="00B1445C" w:rsidP="00EF7520" w:rsidRDefault="00B1445C" w14:paraId="7D93DD2E" w14:textId="77777777">
            <w:pPr>
              <w:rPr>
                <w:sz w:val="24"/>
                <w:szCs w:val="24"/>
              </w:rPr>
            </w:pPr>
            <w:r w:rsidRPr="00B1445C">
              <w:rPr>
                <w:sz w:val="24"/>
                <w:szCs w:val="24"/>
              </w:rPr>
              <w:t>26</w:t>
            </w:r>
          </w:p>
        </w:tc>
        <w:tc>
          <w:tcPr>
            <w:tcW w:w="6521" w:type="dxa"/>
          </w:tcPr>
          <w:p w:rsidRPr="00B1445C" w:rsidR="00B1445C" w:rsidP="00EF7520" w:rsidRDefault="00B1445C" w14:paraId="72FE13D0" w14:textId="77777777">
            <w:pPr>
              <w:rPr>
                <w:sz w:val="24"/>
                <w:szCs w:val="24"/>
              </w:rPr>
            </w:pPr>
            <w:r w:rsidRPr="00B1445C">
              <w:rPr>
                <w:sz w:val="24"/>
                <w:szCs w:val="24"/>
              </w:rPr>
              <w:t>Wat is de reden voor de lagere uitgaven aan financiële sectorontwikkeling binnen artikel 1.3, ondanks de rol van een sterke financiële sector in economische groei?</w:t>
            </w:r>
          </w:p>
          <w:p w:rsidRPr="00B1445C" w:rsidR="00B1445C" w:rsidP="00EF7520" w:rsidRDefault="00B1445C" w14:paraId="11752DE4" w14:textId="77777777">
            <w:pPr>
              <w:rPr>
                <w:sz w:val="24"/>
                <w:szCs w:val="24"/>
              </w:rPr>
            </w:pPr>
          </w:p>
          <w:p w:rsidRPr="00B1445C" w:rsidR="00B1445C" w:rsidP="00850E35" w:rsidRDefault="00B1445C" w14:paraId="764FD178" w14:textId="77777777">
            <w:pPr>
              <w:rPr>
                <w:b/>
                <w:bCs/>
                <w:sz w:val="24"/>
                <w:szCs w:val="24"/>
              </w:rPr>
            </w:pPr>
            <w:r w:rsidRPr="00B1445C">
              <w:rPr>
                <w:b/>
                <w:bCs/>
                <w:sz w:val="24"/>
                <w:szCs w:val="24"/>
              </w:rPr>
              <w:t>Antwoord:</w:t>
            </w:r>
          </w:p>
          <w:p w:rsidRPr="00B1445C" w:rsidR="00B1445C" w:rsidP="00850E35" w:rsidRDefault="00B1445C" w14:paraId="679898A4" w14:textId="0B0436EC">
            <w:pPr>
              <w:rPr>
                <w:b/>
                <w:bCs/>
                <w:sz w:val="24"/>
                <w:szCs w:val="24"/>
              </w:rPr>
            </w:pPr>
            <w:r w:rsidRPr="00B1445C">
              <w:rPr>
                <w:b/>
                <w:bCs/>
                <w:sz w:val="24"/>
                <w:szCs w:val="24"/>
              </w:rPr>
              <w:t xml:space="preserve">De reden voor de lagere uitgaven aan financiële sectorontwikkeling is dat een aantal grote programma’s, zoals het MASSIF Fonds en het Dutch </w:t>
            </w:r>
            <w:proofErr w:type="spellStart"/>
            <w:r w:rsidRPr="00B1445C">
              <w:rPr>
                <w:b/>
                <w:bCs/>
                <w:sz w:val="24"/>
                <w:szCs w:val="24"/>
              </w:rPr>
              <w:t>Good</w:t>
            </w:r>
            <w:proofErr w:type="spellEnd"/>
            <w:r w:rsidRPr="00B1445C">
              <w:rPr>
                <w:b/>
                <w:bCs/>
                <w:sz w:val="24"/>
                <w:szCs w:val="24"/>
              </w:rPr>
              <w:t xml:space="preserve"> </w:t>
            </w:r>
            <w:proofErr w:type="spellStart"/>
            <w:r w:rsidRPr="00B1445C">
              <w:rPr>
                <w:b/>
                <w:bCs/>
                <w:sz w:val="24"/>
                <w:szCs w:val="24"/>
              </w:rPr>
              <w:t>Growth</w:t>
            </w:r>
            <w:proofErr w:type="spellEnd"/>
            <w:r w:rsidRPr="00B1445C">
              <w:rPr>
                <w:b/>
                <w:bCs/>
                <w:sz w:val="24"/>
                <w:szCs w:val="24"/>
              </w:rPr>
              <w:t xml:space="preserve"> Fund (DGGF), veel uitgaven heeft kunnen opvangen binnen de </w:t>
            </w:r>
            <w:proofErr w:type="spellStart"/>
            <w:r w:rsidRPr="00B1445C">
              <w:rPr>
                <w:b/>
                <w:bCs/>
                <w:sz w:val="24"/>
                <w:szCs w:val="24"/>
              </w:rPr>
              <w:t>revolverende</w:t>
            </w:r>
            <w:proofErr w:type="spellEnd"/>
            <w:r w:rsidRPr="00B1445C">
              <w:rPr>
                <w:b/>
                <w:bCs/>
                <w:sz w:val="24"/>
                <w:szCs w:val="24"/>
              </w:rPr>
              <w:t xml:space="preserve"> middelen. Aanvullende stortingen bleken niet nodig te zijn.</w:t>
            </w:r>
          </w:p>
          <w:p w:rsidRPr="00B1445C" w:rsidR="00B1445C" w:rsidP="00850E35" w:rsidRDefault="00B1445C" w14:paraId="2C99339C" w14:textId="6288277B">
            <w:pPr>
              <w:rPr>
                <w:sz w:val="24"/>
                <w:szCs w:val="24"/>
              </w:rPr>
            </w:pPr>
          </w:p>
        </w:tc>
      </w:tr>
      <w:tr w:rsidRPr="00B1445C" w:rsidR="00B1445C" w:rsidTr="00B1445C" w14:paraId="4AB800A7" w14:textId="77777777">
        <w:tc>
          <w:tcPr>
            <w:tcW w:w="567" w:type="dxa"/>
          </w:tcPr>
          <w:p w:rsidRPr="00B1445C" w:rsidR="00B1445C" w:rsidP="00EF7520" w:rsidRDefault="00B1445C" w14:paraId="48EC0E66" w14:textId="77777777">
            <w:pPr>
              <w:rPr>
                <w:sz w:val="24"/>
                <w:szCs w:val="24"/>
              </w:rPr>
            </w:pPr>
            <w:r w:rsidRPr="00B1445C">
              <w:rPr>
                <w:sz w:val="24"/>
                <w:szCs w:val="24"/>
              </w:rPr>
              <w:lastRenderedPageBreak/>
              <w:t>27</w:t>
            </w:r>
          </w:p>
        </w:tc>
        <w:tc>
          <w:tcPr>
            <w:tcW w:w="6521" w:type="dxa"/>
          </w:tcPr>
          <w:p w:rsidRPr="00B1445C" w:rsidR="00B1445C" w:rsidP="00EF7520" w:rsidRDefault="00B1445C" w14:paraId="402C472C" w14:textId="77777777">
            <w:pPr>
              <w:rPr>
                <w:sz w:val="24"/>
                <w:szCs w:val="24"/>
              </w:rPr>
            </w:pPr>
            <w:r w:rsidRPr="00B1445C">
              <w:rPr>
                <w:sz w:val="24"/>
                <w:szCs w:val="24"/>
              </w:rPr>
              <w:t>Welke impact hebben de bezuinigingen op beleidsartikel 2 op de economische en sociale ontwikkeling van de betrokken landen?</w:t>
            </w:r>
          </w:p>
          <w:p w:rsidRPr="00B1445C" w:rsidR="00B1445C" w:rsidP="00EF7520" w:rsidRDefault="00B1445C" w14:paraId="5E0F14E5" w14:textId="77777777">
            <w:pPr>
              <w:rPr>
                <w:sz w:val="24"/>
                <w:szCs w:val="24"/>
              </w:rPr>
            </w:pPr>
          </w:p>
          <w:p w:rsidRPr="00B1445C" w:rsidR="00B1445C" w:rsidP="00EF7520" w:rsidRDefault="00B1445C" w14:paraId="6555BCDD" w14:textId="77777777">
            <w:pPr>
              <w:rPr>
                <w:sz w:val="24"/>
                <w:szCs w:val="24"/>
              </w:rPr>
            </w:pPr>
          </w:p>
          <w:p w:rsidRPr="00B1445C" w:rsidR="00B1445C" w:rsidP="00850E35" w:rsidRDefault="00B1445C" w14:paraId="3DA203DA" w14:textId="77777777">
            <w:pPr>
              <w:rPr>
                <w:b/>
                <w:bCs/>
                <w:sz w:val="24"/>
                <w:szCs w:val="24"/>
              </w:rPr>
            </w:pPr>
            <w:r w:rsidRPr="00B1445C">
              <w:rPr>
                <w:b/>
                <w:bCs/>
                <w:sz w:val="24"/>
                <w:szCs w:val="24"/>
              </w:rPr>
              <w:t>Antwoord:</w:t>
            </w:r>
          </w:p>
          <w:p w:rsidRPr="00B1445C" w:rsidR="00B1445C" w:rsidP="00850E35" w:rsidRDefault="00B1445C" w14:paraId="0B7A9020" w14:textId="5A93AA4A">
            <w:pPr>
              <w:rPr>
                <w:b/>
                <w:sz w:val="24"/>
                <w:szCs w:val="24"/>
              </w:rPr>
            </w:pPr>
            <w:r w:rsidRPr="00B1445C">
              <w:rPr>
                <w:b/>
                <w:bCs/>
                <w:sz w:val="24"/>
                <w:szCs w:val="24"/>
              </w:rPr>
              <w:t xml:space="preserve">In de tweede suppletoire begroting 2024 heeft geen bezuiniging op beleidsartikel 2 plaatsgevonden. Het budget voor 2024 is daarin met EUR 31,2 miljoen verhoogd als gevolg van de eenmalig, aanvullende </w:t>
            </w:r>
            <w:proofErr w:type="spellStart"/>
            <w:r w:rsidRPr="00B1445C">
              <w:rPr>
                <w:b/>
                <w:bCs/>
                <w:sz w:val="24"/>
                <w:szCs w:val="24"/>
              </w:rPr>
              <w:t>bĳdrage</w:t>
            </w:r>
            <w:proofErr w:type="spellEnd"/>
            <w:r w:rsidRPr="00B1445C">
              <w:rPr>
                <w:b/>
                <w:bCs/>
                <w:sz w:val="24"/>
                <w:szCs w:val="24"/>
              </w:rPr>
              <w:t xml:space="preserve"> voor het UNICEF No Time </w:t>
            </w:r>
            <w:proofErr w:type="spellStart"/>
            <w:r w:rsidRPr="00B1445C">
              <w:rPr>
                <w:b/>
                <w:bCs/>
                <w:sz w:val="24"/>
                <w:szCs w:val="24"/>
              </w:rPr>
              <w:t>to</w:t>
            </w:r>
            <w:proofErr w:type="spellEnd"/>
            <w:r w:rsidRPr="00B1445C">
              <w:rPr>
                <w:b/>
                <w:bCs/>
                <w:sz w:val="24"/>
                <w:szCs w:val="24"/>
              </w:rPr>
              <w:t xml:space="preserve"> Waste programma (zie antwoord vraag 31) en het toekennen van extra ruimte die is ontstaan door een aangepaste raming voor de asieluitgaven (zie antwoord vraag 28).</w:t>
            </w:r>
          </w:p>
          <w:p w:rsidRPr="00B1445C" w:rsidR="00B1445C" w:rsidP="00850E35" w:rsidRDefault="00B1445C" w14:paraId="22F12EEE" w14:textId="2869ED7C">
            <w:pPr>
              <w:rPr>
                <w:sz w:val="24"/>
                <w:szCs w:val="24"/>
              </w:rPr>
            </w:pPr>
          </w:p>
        </w:tc>
      </w:tr>
      <w:tr w:rsidRPr="00B1445C" w:rsidR="00B1445C" w:rsidTr="00B1445C" w14:paraId="42F4821A" w14:textId="77777777">
        <w:tc>
          <w:tcPr>
            <w:tcW w:w="567" w:type="dxa"/>
          </w:tcPr>
          <w:p w:rsidRPr="00B1445C" w:rsidR="00B1445C" w:rsidP="00EF7520" w:rsidRDefault="00B1445C" w14:paraId="0FFDEA53" w14:textId="77777777">
            <w:pPr>
              <w:rPr>
                <w:sz w:val="24"/>
                <w:szCs w:val="24"/>
              </w:rPr>
            </w:pPr>
            <w:r w:rsidRPr="00B1445C">
              <w:rPr>
                <w:sz w:val="24"/>
                <w:szCs w:val="24"/>
              </w:rPr>
              <w:t>28</w:t>
            </w:r>
          </w:p>
        </w:tc>
        <w:tc>
          <w:tcPr>
            <w:tcW w:w="6521" w:type="dxa"/>
          </w:tcPr>
          <w:p w:rsidRPr="00B1445C" w:rsidR="00B1445C" w:rsidP="00EF7520" w:rsidRDefault="00B1445C" w14:paraId="547E7FAF" w14:textId="77777777">
            <w:pPr>
              <w:rPr>
                <w:sz w:val="24"/>
                <w:szCs w:val="24"/>
              </w:rPr>
            </w:pPr>
            <w:r w:rsidRPr="00B1445C">
              <w:rPr>
                <w:sz w:val="24"/>
                <w:szCs w:val="24"/>
              </w:rPr>
              <w:t xml:space="preserve">Waarom wordt €25 miljoen voor IFAD-13 (International Fund </w:t>
            </w:r>
            <w:proofErr w:type="spellStart"/>
            <w:r w:rsidRPr="00B1445C">
              <w:rPr>
                <w:sz w:val="24"/>
                <w:szCs w:val="24"/>
              </w:rPr>
              <w:t>for</w:t>
            </w:r>
            <w:proofErr w:type="spellEnd"/>
            <w:r w:rsidRPr="00B1445C">
              <w:rPr>
                <w:sz w:val="24"/>
                <w:szCs w:val="24"/>
              </w:rPr>
              <w:t xml:space="preserve"> Agricultural Development) naar voren gehaald, terwijl dit een last legt op de begroting van 2024?</w:t>
            </w:r>
          </w:p>
          <w:p w:rsidRPr="00B1445C" w:rsidR="00B1445C" w:rsidP="00EF7520" w:rsidRDefault="00B1445C" w14:paraId="463A6E03" w14:textId="77777777">
            <w:pPr>
              <w:rPr>
                <w:sz w:val="24"/>
                <w:szCs w:val="24"/>
              </w:rPr>
            </w:pPr>
          </w:p>
          <w:p w:rsidRPr="00B1445C" w:rsidR="00B1445C" w:rsidP="00850E35" w:rsidRDefault="00B1445C" w14:paraId="65AA2169" w14:textId="77777777">
            <w:pPr>
              <w:rPr>
                <w:b/>
                <w:bCs/>
                <w:sz w:val="24"/>
                <w:szCs w:val="24"/>
              </w:rPr>
            </w:pPr>
            <w:r w:rsidRPr="00B1445C">
              <w:rPr>
                <w:b/>
                <w:bCs/>
                <w:sz w:val="24"/>
                <w:szCs w:val="24"/>
              </w:rPr>
              <w:t>Antwoord:</w:t>
            </w:r>
          </w:p>
          <w:p w:rsidRPr="00B1445C" w:rsidR="00B1445C" w:rsidP="00BE0AE8" w:rsidRDefault="00B1445C" w14:paraId="2F78D9B5" w14:textId="7B298B39">
            <w:pPr>
              <w:rPr>
                <w:b/>
                <w:bCs/>
                <w:sz w:val="24"/>
                <w:szCs w:val="24"/>
              </w:rPr>
            </w:pPr>
            <w:r w:rsidRPr="00B1445C">
              <w:rPr>
                <w:b/>
                <w:bCs/>
                <w:sz w:val="24"/>
                <w:szCs w:val="24"/>
              </w:rPr>
              <w:t>Deze kasschuif legt geen last op de begroting van 2024 omdat deze gedekt wordt uit ruimte op artikelonderdeel 5.4 die is ontstaan door een aangepaste raming voor de asieluitgaven.</w:t>
            </w:r>
          </w:p>
          <w:p w:rsidRPr="00B1445C" w:rsidR="00B1445C" w:rsidP="00850E35" w:rsidRDefault="00B1445C" w14:paraId="1B133BF6" w14:textId="2DB23CE8">
            <w:pPr>
              <w:rPr>
                <w:sz w:val="24"/>
                <w:szCs w:val="24"/>
              </w:rPr>
            </w:pPr>
          </w:p>
        </w:tc>
      </w:tr>
      <w:tr w:rsidRPr="00B1445C" w:rsidR="00B1445C" w:rsidTr="00B1445C" w14:paraId="1122DC5B" w14:textId="77777777">
        <w:tc>
          <w:tcPr>
            <w:tcW w:w="567" w:type="dxa"/>
          </w:tcPr>
          <w:p w:rsidRPr="00B1445C" w:rsidR="00B1445C" w:rsidP="00EF7520" w:rsidRDefault="00B1445C" w14:paraId="392FE92D" w14:textId="77777777">
            <w:pPr>
              <w:rPr>
                <w:sz w:val="24"/>
                <w:szCs w:val="24"/>
              </w:rPr>
            </w:pPr>
            <w:r w:rsidRPr="00B1445C">
              <w:rPr>
                <w:sz w:val="24"/>
                <w:szCs w:val="24"/>
              </w:rPr>
              <w:t>29</w:t>
            </w:r>
          </w:p>
        </w:tc>
        <w:tc>
          <w:tcPr>
            <w:tcW w:w="6521" w:type="dxa"/>
          </w:tcPr>
          <w:p w:rsidRPr="00B1445C" w:rsidR="00B1445C" w:rsidP="00EF7520" w:rsidRDefault="00B1445C" w14:paraId="10564FA2" w14:textId="4CEDDC58">
            <w:pPr>
              <w:rPr>
                <w:sz w:val="24"/>
                <w:szCs w:val="24"/>
              </w:rPr>
            </w:pPr>
            <w:r w:rsidRPr="00B1445C">
              <w:rPr>
                <w:sz w:val="24"/>
                <w:szCs w:val="24"/>
              </w:rPr>
              <w:t>Kunt u een overzicht geven van de landen waar IFAD-13 actief is en specifiek aangeven hoe deze zich verhouden tot de combinatielanden uit het Rutte IV-beleid? Graag daarbij toelichten hoe de voorgenomen bijdragen aan IFAD-13 de Nederlandse belangen in deze combinatielanden ondersteunen of mogelijk conflicteren met andere beleidsdoelen</w:t>
            </w:r>
          </w:p>
          <w:p w:rsidRPr="00B1445C" w:rsidR="00B1445C" w:rsidP="00EF7520" w:rsidRDefault="00B1445C" w14:paraId="70C9CC0C" w14:textId="77777777">
            <w:pPr>
              <w:rPr>
                <w:sz w:val="24"/>
                <w:szCs w:val="24"/>
              </w:rPr>
            </w:pPr>
          </w:p>
          <w:p w:rsidRPr="00B1445C" w:rsidR="00B1445C" w:rsidP="00850E35" w:rsidRDefault="00B1445C" w14:paraId="05E3D128" w14:textId="77777777">
            <w:pPr>
              <w:rPr>
                <w:b/>
                <w:bCs/>
                <w:sz w:val="24"/>
                <w:szCs w:val="24"/>
              </w:rPr>
            </w:pPr>
            <w:r w:rsidRPr="00B1445C">
              <w:rPr>
                <w:b/>
                <w:bCs/>
                <w:sz w:val="24"/>
                <w:szCs w:val="24"/>
              </w:rPr>
              <w:t>Antwoord:</w:t>
            </w:r>
          </w:p>
          <w:p w:rsidRPr="00B1445C" w:rsidR="00B1445C" w:rsidP="00014FD4" w:rsidRDefault="00B1445C" w14:paraId="6D86966E" w14:textId="5EF52183">
            <w:pPr>
              <w:rPr>
                <w:b/>
                <w:bCs/>
                <w:sz w:val="24"/>
                <w:szCs w:val="24"/>
              </w:rPr>
            </w:pPr>
            <w:r w:rsidRPr="00B1445C">
              <w:rPr>
                <w:b/>
                <w:bCs/>
                <w:sz w:val="24"/>
                <w:szCs w:val="24"/>
              </w:rPr>
              <w:t xml:space="preserve">IFAD is actief in 92 ontwikkelingslanden, waaronder alle combinatielanden behalve </w:t>
            </w:r>
            <w:r w:rsidRPr="00B1445C">
              <w:rPr>
                <w:b/>
                <w:sz w:val="24"/>
                <w:szCs w:val="24"/>
              </w:rPr>
              <w:t>Zuid-Afrika en Oekraïne. In Zuid-Afrika wordt de inzet van IFAD momenteel onderzocht.</w:t>
            </w:r>
            <w:r w:rsidRPr="00B1445C">
              <w:rPr>
                <w:b/>
                <w:bCs/>
                <w:sz w:val="24"/>
                <w:szCs w:val="24"/>
              </w:rPr>
              <w:t xml:space="preserve"> Oekraïne is recent lid geworden van IFAD en zal dus ook in de toekomst gaan profiteren van assistentie van IFAD13. </w:t>
            </w:r>
          </w:p>
          <w:p w:rsidRPr="00B1445C" w:rsidR="00B1445C" w:rsidP="00014FD4" w:rsidRDefault="00B1445C" w14:paraId="0712209A" w14:textId="71DD3C00">
            <w:pPr>
              <w:rPr>
                <w:b/>
                <w:bCs/>
                <w:sz w:val="24"/>
                <w:szCs w:val="24"/>
              </w:rPr>
            </w:pPr>
            <w:r w:rsidRPr="00B1445C">
              <w:rPr>
                <w:b/>
                <w:bCs/>
                <w:sz w:val="24"/>
                <w:szCs w:val="24"/>
              </w:rPr>
              <w:t xml:space="preserve">IFAD bevordert in arme, veelal conflictgevoelige, plattelandsgebieden de lokale landbouwontwikkeling en voedselzekerheid en draagt </w:t>
            </w:r>
            <w:r w:rsidRPr="00B1445C">
              <w:rPr>
                <w:b/>
                <w:sz w:val="24"/>
                <w:szCs w:val="24"/>
              </w:rPr>
              <w:t>zodoende</w:t>
            </w:r>
            <w:r w:rsidRPr="00B1445C">
              <w:rPr>
                <w:b/>
                <w:bCs/>
                <w:sz w:val="24"/>
                <w:szCs w:val="24"/>
              </w:rPr>
              <w:t xml:space="preserve"> bij aan stabiliteit en veiligheid. </w:t>
            </w:r>
            <w:r w:rsidRPr="00B1445C">
              <w:rPr>
                <w:b/>
                <w:sz w:val="24"/>
                <w:szCs w:val="24"/>
              </w:rPr>
              <w:t>IFAD</w:t>
            </w:r>
            <w:r w:rsidRPr="00B1445C">
              <w:rPr>
                <w:b/>
                <w:bCs/>
                <w:sz w:val="24"/>
                <w:szCs w:val="24"/>
              </w:rPr>
              <w:t xml:space="preserve"> ondersteunt </w:t>
            </w:r>
            <w:r w:rsidRPr="00B1445C">
              <w:rPr>
                <w:b/>
                <w:sz w:val="24"/>
                <w:szCs w:val="24"/>
              </w:rPr>
              <w:t>daarbij</w:t>
            </w:r>
            <w:r w:rsidRPr="00B1445C">
              <w:rPr>
                <w:b/>
                <w:bCs/>
                <w:sz w:val="24"/>
                <w:szCs w:val="24"/>
              </w:rPr>
              <w:t xml:space="preserve"> ook de </w:t>
            </w:r>
            <w:r w:rsidRPr="00B1445C">
              <w:rPr>
                <w:b/>
                <w:color w:val="000000" w:themeColor="text1"/>
                <w:sz w:val="24"/>
                <w:szCs w:val="24"/>
              </w:rPr>
              <w:t xml:space="preserve">ontwikkeling van agrarische </w:t>
            </w:r>
            <w:proofErr w:type="spellStart"/>
            <w:r w:rsidRPr="00B1445C">
              <w:rPr>
                <w:b/>
                <w:color w:val="000000" w:themeColor="text1"/>
                <w:sz w:val="24"/>
                <w:szCs w:val="24"/>
              </w:rPr>
              <w:t>waardeketens</w:t>
            </w:r>
            <w:proofErr w:type="spellEnd"/>
            <w:r w:rsidRPr="00B1445C">
              <w:rPr>
                <w:b/>
                <w:color w:val="000000" w:themeColor="text1"/>
                <w:sz w:val="24"/>
                <w:szCs w:val="24"/>
              </w:rPr>
              <w:t xml:space="preserve">, onder meer in de combinatielanden, hetgeen de internationale handel bevordert en kansen biedt voor Nederlandse export van kennis, goederen en diensten, en voor mogelijke investeringen.  </w:t>
            </w:r>
          </w:p>
          <w:p w:rsidRPr="00B1445C" w:rsidR="00B1445C" w:rsidP="00850E35" w:rsidRDefault="00B1445C" w14:paraId="7E1132FE" w14:textId="3C1349CA">
            <w:pPr>
              <w:rPr>
                <w:sz w:val="24"/>
                <w:szCs w:val="24"/>
              </w:rPr>
            </w:pPr>
          </w:p>
        </w:tc>
      </w:tr>
      <w:tr w:rsidRPr="00B1445C" w:rsidR="00B1445C" w:rsidTr="00B1445C" w14:paraId="5B04B86D" w14:textId="77777777">
        <w:tc>
          <w:tcPr>
            <w:tcW w:w="567" w:type="dxa"/>
          </w:tcPr>
          <w:p w:rsidRPr="00B1445C" w:rsidR="00B1445C" w:rsidP="00EF7520" w:rsidRDefault="00B1445C" w14:paraId="016C5977" w14:textId="77777777">
            <w:pPr>
              <w:rPr>
                <w:sz w:val="24"/>
                <w:szCs w:val="24"/>
              </w:rPr>
            </w:pPr>
            <w:r w:rsidRPr="00B1445C">
              <w:rPr>
                <w:sz w:val="24"/>
                <w:szCs w:val="24"/>
              </w:rPr>
              <w:lastRenderedPageBreak/>
              <w:t>30</w:t>
            </w:r>
          </w:p>
        </w:tc>
        <w:tc>
          <w:tcPr>
            <w:tcW w:w="6521" w:type="dxa"/>
          </w:tcPr>
          <w:p w:rsidRPr="00B1445C" w:rsidR="00B1445C" w:rsidP="00EF7520" w:rsidRDefault="00B1445C" w14:paraId="0EAE8238" w14:textId="77777777">
            <w:pPr>
              <w:rPr>
                <w:sz w:val="24"/>
                <w:szCs w:val="24"/>
              </w:rPr>
            </w:pPr>
            <w:r w:rsidRPr="00B1445C">
              <w:rPr>
                <w:sz w:val="24"/>
                <w:szCs w:val="24"/>
              </w:rPr>
              <w:t>Waarom is er een verlaging van €14 miljoen voor hernieuwbare energieprojecten?</w:t>
            </w:r>
          </w:p>
          <w:p w:rsidRPr="00B1445C" w:rsidR="00B1445C" w:rsidP="00EF7520" w:rsidRDefault="00B1445C" w14:paraId="702F0096" w14:textId="77777777">
            <w:pPr>
              <w:rPr>
                <w:b/>
                <w:bCs/>
                <w:sz w:val="24"/>
                <w:szCs w:val="24"/>
              </w:rPr>
            </w:pPr>
          </w:p>
          <w:p w:rsidRPr="00B1445C" w:rsidR="00B1445C" w:rsidP="00850E35" w:rsidRDefault="00B1445C" w14:paraId="621FE3B8" w14:textId="228B3EBE">
            <w:pPr>
              <w:rPr>
                <w:b/>
                <w:bCs/>
                <w:sz w:val="24"/>
                <w:szCs w:val="24"/>
              </w:rPr>
            </w:pPr>
            <w:r w:rsidRPr="00B1445C">
              <w:rPr>
                <w:b/>
                <w:bCs/>
                <w:sz w:val="24"/>
                <w:szCs w:val="24"/>
              </w:rPr>
              <w:t>Antwoord:</w:t>
            </w:r>
          </w:p>
          <w:p w:rsidRPr="00B1445C" w:rsidR="00B1445C" w:rsidP="00850E35" w:rsidRDefault="00B1445C" w14:paraId="46AA9064" w14:textId="6740B323">
            <w:pPr>
              <w:rPr>
                <w:sz w:val="24"/>
                <w:szCs w:val="24"/>
              </w:rPr>
            </w:pPr>
            <w:r w:rsidRPr="00B1445C">
              <w:rPr>
                <w:b/>
                <w:bCs/>
                <w:sz w:val="24"/>
                <w:szCs w:val="24"/>
              </w:rPr>
              <w:t>Per saldo is er in de begroting van 2024 geen sprake van een verlaging van het budget voor hernieuwbare energieprojecten. Binnen artikel 2.3 wordt het budget voor hernieuwbare energieprojecten ingezet via subsidies en via bijdragen aan (</w:t>
            </w:r>
            <w:proofErr w:type="spellStart"/>
            <w:r w:rsidRPr="00B1445C">
              <w:rPr>
                <w:b/>
                <w:bCs/>
                <w:sz w:val="24"/>
                <w:szCs w:val="24"/>
              </w:rPr>
              <w:t>inter</w:t>
            </w:r>
            <w:proofErr w:type="spellEnd"/>
            <w:r w:rsidRPr="00B1445C">
              <w:rPr>
                <w:b/>
                <w:bCs/>
                <w:sz w:val="24"/>
                <w:szCs w:val="24"/>
              </w:rPr>
              <w:t>)nationale organisaties. Op basis van de geraamde uitgaven zijn deze bedragen herverdeeld, ten gunste van de subsidies.</w:t>
            </w:r>
            <w:r w:rsidRPr="00B1445C">
              <w:rPr>
                <w:sz w:val="24"/>
                <w:szCs w:val="24"/>
              </w:rPr>
              <w:t xml:space="preserve"> </w:t>
            </w:r>
          </w:p>
          <w:p w:rsidRPr="00B1445C" w:rsidR="00B1445C" w:rsidP="00302B66" w:rsidRDefault="00B1445C" w14:paraId="34B0EBDE" w14:textId="5C4AD376">
            <w:pPr>
              <w:rPr>
                <w:sz w:val="24"/>
                <w:szCs w:val="24"/>
              </w:rPr>
            </w:pPr>
            <w:r w:rsidRPr="00B1445C">
              <w:rPr>
                <w:sz w:val="24"/>
                <w:szCs w:val="24"/>
              </w:rPr>
              <w:t xml:space="preserve"> </w:t>
            </w:r>
          </w:p>
        </w:tc>
      </w:tr>
      <w:tr w:rsidRPr="00B1445C" w:rsidR="00B1445C" w:rsidTr="00B1445C" w14:paraId="05478CF1" w14:textId="77777777">
        <w:tc>
          <w:tcPr>
            <w:tcW w:w="567" w:type="dxa"/>
          </w:tcPr>
          <w:p w:rsidRPr="00B1445C" w:rsidR="00B1445C" w:rsidP="00EF7520" w:rsidRDefault="00B1445C" w14:paraId="5F24164F" w14:textId="77777777">
            <w:pPr>
              <w:rPr>
                <w:sz w:val="24"/>
                <w:szCs w:val="24"/>
              </w:rPr>
            </w:pPr>
            <w:r w:rsidRPr="00B1445C">
              <w:rPr>
                <w:sz w:val="24"/>
                <w:szCs w:val="24"/>
              </w:rPr>
              <w:t>31</w:t>
            </w:r>
          </w:p>
        </w:tc>
        <w:tc>
          <w:tcPr>
            <w:tcW w:w="6521" w:type="dxa"/>
          </w:tcPr>
          <w:p w:rsidRPr="00B1445C" w:rsidR="00B1445C" w:rsidP="00EF7520" w:rsidRDefault="00B1445C" w14:paraId="65019A8D" w14:textId="77777777">
            <w:pPr>
              <w:rPr>
                <w:sz w:val="24"/>
                <w:szCs w:val="24"/>
              </w:rPr>
            </w:pPr>
            <w:r w:rsidRPr="00B1445C">
              <w:rPr>
                <w:sz w:val="24"/>
                <w:szCs w:val="24"/>
              </w:rPr>
              <w:t>Wat is de reden dat €7 miljoen extra in 2024 naar UNICEF gaat voor Soedan?</w:t>
            </w:r>
          </w:p>
          <w:p w:rsidRPr="00B1445C" w:rsidR="00B1445C" w:rsidP="00EF7520" w:rsidRDefault="00B1445C" w14:paraId="033827AB" w14:textId="77777777">
            <w:pPr>
              <w:rPr>
                <w:sz w:val="24"/>
                <w:szCs w:val="24"/>
              </w:rPr>
            </w:pPr>
          </w:p>
          <w:p w:rsidRPr="00B1445C" w:rsidR="00B1445C" w:rsidP="00850E35" w:rsidRDefault="00B1445C" w14:paraId="74E59B80" w14:textId="77777777">
            <w:pPr>
              <w:rPr>
                <w:b/>
                <w:bCs/>
                <w:sz w:val="24"/>
                <w:szCs w:val="24"/>
              </w:rPr>
            </w:pPr>
            <w:r w:rsidRPr="00B1445C">
              <w:rPr>
                <w:b/>
                <w:bCs/>
                <w:sz w:val="24"/>
                <w:szCs w:val="24"/>
              </w:rPr>
              <w:t>Antwoord:</w:t>
            </w:r>
          </w:p>
          <w:p w:rsidRPr="00B1445C" w:rsidR="00B1445C" w:rsidP="00F11CEE" w:rsidRDefault="00B1445C" w14:paraId="65FDDCDB" w14:textId="23E08F8B">
            <w:pPr>
              <w:rPr>
                <w:b/>
                <w:bCs/>
                <w:sz w:val="24"/>
                <w:szCs w:val="24"/>
              </w:rPr>
            </w:pPr>
            <w:r w:rsidRPr="00B1445C">
              <w:rPr>
                <w:b/>
                <w:bCs/>
                <w:sz w:val="24"/>
                <w:szCs w:val="24"/>
              </w:rPr>
              <w:t xml:space="preserve">Er is een eenmalig, aanvullende </w:t>
            </w:r>
            <w:proofErr w:type="spellStart"/>
            <w:r w:rsidRPr="00B1445C">
              <w:rPr>
                <w:b/>
                <w:bCs/>
                <w:sz w:val="24"/>
                <w:szCs w:val="24"/>
              </w:rPr>
              <w:t>bĳdrage</w:t>
            </w:r>
            <w:proofErr w:type="spellEnd"/>
            <w:r w:rsidRPr="00B1445C">
              <w:rPr>
                <w:b/>
                <w:bCs/>
                <w:sz w:val="24"/>
                <w:szCs w:val="24"/>
              </w:rPr>
              <w:t xml:space="preserve"> van EUR 7 miljoen gedaan aan het UNICEF No Time </w:t>
            </w:r>
            <w:proofErr w:type="spellStart"/>
            <w:r w:rsidRPr="00B1445C">
              <w:rPr>
                <w:b/>
                <w:bCs/>
                <w:sz w:val="24"/>
                <w:szCs w:val="24"/>
              </w:rPr>
              <w:t>to</w:t>
            </w:r>
            <w:proofErr w:type="spellEnd"/>
            <w:r w:rsidRPr="00B1445C">
              <w:rPr>
                <w:b/>
                <w:bCs/>
                <w:sz w:val="24"/>
                <w:szCs w:val="24"/>
              </w:rPr>
              <w:t xml:space="preserve"> Waste programma om de, door de oorlog toegenomen, </w:t>
            </w:r>
            <w:r w:rsidRPr="00B1445C">
              <w:rPr>
                <w:b/>
                <w:bCs/>
                <w:sz w:val="24"/>
                <w:szCs w:val="24"/>
                <w:highlight w:val="yellow"/>
              </w:rPr>
              <w:t xml:space="preserve"> </w:t>
            </w:r>
            <w:r w:rsidRPr="00B1445C">
              <w:rPr>
                <w:b/>
                <w:bCs/>
                <w:sz w:val="24"/>
                <w:szCs w:val="24"/>
              </w:rPr>
              <w:t>honger en ondervoeding te verlichten (Kamerstuk 29237 nr. 206).</w:t>
            </w:r>
          </w:p>
          <w:p w:rsidRPr="00B1445C" w:rsidR="00B1445C" w:rsidP="00850E35" w:rsidRDefault="00B1445C" w14:paraId="0678BBA8" w14:textId="41162264">
            <w:pPr>
              <w:rPr>
                <w:sz w:val="24"/>
                <w:szCs w:val="24"/>
              </w:rPr>
            </w:pPr>
          </w:p>
        </w:tc>
      </w:tr>
      <w:tr w:rsidRPr="00B1445C" w:rsidR="00B1445C" w:rsidTr="00B1445C" w14:paraId="25D9B784" w14:textId="77777777">
        <w:tc>
          <w:tcPr>
            <w:tcW w:w="567" w:type="dxa"/>
          </w:tcPr>
          <w:p w:rsidRPr="00B1445C" w:rsidR="00B1445C" w:rsidP="00EF7520" w:rsidRDefault="00B1445C" w14:paraId="24F69F64" w14:textId="77777777">
            <w:pPr>
              <w:rPr>
                <w:sz w:val="24"/>
                <w:szCs w:val="24"/>
              </w:rPr>
            </w:pPr>
            <w:r w:rsidRPr="00B1445C">
              <w:rPr>
                <w:sz w:val="24"/>
                <w:szCs w:val="24"/>
              </w:rPr>
              <w:t>32</w:t>
            </w:r>
          </w:p>
        </w:tc>
        <w:tc>
          <w:tcPr>
            <w:tcW w:w="6521" w:type="dxa"/>
          </w:tcPr>
          <w:p w:rsidRPr="00B1445C" w:rsidR="00B1445C" w:rsidP="00EF7520" w:rsidRDefault="00B1445C" w14:paraId="6B05B340" w14:textId="77777777">
            <w:pPr>
              <w:rPr>
                <w:sz w:val="24"/>
                <w:szCs w:val="24"/>
              </w:rPr>
            </w:pPr>
            <w:r w:rsidRPr="00B1445C">
              <w:rPr>
                <w:sz w:val="24"/>
                <w:szCs w:val="24"/>
              </w:rPr>
              <w:t xml:space="preserve">Waarom wordt er €3 miljoen overgeheveld naar de WHO voor bestrijding van het </w:t>
            </w:r>
            <w:proofErr w:type="spellStart"/>
            <w:r w:rsidRPr="00B1445C">
              <w:rPr>
                <w:sz w:val="24"/>
                <w:szCs w:val="24"/>
              </w:rPr>
              <w:t>mpox</w:t>
            </w:r>
            <w:proofErr w:type="spellEnd"/>
            <w:r w:rsidRPr="00B1445C">
              <w:rPr>
                <w:sz w:val="24"/>
                <w:szCs w:val="24"/>
              </w:rPr>
              <w:t>-virus?</w:t>
            </w:r>
          </w:p>
          <w:p w:rsidRPr="00B1445C" w:rsidR="00B1445C" w:rsidP="00EF7520" w:rsidRDefault="00B1445C" w14:paraId="13191F73" w14:textId="77777777">
            <w:pPr>
              <w:rPr>
                <w:sz w:val="24"/>
                <w:szCs w:val="24"/>
              </w:rPr>
            </w:pPr>
          </w:p>
          <w:p w:rsidRPr="00B1445C" w:rsidR="00B1445C" w:rsidP="007B543E" w:rsidRDefault="00B1445C" w14:paraId="3C3396C5" w14:textId="37FC59E5">
            <w:pPr>
              <w:rPr>
                <w:b/>
                <w:sz w:val="24"/>
                <w:szCs w:val="24"/>
              </w:rPr>
            </w:pPr>
            <w:r w:rsidRPr="00B1445C">
              <w:rPr>
                <w:b/>
                <w:bCs/>
                <w:sz w:val="24"/>
                <w:szCs w:val="24"/>
              </w:rPr>
              <w:t>Antwoord:</w:t>
            </w:r>
            <w:r w:rsidRPr="00B1445C">
              <w:rPr>
                <w:sz w:val="24"/>
                <w:szCs w:val="24"/>
              </w:rPr>
              <w:br/>
            </w:r>
            <w:r w:rsidRPr="00B1445C">
              <w:rPr>
                <w:b/>
                <w:bCs/>
                <w:sz w:val="24"/>
                <w:szCs w:val="24"/>
              </w:rPr>
              <w:t xml:space="preserve">Na de zomer greep het </w:t>
            </w:r>
            <w:proofErr w:type="spellStart"/>
            <w:r w:rsidRPr="00B1445C">
              <w:rPr>
                <w:b/>
                <w:bCs/>
                <w:sz w:val="24"/>
                <w:szCs w:val="24"/>
              </w:rPr>
              <w:t>mpox</w:t>
            </w:r>
            <w:proofErr w:type="spellEnd"/>
            <w:r w:rsidRPr="00B1445C">
              <w:rPr>
                <w:b/>
                <w:bCs/>
                <w:sz w:val="24"/>
                <w:szCs w:val="24"/>
              </w:rPr>
              <w:t xml:space="preserve"> virus snel om zich heen in een aantal Afrikaanse landen. De WHO coördineert de aanpak om die epidemie in te dammen. Het is ook in het Nederlandse belang om te voorkomen dat het virus zich verder verspreidt. Daarom heeft Nederland een bijdrage geleverd aan de inzet van de WHO, die onder andere bestaat uit vaccinatiecampagnes, testcapaciteit en het trainen van personeel.</w:t>
            </w:r>
          </w:p>
          <w:p w:rsidRPr="00B1445C" w:rsidR="00B1445C" w:rsidP="00850E35" w:rsidRDefault="00B1445C" w14:paraId="244D8EC1" w14:textId="577ABDF2">
            <w:pPr>
              <w:rPr>
                <w:sz w:val="24"/>
                <w:szCs w:val="24"/>
              </w:rPr>
            </w:pPr>
          </w:p>
        </w:tc>
      </w:tr>
      <w:tr w:rsidRPr="00B1445C" w:rsidR="00B1445C" w:rsidTr="00B1445C" w14:paraId="4E819AB2" w14:textId="77777777">
        <w:tc>
          <w:tcPr>
            <w:tcW w:w="567" w:type="dxa"/>
          </w:tcPr>
          <w:p w:rsidRPr="00B1445C" w:rsidR="00B1445C" w:rsidP="00EF7520" w:rsidRDefault="00B1445C" w14:paraId="2C6201D2" w14:textId="77777777">
            <w:pPr>
              <w:rPr>
                <w:sz w:val="24"/>
                <w:szCs w:val="24"/>
              </w:rPr>
            </w:pPr>
            <w:r w:rsidRPr="00B1445C">
              <w:rPr>
                <w:sz w:val="24"/>
                <w:szCs w:val="24"/>
              </w:rPr>
              <w:t>33</w:t>
            </w:r>
          </w:p>
        </w:tc>
        <w:tc>
          <w:tcPr>
            <w:tcW w:w="6521" w:type="dxa"/>
          </w:tcPr>
          <w:p w:rsidRPr="00B1445C" w:rsidR="00B1445C" w:rsidP="00EF7520" w:rsidRDefault="00B1445C" w14:paraId="1DD51449" w14:textId="77777777">
            <w:pPr>
              <w:rPr>
                <w:sz w:val="24"/>
                <w:szCs w:val="24"/>
              </w:rPr>
            </w:pPr>
            <w:r w:rsidRPr="00B1445C">
              <w:rPr>
                <w:sz w:val="24"/>
                <w:szCs w:val="24"/>
              </w:rPr>
              <w:t>Wat zijn de redenen voor de verhoging van €16 miljoen aan subsidies voor het maatschappelijk middenveld?</w:t>
            </w:r>
          </w:p>
          <w:p w:rsidRPr="00B1445C" w:rsidR="00B1445C" w:rsidP="00EF7520" w:rsidRDefault="00B1445C" w14:paraId="215EA185" w14:textId="77777777">
            <w:pPr>
              <w:rPr>
                <w:sz w:val="24"/>
                <w:szCs w:val="24"/>
              </w:rPr>
            </w:pPr>
          </w:p>
          <w:p w:rsidRPr="00B1445C" w:rsidR="00B1445C" w:rsidP="00850E35" w:rsidRDefault="00B1445C" w14:paraId="51D433F2" w14:textId="77777777">
            <w:pPr>
              <w:rPr>
                <w:b/>
                <w:bCs/>
                <w:sz w:val="24"/>
                <w:szCs w:val="24"/>
              </w:rPr>
            </w:pPr>
            <w:r w:rsidRPr="00B1445C">
              <w:rPr>
                <w:b/>
                <w:bCs/>
                <w:sz w:val="24"/>
                <w:szCs w:val="24"/>
              </w:rPr>
              <w:t>Antwoord:</w:t>
            </w:r>
          </w:p>
          <w:p w:rsidRPr="00B1445C" w:rsidR="00B1445C" w:rsidP="008B0478" w:rsidRDefault="00B1445C" w14:paraId="6D4C26FA" w14:textId="72DB43E5">
            <w:pPr>
              <w:rPr>
                <w:b/>
                <w:bCs/>
                <w:sz w:val="24"/>
                <w:szCs w:val="24"/>
              </w:rPr>
            </w:pPr>
            <w:r w:rsidRPr="00B1445C">
              <w:rPr>
                <w:b/>
                <w:sz w:val="24"/>
                <w:szCs w:val="24"/>
              </w:rPr>
              <w:t>De verhoging van EUR 16 miljoen</w:t>
            </w:r>
            <w:r w:rsidRPr="00B1445C">
              <w:rPr>
                <w:b/>
                <w:bCs/>
                <w:sz w:val="24"/>
                <w:szCs w:val="24"/>
              </w:rPr>
              <w:t xml:space="preserve"> voor subsidies aan het maatschappelijk middenveld betreft uitsluitend betalingen op lopende verplichtingen. </w:t>
            </w:r>
            <w:bookmarkStart w:name="_Hlk184395269" w:id="1"/>
            <w:r w:rsidRPr="00B1445C">
              <w:rPr>
                <w:b/>
                <w:bCs/>
                <w:sz w:val="24"/>
                <w:szCs w:val="24"/>
              </w:rPr>
              <w:t>Dit betreft een technische schuif op betaalritme om beschikbare middelen in het lopende jaar zo goed mogelijk te benutten</w:t>
            </w:r>
            <w:bookmarkEnd w:id="1"/>
            <w:r w:rsidRPr="00B1445C">
              <w:rPr>
                <w:b/>
                <w:bCs/>
                <w:sz w:val="24"/>
                <w:szCs w:val="24"/>
              </w:rPr>
              <w:t>. De verhoging wordt gedekt uit ongebruikte middelen van artikel 3.4 Onderwijs.</w:t>
            </w:r>
          </w:p>
          <w:p w:rsidRPr="00B1445C" w:rsidR="00B1445C" w:rsidP="00850E35" w:rsidRDefault="00B1445C" w14:paraId="46EC97FA" w14:textId="60B73643">
            <w:pPr>
              <w:rPr>
                <w:sz w:val="24"/>
                <w:szCs w:val="24"/>
              </w:rPr>
            </w:pPr>
          </w:p>
        </w:tc>
      </w:tr>
      <w:tr w:rsidRPr="00B1445C" w:rsidR="00B1445C" w:rsidTr="00B1445C" w14:paraId="5AA8A37F" w14:textId="77777777">
        <w:tc>
          <w:tcPr>
            <w:tcW w:w="567" w:type="dxa"/>
          </w:tcPr>
          <w:p w:rsidRPr="00B1445C" w:rsidR="00B1445C" w:rsidP="00EF7520" w:rsidRDefault="00B1445C" w14:paraId="5D187056" w14:textId="77777777">
            <w:pPr>
              <w:rPr>
                <w:sz w:val="24"/>
                <w:szCs w:val="24"/>
              </w:rPr>
            </w:pPr>
            <w:r w:rsidRPr="00B1445C">
              <w:rPr>
                <w:sz w:val="24"/>
                <w:szCs w:val="24"/>
              </w:rPr>
              <w:lastRenderedPageBreak/>
              <w:t>34</w:t>
            </w:r>
          </w:p>
        </w:tc>
        <w:tc>
          <w:tcPr>
            <w:tcW w:w="6521" w:type="dxa"/>
          </w:tcPr>
          <w:p w:rsidRPr="00B1445C" w:rsidR="00B1445C" w:rsidP="00EF7520" w:rsidRDefault="00B1445C" w14:paraId="4BA4B53B" w14:textId="77777777">
            <w:pPr>
              <w:rPr>
                <w:sz w:val="24"/>
                <w:szCs w:val="24"/>
              </w:rPr>
            </w:pPr>
            <w:r w:rsidRPr="00B1445C">
              <w:rPr>
                <w:sz w:val="24"/>
                <w:szCs w:val="24"/>
              </w:rPr>
              <w:t>Kunt u toelichten welke concrete economische voordelen voor Nederland zijn behaald met de huidige ontwikkelingssamenwerking in Benin, Oeganda en Burundi, en hoe deze worden meegewogen in de besluitvorming over verminderde verplichtingen?</w:t>
            </w:r>
          </w:p>
          <w:p w:rsidRPr="00B1445C" w:rsidR="00B1445C" w:rsidP="00EF7520" w:rsidRDefault="00B1445C" w14:paraId="33CA1240" w14:textId="77777777">
            <w:pPr>
              <w:rPr>
                <w:sz w:val="24"/>
                <w:szCs w:val="24"/>
              </w:rPr>
            </w:pPr>
          </w:p>
          <w:p w:rsidRPr="00B1445C" w:rsidR="00B1445C" w:rsidP="00850E35" w:rsidRDefault="00B1445C" w14:paraId="029F2306" w14:textId="764538C6">
            <w:pPr>
              <w:rPr>
                <w:b/>
                <w:bCs/>
                <w:sz w:val="24"/>
                <w:szCs w:val="24"/>
              </w:rPr>
            </w:pPr>
            <w:r w:rsidRPr="00B1445C">
              <w:rPr>
                <w:b/>
                <w:bCs/>
                <w:sz w:val="24"/>
                <w:szCs w:val="24"/>
              </w:rPr>
              <w:t>Antwoord:</w:t>
            </w:r>
          </w:p>
          <w:p w:rsidRPr="00B1445C" w:rsidR="00B1445C" w:rsidP="003644BE" w:rsidRDefault="00B1445C" w14:paraId="73418946" w14:textId="309BFAF9">
            <w:pPr>
              <w:rPr>
                <w:b/>
                <w:bCs/>
                <w:sz w:val="24"/>
                <w:szCs w:val="24"/>
              </w:rPr>
            </w:pPr>
            <w:r w:rsidRPr="00B1445C">
              <w:rPr>
                <w:b/>
                <w:bCs/>
                <w:sz w:val="24"/>
                <w:szCs w:val="24"/>
              </w:rPr>
              <w:t xml:space="preserve">In Benin hebben Nederlandse bedrijven dankzij het DRIVE-programma voor infrastructuur orders binnengehaald op het gebied van havenontwikkeling en kustbescherming.  </w:t>
            </w:r>
          </w:p>
          <w:p w:rsidRPr="00B1445C" w:rsidR="00B1445C" w:rsidP="00850E35" w:rsidRDefault="00B1445C" w14:paraId="5E8601D9" w14:textId="77777777">
            <w:pPr>
              <w:rPr>
                <w:b/>
                <w:sz w:val="24"/>
                <w:szCs w:val="24"/>
              </w:rPr>
            </w:pPr>
          </w:p>
          <w:p w:rsidRPr="00B1445C" w:rsidR="00B1445C" w:rsidP="00850E35" w:rsidRDefault="00B1445C" w14:paraId="5F77864F" w14:textId="4C91997D">
            <w:pPr>
              <w:rPr>
                <w:b/>
                <w:bCs/>
                <w:sz w:val="24"/>
                <w:szCs w:val="24"/>
              </w:rPr>
            </w:pPr>
            <w:r w:rsidRPr="00B1445C">
              <w:rPr>
                <w:b/>
                <w:bCs/>
                <w:sz w:val="24"/>
                <w:szCs w:val="24"/>
              </w:rPr>
              <w:t xml:space="preserve">In Oeganda werden met een agro handelsmissie en met deelname aan het EU-Uganda Business Forum zakelijke kansen in Oeganda verkend en werd een </w:t>
            </w:r>
            <w:proofErr w:type="spellStart"/>
            <w:r w:rsidRPr="00B1445C">
              <w:rPr>
                <w:b/>
                <w:bCs/>
                <w:sz w:val="24"/>
                <w:szCs w:val="24"/>
              </w:rPr>
              <w:t>MoU</w:t>
            </w:r>
            <w:proofErr w:type="spellEnd"/>
            <w:r w:rsidRPr="00B1445C">
              <w:rPr>
                <w:b/>
                <w:bCs/>
                <w:sz w:val="24"/>
                <w:szCs w:val="24"/>
              </w:rPr>
              <w:t xml:space="preserve"> ondertekend om in de visserijketen te investeren.</w:t>
            </w:r>
          </w:p>
          <w:p w:rsidRPr="00B1445C" w:rsidR="00B1445C" w:rsidP="00850E35" w:rsidRDefault="00B1445C" w14:paraId="7EFF82C7" w14:textId="77777777">
            <w:pPr>
              <w:rPr>
                <w:sz w:val="24"/>
                <w:szCs w:val="24"/>
              </w:rPr>
            </w:pPr>
          </w:p>
          <w:p w:rsidRPr="00B1445C" w:rsidR="00B1445C" w:rsidP="003644BE" w:rsidRDefault="00B1445C" w14:paraId="39C2C540" w14:textId="08BA29F4">
            <w:pPr>
              <w:rPr>
                <w:b/>
                <w:bCs/>
                <w:strike/>
                <w:sz w:val="24"/>
                <w:szCs w:val="24"/>
              </w:rPr>
            </w:pPr>
            <w:r w:rsidRPr="00B1445C">
              <w:rPr>
                <w:b/>
                <w:bCs/>
                <w:sz w:val="24"/>
                <w:szCs w:val="24"/>
              </w:rPr>
              <w:t xml:space="preserve">In Burundi vraagt het behalen van concrete economische voordelen meer tijd. Deze zullen ontstaan wanneer het land zich verder ontwikkelt. </w:t>
            </w:r>
          </w:p>
          <w:p w:rsidRPr="00B1445C" w:rsidR="00B1445C" w:rsidP="00850E35" w:rsidRDefault="00B1445C" w14:paraId="0D9A6CA3" w14:textId="403B6DC0">
            <w:pPr>
              <w:rPr>
                <w:sz w:val="24"/>
                <w:szCs w:val="24"/>
              </w:rPr>
            </w:pPr>
          </w:p>
        </w:tc>
      </w:tr>
      <w:tr w:rsidRPr="00B1445C" w:rsidR="00B1445C" w:rsidTr="00B1445C" w14:paraId="2F905AB3" w14:textId="77777777">
        <w:tc>
          <w:tcPr>
            <w:tcW w:w="567" w:type="dxa"/>
          </w:tcPr>
          <w:p w:rsidRPr="00B1445C" w:rsidR="00B1445C" w:rsidP="00EF7520" w:rsidRDefault="00B1445C" w14:paraId="129535E7" w14:textId="77777777">
            <w:pPr>
              <w:rPr>
                <w:sz w:val="24"/>
                <w:szCs w:val="24"/>
              </w:rPr>
            </w:pPr>
            <w:r w:rsidRPr="00B1445C">
              <w:rPr>
                <w:sz w:val="24"/>
                <w:szCs w:val="24"/>
              </w:rPr>
              <w:t>35</w:t>
            </w:r>
          </w:p>
        </w:tc>
        <w:tc>
          <w:tcPr>
            <w:tcW w:w="6521" w:type="dxa"/>
          </w:tcPr>
          <w:p w:rsidRPr="00B1445C" w:rsidR="00B1445C" w:rsidP="00EF7520" w:rsidRDefault="00B1445C" w14:paraId="2CB845BC" w14:textId="77777777">
            <w:pPr>
              <w:rPr>
                <w:sz w:val="24"/>
                <w:szCs w:val="24"/>
              </w:rPr>
            </w:pPr>
            <w:r w:rsidRPr="00B1445C">
              <w:rPr>
                <w:sz w:val="24"/>
                <w:szCs w:val="24"/>
              </w:rPr>
              <w:t>Hoe kan Nederland voorkomen dat de bezuinigingen op programma’s in Benin, Oeganda en Burundi economische zelfredzaamheid ondermijnen?</w:t>
            </w:r>
          </w:p>
          <w:p w:rsidRPr="00B1445C" w:rsidR="00B1445C" w:rsidP="00EF7520" w:rsidRDefault="00B1445C" w14:paraId="2FED08E0" w14:textId="77777777">
            <w:pPr>
              <w:rPr>
                <w:sz w:val="24"/>
                <w:szCs w:val="24"/>
              </w:rPr>
            </w:pPr>
          </w:p>
          <w:p w:rsidRPr="00B1445C" w:rsidR="00B1445C" w:rsidP="00850E35" w:rsidRDefault="00B1445C" w14:paraId="242E7725" w14:textId="77777777">
            <w:pPr>
              <w:rPr>
                <w:b/>
                <w:bCs/>
                <w:sz w:val="24"/>
                <w:szCs w:val="24"/>
              </w:rPr>
            </w:pPr>
            <w:r w:rsidRPr="00B1445C">
              <w:rPr>
                <w:b/>
                <w:bCs/>
                <w:sz w:val="24"/>
                <w:szCs w:val="24"/>
              </w:rPr>
              <w:t>Antwoord:</w:t>
            </w:r>
          </w:p>
          <w:p w:rsidRPr="00B1445C" w:rsidR="00B1445C" w:rsidP="004E2434" w:rsidRDefault="00B1445C" w14:paraId="4C0EBB5C" w14:textId="3860CE0A">
            <w:pPr>
              <w:rPr>
                <w:b/>
                <w:bCs/>
                <w:sz w:val="24"/>
                <w:szCs w:val="24"/>
              </w:rPr>
            </w:pPr>
            <w:r w:rsidRPr="00B1445C">
              <w:rPr>
                <w:b/>
                <w:bCs/>
                <w:sz w:val="24"/>
                <w:szCs w:val="24"/>
              </w:rPr>
              <w:t>Er moeten scherpe keuzes gemaakt worden op het terrein van Ontwikkelingshulp. De bezuinigingen worden zorgvuldig uitgevoerd. Gezondheid blijft een prioriteit binnen het BHO-beleid.</w:t>
            </w:r>
          </w:p>
          <w:p w:rsidRPr="00B1445C" w:rsidR="00B1445C" w:rsidP="00850E35" w:rsidRDefault="00B1445C" w14:paraId="01418E94" w14:textId="3A589879">
            <w:pPr>
              <w:rPr>
                <w:sz w:val="24"/>
                <w:szCs w:val="24"/>
              </w:rPr>
            </w:pPr>
          </w:p>
        </w:tc>
      </w:tr>
      <w:tr w:rsidRPr="00B1445C" w:rsidR="00B1445C" w:rsidTr="00B1445C" w14:paraId="40C3537E" w14:textId="77777777">
        <w:tc>
          <w:tcPr>
            <w:tcW w:w="567" w:type="dxa"/>
          </w:tcPr>
          <w:p w:rsidRPr="00B1445C" w:rsidR="00B1445C" w:rsidP="00EF7520" w:rsidRDefault="00B1445C" w14:paraId="4FF45D4B" w14:textId="77777777">
            <w:pPr>
              <w:rPr>
                <w:sz w:val="24"/>
                <w:szCs w:val="24"/>
              </w:rPr>
            </w:pPr>
            <w:r w:rsidRPr="00B1445C">
              <w:rPr>
                <w:sz w:val="24"/>
                <w:szCs w:val="24"/>
              </w:rPr>
              <w:t>36</w:t>
            </w:r>
          </w:p>
        </w:tc>
        <w:tc>
          <w:tcPr>
            <w:tcW w:w="6521" w:type="dxa"/>
          </w:tcPr>
          <w:p w:rsidRPr="00B1445C" w:rsidR="00B1445C" w:rsidP="00EF7520" w:rsidRDefault="00B1445C" w14:paraId="45B17FBC" w14:textId="77777777">
            <w:pPr>
              <w:rPr>
                <w:sz w:val="24"/>
                <w:szCs w:val="24"/>
              </w:rPr>
            </w:pPr>
            <w:r w:rsidRPr="00B1445C">
              <w:rPr>
                <w:sz w:val="24"/>
                <w:szCs w:val="24"/>
              </w:rPr>
              <w:t xml:space="preserve">Kunt u specificeren hoe de verminderde </w:t>
            </w:r>
            <w:proofErr w:type="spellStart"/>
            <w:r w:rsidRPr="00B1445C">
              <w:rPr>
                <w:sz w:val="24"/>
                <w:szCs w:val="24"/>
              </w:rPr>
              <w:t>committeringen</w:t>
            </w:r>
            <w:proofErr w:type="spellEnd"/>
            <w:r w:rsidRPr="00B1445C">
              <w:rPr>
                <w:sz w:val="24"/>
                <w:szCs w:val="24"/>
              </w:rPr>
              <w:t xml:space="preserve"> in Oeganda zich verhouden tot het voorgenomen beleid om asielzoekers daar op te vangen en terug te sturen?  En kunt u aangeven wat de stand van zaken van dit voornemen is?</w:t>
            </w:r>
          </w:p>
          <w:p w:rsidRPr="00B1445C" w:rsidR="00B1445C" w:rsidP="00EF7520" w:rsidRDefault="00B1445C" w14:paraId="132DFEB4" w14:textId="77777777">
            <w:pPr>
              <w:rPr>
                <w:sz w:val="24"/>
                <w:szCs w:val="24"/>
              </w:rPr>
            </w:pPr>
          </w:p>
          <w:p w:rsidRPr="00B1445C" w:rsidR="00B1445C" w:rsidP="00EF7520" w:rsidRDefault="00B1445C" w14:paraId="7EA306A0" w14:textId="77777777">
            <w:pPr>
              <w:rPr>
                <w:sz w:val="24"/>
                <w:szCs w:val="24"/>
              </w:rPr>
            </w:pPr>
          </w:p>
          <w:p w:rsidRPr="00B1445C" w:rsidR="00B1445C" w:rsidP="00850E35" w:rsidRDefault="00B1445C" w14:paraId="3F8466B4" w14:textId="77777777">
            <w:pPr>
              <w:rPr>
                <w:b/>
                <w:bCs/>
                <w:sz w:val="24"/>
                <w:szCs w:val="24"/>
              </w:rPr>
            </w:pPr>
            <w:r w:rsidRPr="00B1445C">
              <w:rPr>
                <w:b/>
                <w:bCs/>
                <w:sz w:val="24"/>
                <w:szCs w:val="24"/>
              </w:rPr>
              <w:t>Antwoord:</w:t>
            </w:r>
          </w:p>
          <w:p w:rsidRPr="00B1445C" w:rsidR="00B1445C" w:rsidP="00850E35" w:rsidRDefault="00B1445C" w14:paraId="266F5415" w14:textId="6A217322">
            <w:pPr>
              <w:rPr>
                <w:sz w:val="24"/>
                <w:szCs w:val="24"/>
              </w:rPr>
            </w:pPr>
            <w:r w:rsidRPr="00B1445C">
              <w:rPr>
                <w:b/>
                <w:bCs/>
                <w:sz w:val="24"/>
                <w:szCs w:val="24"/>
              </w:rPr>
              <w:t xml:space="preserve">Er is geen relatie tussen deze verlaagde </w:t>
            </w:r>
            <w:proofErr w:type="spellStart"/>
            <w:r w:rsidRPr="00B1445C">
              <w:rPr>
                <w:b/>
                <w:bCs/>
                <w:sz w:val="24"/>
                <w:szCs w:val="24"/>
              </w:rPr>
              <w:t>committering</w:t>
            </w:r>
            <w:proofErr w:type="spellEnd"/>
            <w:r w:rsidRPr="00B1445C">
              <w:rPr>
                <w:b/>
                <w:bCs/>
                <w:sz w:val="24"/>
                <w:szCs w:val="24"/>
              </w:rPr>
              <w:t xml:space="preserve"> en de verkenning van een mogelijke intensievere migratiesamenwerking met Oeganda. Deze verkenning bevindt zich nog in een beginstadium. Het is daarom te vroeg om iets te zeggen over de voortgang. </w:t>
            </w:r>
          </w:p>
          <w:p w:rsidRPr="00B1445C" w:rsidR="00B1445C" w:rsidP="00850E35" w:rsidRDefault="00B1445C" w14:paraId="6CABDF09" w14:textId="1D1C9444">
            <w:pPr>
              <w:rPr>
                <w:sz w:val="24"/>
                <w:szCs w:val="24"/>
              </w:rPr>
            </w:pPr>
          </w:p>
        </w:tc>
      </w:tr>
      <w:tr w:rsidRPr="00B1445C" w:rsidR="00B1445C" w:rsidTr="00B1445C" w14:paraId="371837C6" w14:textId="77777777">
        <w:tc>
          <w:tcPr>
            <w:tcW w:w="567" w:type="dxa"/>
          </w:tcPr>
          <w:p w:rsidRPr="00B1445C" w:rsidR="00B1445C" w:rsidP="00EF7520" w:rsidRDefault="00B1445C" w14:paraId="2066E8AF" w14:textId="77777777">
            <w:pPr>
              <w:rPr>
                <w:sz w:val="24"/>
                <w:szCs w:val="24"/>
              </w:rPr>
            </w:pPr>
            <w:r w:rsidRPr="00B1445C">
              <w:rPr>
                <w:sz w:val="24"/>
                <w:szCs w:val="24"/>
              </w:rPr>
              <w:lastRenderedPageBreak/>
              <w:t>37</w:t>
            </w:r>
          </w:p>
        </w:tc>
        <w:tc>
          <w:tcPr>
            <w:tcW w:w="6521" w:type="dxa"/>
          </w:tcPr>
          <w:p w:rsidRPr="00B1445C" w:rsidR="00B1445C" w:rsidP="00EF7520" w:rsidRDefault="00B1445C" w14:paraId="452289FE" w14:textId="77777777">
            <w:pPr>
              <w:rPr>
                <w:sz w:val="24"/>
                <w:szCs w:val="24"/>
              </w:rPr>
            </w:pPr>
            <w:r w:rsidRPr="00B1445C">
              <w:rPr>
                <w:sz w:val="24"/>
                <w:szCs w:val="24"/>
              </w:rPr>
              <w:t>Waarom wordt €15,7 miljoen extra vrijgemaakt voor humanitaire hulp, terwijl het Stabiliteitsfonds voor Gaza hiervan €2 miljoen ontvangt?</w:t>
            </w:r>
          </w:p>
          <w:p w:rsidRPr="00B1445C" w:rsidR="00B1445C" w:rsidP="00EF7520" w:rsidRDefault="00B1445C" w14:paraId="09C55AC1" w14:textId="77777777">
            <w:pPr>
              <w:rPr>
                <w:sz w:val="24"/>
                <w:szCs w:val="24"/>
              </w:rPr>
            </w:pPr>
          </w:p>
          <w:p w:rsidRPr="00B1445C" w:rsidR="00B1445C" w:rsidP="00850E35" w:rsidRDefault="00B1445C" w14:paraId="54BBEC75" w14:textId="77777777">
            <w:pPr>
              <w:rPr>
                <w:b/>
                <w:bCs/>
                <w:sz w:val="24"/>
                <w:szCs w:val="24"/>
              </w:rPr>
            </w:pPr>
            <w:r w:rsidRPr="00B1445C">
              <w:rPr>
                <w:b/>
                <w:bCs/>
                <w:sz w:val="24"/>
                <w:szCs w:val="24"/>
              </w:rPr>
              <w:t>Antwoord:</w:t>
            </w:r>
          </w:p>
          <w:p w:rsidRPr="00B1445C" w:rsidR="00B1445C" w:rsidP="00850E35" w:rsidRDefault="00B1445C" w14:paraId="6C7868D2" w14:textId="7E4DACC9">
            <w:pPr>
              <w:rPr>
                <w:b/>
                <w:sz w:val="24"/>
                <w:szCs w:val="24"/>
              </w:rPr>
            </w:pPr>
            <w:r w:rsidRPr="00B1445C">
              <w:rPr>
                <w:b/>
                <w:sz w:val="24"/>
                <w:szCs w:val="24"/>
              </w:rPr>
              <w:t>Het klopt dat er in 2024 extra geld wordt vrijgemaakt voor Humanitaire Hulp, dit is afkomstig van de begroting van Asiel en Migratie en houdt verband met lagere geraamde asieluitgaven.</w:t>
            </w:r>
          </w:p>
          <w:p w:rsidRPr="00B1445C" w:rsidR="00B1445C" w:rsidP="00850E35" w:rsidRDefault="00B1445C" w14:paraId="1C3AC09E" w14:textId="6D14036F">
            <w:pPr>
              <w:rPr>
                <w:b/>
                <w:sz w:val="24"/>
                <w:szCs w:val="24"/>
              </w:rPr>
            </w:pPr>
            <w:r w:rsidRPr="00B1445C">
              <w:rPr>
                <w:b/>
                <w:sz w:val="24"/>
                <w:szCs w:val="24"/>
              </w:rPr>
              <w:t xml:space="preserve">Ook is het correct dat een bedrag van EUR 2 mln. wordt overgeheveld naar de begroting van Buitenlandse Zaken om via het stabiliteitsfonds in te kunnen zetten op verbetering van humanitaire toegang voor hulp aan Gaza  </w:t>
            </w:r>
          </w:p>
          <w:p w:rsidRPr="00B1445C" w:rsidR="00B1445C" w:rsidP="00850E35" w:rsidRDefault="00B1445C" w14:paraId="26F9483C" w14:textId="5703C966">
            <w:pPr>
              <w:rPr>
                <w:sz w:val="24"/>
                <w:szCs w:val="24"/>
              </w:rPr>
            </w:pPr>
          </w:p>
        </w:tc>
      </w:tr>
      <w:tr w:rsidRPr="00B1445C" w:rsidR="00B1445C" w:rsidTr="00B1445C" w14:paraId="1AF3128A" w14:textId="77777777">
        <w:tc>
          <w:tcPr>
            <w:tcW w:w="567" w:type="dxa"/>
          </w:tcPr>
          <w:p w:rsidRPr="00B1445C" w:rsidR="00B1445C" w:rsidP="00EF7520" w:rsidRDefault="00B1445C" w14:paraId="3720862A" w14:textId="77777777">
            <w:pPr>
              <w:rPr>
                <w:sz w:val="24"/>
                <w:szCs w:val="24"/>
              </w:rPr>
            </w:pPr>
            <w:r w:rsidRPr="00B1445C">
              <w:rPr>
                <w:sz w:val="24"/>
                <w:szCs w:val="24"/>
              </w:rPr>
              <w:t>38</w:t>
            </w:r>
          </w:p>
        </w:tc>
        <w:tc>
          <w:tcPr>
            <w:tcW w:w="6521" w:type="dxa"/>
          </w:tcPr>
          <w:p w:rsidRPr="00B1445C" w:rsidR="00B1445C" w:rsidP="00EF7520" w:rsidRDefault="00B1445C" w14:paraId="21684331" w14:textId="77777777">
            <w:pPr>
              <w:rPr>
                <w:sz w:val="24"/>
                <w:szCs w:val="24"/>
              </w:rPr>
            </w:pPr>
            <w:r w:rsidRPr="00B1445C">
              <w:rPr>
                <w:sz w:val="24"/>
                <w:szCs w:val="24"/>
              </w:rPr>
              <w:t>Hoeveel (extra) middelen worden er direct en indirect uitgegeven aan Gaza in 2024? Kunt u een overzicht geven van de uitgaven en de mutaties?</w:t>
            </w:r>
          </w:p>
          <w:p w:rsidRPr="00B1445C" w:rsidR="00B1445C" w:rsidP="00EF7520" w:rsidRDefault="00B1445C" w14:paraId="20740001" w14:textId="77777777">
            <w:pPr>
              <w:rPr>
                <w:sz w:val="24"/>
                <w:szCs w:val="24"/>
              </w:rPr>
            </w:pPr>
          </w:p>
          <w:p w:rsidRPr="00B1445C" w:rsidR="00B1445C" w:rsidP="00850E35" w:rsidRDefault="00B1445C" w14:paraId="09E9DC16" w14:textId="77777777">
            <w:pPr>
              <w:rPr>
                <w:b/>
                <w:bCs/>
                <w:sz w:val="24"/>
                <w:szCs w:val="24"/>
              </w:rPr>
            </w:pPr>
            <w:r w:rsidRPr="00B1445C">
              <w:rPr>
                <w:b/>
                <w:bCs/>
                <w:sz w:val="24"/>
                <w:szCs w:val="24"/>
              </w:rPr>
              <w:t>Antwoord:</w:t>
            </w:r>
          </w:p>
          <w:p w:rsidRPr="00B1445C" w:rsidR="00B1445C" w:rsidP="00734A7A" w:rsidRDefault="00B1445C" w14:paraId="1B4C1352" w14:textId="77777777">
            <w:pPr>
              <w:spacing w:line="276" w:lineRule="auto"/>
              <w:rPr>
                <w:b/>
                <w:bCs/>
                <w:sz w:val="24"/>
                <w:szCs w:val="24"/>
                <w:lang w:eastAsia="en-US"/>
                <w14:ligatures w14:val="standardContextual"/>
              </w:rPr>
            </w:pPr>
            <w:r w:rsidRPr="00B1445C">
              <w:rPr>
                <w:b/>
                <w:bCs/>
                <w:sz w:val="24"/>
                <w:szCs w:val="24"/>
                <w:lang w:eastAsia="en-US"/>
                <w14:ligatures w14:val="standardContextual"/>
              </w:rPr>
              <w:t xml:space="preserve">Nederland ondersteunt hulporganisaties met </w:t>
            </w:r>
            <w:proofErr w:type="spellStart"/>
            <w:r w:rsidRPr="00B1445C">
              <w:rPr>
                <w:b/>
                <w:bCs/>
                <w:sz w:val="24"/>
                <w:szCs w:val="24"/>
                <w:lang w:eastAsia="en-US"/>
                <w14:ligatures w14:val="standardContextual"/>
              </w:rPr>
              <w:t>ongeoormerkte</w:t>
            </w:r>
            <w:proofErr w:type="spellEnd"/>
            <w:r w:rsidRPr="00B1445C">
              <w:rPr>
                <w:b/>
                <w:bCs/>
                <w:sz w:val="24"/>
                <w:szCs w:val="24"/>
                <w:lang w:eastAsia="en-US"/>
                <w14:ligatures w14:val="standardContextual"/>
              </w:rPr>
              <w:t xml:space="preserve"> financiering die ook ingezet kan worden voor bekostiging van activiteiten in de Palestijnse Gebieden. Gezien de urgentie en schaal van de humanitaire noden zijn in 2024, net als in 2023, aanvullende bijdragen aan hulporganisaties gedaan. In 2024 betrof dit een bedrag ter hoogte van EUR 21,7 miljoen voor de crisis in de Palestijnse Gebieden en impact op de regio:</w:t>
            </w:r>
          </w:p>
          <w:p w:rsidRPr="00B1445C" w:rsidR="00B1445C" w:rsidP="00734A7A" w:rsidRDefault="00B1445C" w14:paraId="508DDF3E" w14:textId="77777777">
            <w:pPr>
              <w:pStyle w:val="Lijstalinea"/>
              <w:numPr>
                <w:ilvl w:val="0"/>
                <w:numId w:val="2"/>
              </w:numPr>
              <w:spacing w:line="276" w:lineRule="auto"/>
              <w:contextualSpacing w:val="0"/>
              <w:rPr>
                <w:b/>
                <w:bCs/>
                <w:sz w:val="24"/>
                <w:szCs w:val="24"/>
                <w:lang w:eastAsia="en-US"/>
                <w14:ligatures w14:val="standardContextual"/>
              </w:rPr>
            </w:pPr>
            <w:r w:rsidRPr="00B1445C">
              <w:rPr>
                <w:b/>
                <w:bCs/>
                <w:sz w:val="24"/>
                <w:szCs w:val="24"/>
                <w:lang w:eastAsia="en-US"/>
                <w14:ligatures w14:val="standardContextual"/>
              </w:rPr>
              <w:t>Internationale Comité van het Rode Kruis (ICRC), EUR 3 miljoen;</w:t>
            </w:r>
          </w:p>
          <w:p w:rsidRPr="00B1445C" w:rsidR="00B1445C" w:rsidP="00734A7A" w:rsidRDefault="00B1445C" w14:paraId="6DBA3F0A" w14:textId="77777777">
            <w:pPr>
              <w:pStyle w:val="Lijstalinea"/>
              <w:numPr>
                <w:ilvl w:val="0"/>
                <w:numId w:val="2"/>
              </w:numPr>
              <w:spacing w:line="276" w:lineRule="auto"/>
              <w:contextualSpacing w:val="0"/>
              <w:rPr>
                <w:b/>
                <w:bCs/>
                <w:sz w:val="24"/>
                <w:szCs w:val="24"/>
                <w:lang w:val="en-US" w:eastAsia="en-US"/>
                <w14:ligatures w14:val="standardContextual"/>
              </w:rPr>
            </w:pPr>
            <w:r w:rsidRPr="00B1445C">
              <w:rPr>
                <w:b/>
                <w:bCs/>
                <w:sz w:val="24"/>
                <w:szCs w:val="24"/>
                <w:lang w:val="en-US" w:eastAsia="en-US"/>
                <w14:ligatures w14:val="standardContextual"/>
              </w:rPr>
              <w:t xml:space="preserve">World Health Organization (WHO), EUR 3 </w:t>
            </w:r>
            <w:proofErr w:type="spellStart"/>
            <w:r w:rsidRPr="00B1445C">
              <w:rPr>
                <w:b/>
                <w:bCs/>
                <w:sz w:val="24"/>
                <w:szCs w:val="24"/>
                <w:lang w:val="en-US" w:eastAsia="en-US"/>
                <w14:ligatures w14:val="standardContextual"/>
              </w:rPr>
              <w:t>miljoen</w:t>
            </w:r>
            <w:proofErr w:type="spellEnd"/>
            <w:r w:rsidRPr="00B1445C">
              <w:rPr>
                <w:b/>
                <w:bCs/>
                <w:sz w:val="24"/>
                <w:szCs w:val="24"/>
                <w:lang w:val="en-US" w:eastAsia="en-US"/>
                <w14:ligatures w14:val="standardContextual"/>
              </w:rPr>
              <w:t>;</w:t>
            </w:r>
          </w:p>
          <w:p w:rsidRPr="00B1445C" w:rsidR="00B1445C" w:rsidP="00734A7A" w:rsidRDefault="00B1445C" w14:paraId="1D114398" w14:textId="77777777">
            <w:pPr>
              <w:pStyle w:val="Lijstalinea"/>
              <w:numPr>
                <w:ilvl w:val="0"/>
                <w:numId w:val="2"/>
              </w:numPr>
              <w:spacing w:line="276" w:lineRule="auto"/>
              <w:contextualSpacing w:val="0"/>
              <w:rPr>
                <w:b/>
                <w:bCs/>
                <w:sz w:val="24"/>
                <w:szCs w:val="24"/>
                <w:lang w:eastAsia="en-US"/>
                <w14:ligatures w14:val="standardContextual"/>
              </w:rPr>
            </w:pPr>
            <w:r w:rsidRPr="00B1445C">
              <w:rPr>
                <w:b/>
                <w:bCs/>
                <w:sz w:val="24"/>
                <w:szCs w:val="24"/>
                <w:lang w:eastAsia="en-US"/>
                <w14:ligatures w14:val="standardContextual"/>
              </w:rPr>
              <w:t xml:space="preserve">VN-Bureau voor </w:t>
            </w:r>
            <w:proofErr w:type="spellStart"/>
            <w:r w:rsidRPr="00B1445C">
              <w:rPr>
                <w:b/>
                <w:bCs/>
                <w:sz w:val="24"/>
                <w:szCs w:val="24"/>
                <w:lang w:eastAsia="en-US"/>
                <w14:ligatures w14:val="standardContextual"/>
              </w:rPr>
              <w:t>Projectondersteunende</w:t>
            </w:r>
            <w:proofErr w:type="spellEnd"/>
            <w:r w:rsidRPr="00B1445C">
              <w:rPr>
                <w:b/>
                <w:bCs/>
                <w:sz w:val="24"/>
                <w:szCs w:val="24"/>
                <w:lang w:eastAsia="en-US"/>
                <w14:ligatures w14:val="standardContextual"/>
              </w:rPr>
              <w:t xml:space="preserve"> Diensten (UNOPS, t.b.v. implementatie van implementatie Resolutie 2720 van de Veiligheidsraad van de VN), EUR 5 miljoen;</w:t>
            </w:r>
          </w:p>
          <w:p w:rsidRPr="00B1445C" w:rsidR="00B1445C" w:rsidP="00734A7A" w:rsidRDefault="00B1445C" w14:paraId="3A5AD37E" w14:textId="77777777">
            <w:pPr>
              <w:pStyle w:val="Lijstalinea"/>
              <w:numPr>
                <w:ilvl w:val="0"/>
                <w:numId w:val="2"/>
              </w:numPr>
              <w:spacing w:line="276" w:lineRule="auto"/>
              <w:contextualSpacing w:val="0"/>
              <w:rPr>
                <w:b/>
                <w:bCs/>
                <w:sz w:val="24"/>
                <w:szCs w:val="24"/>
                <w:lang w:eastAsia="en-US"/>
                <w14:ligatures w14:val="standardContextual"/>
              </w:rPr>
            </w:pPr>
            <w:r w:rsidRPr="00B1445C">
              <w:rPr>
                <w:b/>
                <w:bCs/>
                <w:sz w:val="24"/>
                <w:szCs w:val="24"/>
                <w:lang w:eastAsia="en-US"/>
                <w14:ligatures w14:val="standardContextual"/>
              </w:rPr>
              <w:t>Internationale Arbeidsorganisatie (ILO), EUR 4 miljoen;</w:t>
            </w:r>
          </w:p>
          <w:p w:rsidRPr="00B1445C" w:rsidR="00B1445C" w:rsidP="00734A7A" w:rsidRDefault="00B1445C" w14:paraId="4970683B" w14:textId="77777777">
            <w:pPr>
              <w:pStyle w:val="Lijstalinea"/>
              <w:numPr>
                <w:ilvl w:val="0"/>
                <w:numId w:val="2"/>
              </w:numPr>
              <w:spacing w:line="276" w:lineRule="auto"/>
              <w:contextualSpacing w:val="0"/>
              <w:rPr>
                <w:b/>
                <w:bCs/>
                <w:sz w:val="24"/>
                <w:szCs w:val="24"/>
                <w:lang w:eastAsia="en-US"/>
                <w14:ligatures w14:val="standardContextual"/>
              </w:rPr>
            </w:pPr>
            <w:r w:rsidRPr="00B1445C">
              <w:rPr>
                <w:b/>
                <w:bCs/>
                <w:sz w:val="24"/>
                <w:szCs w:val="24"/>
                <w:lang w:eastAsia="en-US"/>
                <w14:ligatures w14:val="standardContextual"/>
              </w:rPr>
              <w:t>Kinderfonds van de VN (UNICEF), EUR 6,7 miljoen.</w:t>
            </w:r>
          </w:p>
          <w:p w:rsidRPr="00B1445C" w:rsidR="00B1445C" w:rsidP="00734A7A" w:rsidRDefault="00B1445C" w14:paraId="785B8901" w14:textId="77777777">
            <w:pPr>
              <w:spacing w:line="276" w:lineRule="auto"/>
              <w:rPr>
                <w:rFonts w:eastAsiaTheme="minorHAnsi"/>
                <w:b/>
                <w:bCs/>
                <w:sz w:val="24"/>
                <w:szCs w:val="24"/>
                <w:lang w:eastAsia="en-US"/>
                <w14:ligatures w14:val="standardContextual"/>
              </w:rPr>
            </w:pPr>
            <w:r w:rsidRPr="00B1445C">
              <w:rPr>
                <w:b/>
                <w:bCs/>
                <w:sz w:val="24"/>
                <w:szCs w:val="24"/>
                <w:lang w:eastAsia="en-US"/>
                <w14:ligatures w14:val="standardContextual"/>
              </w:rPr>
              <w:t xml:space="preserve">Daarnaast bekostigde Nederland </w:t>
            </w:r>
            <w:r w:rsidRPr="00B1445C">
              <w:rPr>
                <w:b/>
                <w:bCs/>
                <w:i/>
                <w:iCs/>
                <w:sz w:val="24"/>
                <w:szCs w:val="24"/>
                <w:lang w:eastAsia="en-US"/>
                <w14:ligatures w14:val="standardContextual"/>
              </w:rPr>
              <w:t xml:space="preserve">air </w:t>
            </w:r>
            <w:proofErr w:type="spellStart"/>
            <w:r w:rsidRPr="00B1445C">
              <w:rPr>
                <w:b/>
                <w:bCs/>
                <w:i/>
                <w:iCs/>
                <w:sz w:val="24"/>
                <w:szCs w:val="24"/>
                <w:lang w:eastAsia="en-US"/>
                <w14:ligatures w14:val="standardContextual"/>
              </w:rPr>
              <w:t>drops</w:t>
            </w:r>
            <w:proofErr w:type="spellEnd"/>
            <w:r w:rsidRPr="00B1445C">
              <w:rPr>
                <w:b/>
                <w:bCs/>
                <w:i/>
                <w:iCs/>
                <w:sz w:val="24"/>
                <w:szCs w:val="24"/>
                <w:lang w:eastAsia="en-US"/>
                <w14:ligatures w14:val="standardContextual"/>
              </w:rPr>
              <w:t xml:space="preserve"> </w:t>
            </w:r>
            <w:r w:rsidRPr="00B1445C">
              <w:rPr>
                <w:b/>
                <w:bCs/>
                <w:sz w:val="24"/>
                <w:szCs w:val="24"/>
                <w:lang w:eastAsia="en-US"/>
                <w14:ligatures w14:val="standardContextual"/>
              </w:rPr>
              <w:t>voor Gaza ter waarde van EUR 2,4 miljoen, en financiert Nederland twee palletscanners ter waarde van EUR 1,7 miljoen die via UNOPS aan ISR worden geleverd voor versnelde invoer van humanitaire hulpgoederen over land naar Gaza.</w:t>
            </w:r>
          </w:p>
          <w:p w:rsidRPr="00B1445C" w:rsidR="00B1445C" w:rsidP="00850E35" w:rsidRDefault="00B1445C" w14:paraId="75C7CDEC" w14:textId="5BA74535">
            <w:pPr>
              <w:rPr>
                <w:sz w:val="24"/>
                <w:szCs w:val="24"/>
              </w:rPr>
            </w:pPr>
          </w:p>
        </w:tc>
      </w:tr>
      <w:tr w:rsidRPr="00B1445C" w:rsidR="00B1445C" w:rsidTr="00B1445C" w14:paraId="07EA3D90" w14:textId="77777777">
        <w:tc>
          <w:tcPr>
            <w:tcW w:w="567" w:type="dxa"/>
          </w:tcPr>
          <w:p w:rsidRPr="00B1445C" w:rsidR="00B1445C" w:rsidP="00EF7520" w:rsidRDefault="00B1445C" w14:paraId="7A1B06CE" w14:textId="77777777">
            <w:pPr>
              <w:rPr>
                <w:sz w:val="24"/>
                <w:szCs w:val="24"/>
              </w:rPr>
            </w:pPr>
            <w:r w:rsidRPr="00B1445C">
              <w:rPr>
                <w:sz w:val="24"/>
                <w:szCs w:val="24"/>
              </w:rPr>
              <w:lastRenderedPageBreak/>
              <w:t>39</w:t>
            </w:r>
          </w:p>
        </w:tc>
        <w:tc>
          <w:tcPr>
            <w:tcW w:w="6521" w:type="dxa"/>
          </w:tcPr>
          <w:p w:rsidRPr="00B1445C" w:rsidR="00B1445C" w:rsidP="00EF7520" w:rsidRDefault="00B1445C" w14:paraId="30554B07" w14:textId="204ACE53">
            <w:pPr>
              <w:rPr>
                <w:sz w:val="24"/>
                <w:szCs w:val="24"/>
              </w:rPr>
            </w:pPr>
            <w:r w:rsidRPr="00B1445C">
              <w:rPr>
                <w:sz w:val="24"/>
                <w:szCs w:val="24"/>
              </w:rPr>
              <w:t>Wat is de reden voor de bezuinigingen op opvang en migratie?</w:t>
            </w:r>
            <w:r w:rsidRPr="00B1445C">
              <w:rPr>
                <w:sz w:val="24"/>
                <w:szCs w:val="24"/>
              </w:rPr>
              <w:br/>
            </w:r>
          </w:p>
          <w:p w:rsidRPr="00B1445C" w:rsidR="00B1445C" w:rsidP="00850E35" w:rsidRDefault="00B1445C" w14:paraId="45F51281" w14:textId="56666D3F">
            <w:pPr>
              <w:rPr>
                <w:sz w:val="24"/>
                <w:szCs w:val="24"/>
              </w:rPr>
            </w:pPr>
            <w:r w:rsidRPr="00B1445C">
              <w:rPr>
                <w:b/>
                <w:bCs/>
                <w:sz w:val="24"/>
                <w:szCs w:val="24"/>
              </w:rPr>
              <w:t>Antwoord:</w:t>
            </w:r>
            <w:r w:rsidRPr="00B1445C">
              <w:rPr>
                <w:sz w:val="24"/>
                <w:szCs w:val="24"/>
              </w:rPr>
              <w:br/>
            </w:r>
            <w:r w:rsidRPr="00B1445C">
              <w:rPr>
                <w:b/>
                <w:bCs/>
                <w:sz w:val="24"/>
                <w:szCs w:val="24"/>
              </w:rPr>
              <w:t>Op het totaal budget voor artikelonderdeel 4.2 ‘Opvang en bescherming in de regio en migratiesamenwerking’ wordt in de tweede suppletoire begroting 2024 niet bezuinigd. Wel hebben er binnen het artikelonderdeel enkele verschuivingen plaatsgevonden. Zo is er EUR 3,2 miljoen verschoven van opvang in de regio en migratie subsidies naar opvang in de regio en migratie bijdragen.</w:t>
            </w:r>
          </w:p>
          <w:p w:rsidRPr="00B1445C" w:rsidR="00B1445C" w:rsidP="00850E35" w:rsidRDefault="00B1445C" w14:paraId="79E10265" w14:textId="1926147F">
            <w:pPr>
              <w:rPr>
                <w:sz w:val="24"/>
                <w:szCs w:val="24"/>
              </w:rPr>
            </w:pPr>
          </w:p>
        </w:tc>
      </w:tr>
      <w:tr w:rsidRPr="00B1445C" w:rsidR="00B1445C" w:rsidTr="00B1445C" w14:paraId="5AFF757D" w14:textId="77777777">
        <w:tc>
          <w:tcPr>
            <w:tcW w:w="567" w:type="dxa"/>
          </w:tcPr>
          <w:p w:rsidRPr="00B1445C" w:rsidR="00B1445C" w:rsidP="00EF7520" w:rsidRDefault="00B1445C" w14:paraId="40486A1F" w14:textId="77777777">
            <w:pPr>
              <w:rPr>
                <w:sz w:val="24"/>
                <w:szCs w:val="24"/>
              </w:rPr>
            </w:pPr>
            <w:r w:rsidRPr="00B1445C">
              <w:rPr>
                <w:sz w:val="24"/>
                <w:szCs w:val="24"/>
              </w:rPr>
              <w:t>40</w:t>
            </w:r>
          </w:p>
        </w:tc>
        <w:tc>
          <w:tcPr>
            <w:tcW w:w="6521" w:type="dxa"/>
          </w:tcPr>
          <w:p w:rsidRPr="00B1445C" w:rsidR="00B1445C" w:rsidP="00EF7520" w:rsidRDefault="00B1445C" w14:paraId="6B20B531" w14:textId="77777777">
            <w:pPr>
              <w:rPr>
                <w:sz w:val="24"/>
                <w:szCs w:val="24"/>
              </w:rPr>
            </w:pPr>
            <w:r w:rsidRPr="00B1445C">
              <w:rPr>
                <w:sz w:val="24"/>
                <w:szCs w:val="24"/>
              </w:rPr>
              <w:t xml:space="preserve">Kunt u specificeren welke concrete resultaten zijn behaald met de uitgaven voor humanitaire hulp via het Central </w:t>
            </w:r>
            <w:proofErr w:type="spellStart"/>
            <w:r w:rsidRPr="00B1445C">
              <w:rPr>
                <w:sz w:val="24"/>
                <w:szCs w:val="24"/>
              </w:rPr>
              <w:t>Emergency</w:t>
            </w:r>
            <w:proofErr w:type="spellEnd"/>
            <w:r w:rsidRPr="00B1445C">
              <w:rPr>
                <w:sz w:val="24"/>
                <w:szCs w:val="24"/>
              </w:rPr>
              <w:t xml:space="preserve"> Response Fund (CERF) en de </w:t>
            </w:r>
            <w:proofErr w:type="spellStart"/>
            <w:r w:rsidRPr="00B1445C">
              <w:rPr>
                <w:sz w:val="24"/>
                <w:szCs w:val="24"/>
              </w:rPr>
              <w:t>landenspecifieke</w:t>
            </w:r>
            <w:proofErr w:type="spellEnd"/>
            <w:r w:rsidRPr="00B1445C">
              <w:rPr>
                <w:sz w:val="24"/>
                <w:szCs w:val="24"/>
              </w:rPr>
              <w:t xml:space="preserve"> VN-fondsen, en hoe wordt de effectiviteit van deze bestedingen gemeten?</w:t>
            </w:r>
          </w:p>
          <w:p w:rsidRPr="00B1445C" w:rsidR="00B1445C" w:rsidP="00EF7520" w:rsidRDefault="00B1445C" w14:paraId="1C810964" w14:textId="259C03CD">
            <w:pPr>
              <w:rPr>
                <w:sz w:val="24"/>
                <w:szCs w:val="24"/>
              </w:rPr>
            </w:pPr>
          </w:p>
          <w:p w:rsidRPr="00B1445C" w:rsidR="00B1445C" w:rsidP="77D83D0D" w:rsidRDefault="00B1445C" w14:paraId="41F59475" w14:textId="12263AB9">
            <w:pPr>
              <w:rPr>
                <w:sz w:val="24"/>
                <w:szCs w:val="24"/>
              </w:rPr>
            </w:pPr>
            <w:r w:rsidRPr="00B1445C">
              <w:rPr>
                <w:b/>
                <w:bCs/>
                <w:sz w:val="24"/>
                <w:szCs w:val="24"/>
              </w:rPr>
              <w:t>Antwoord:</w:t>
            </w:r>
            <w:r w:rsidRPr="00B1445C">
              <w:rPr>
                <w:sz w:val="24"/>
                <w:szCs w:val="24"/>
              </w:rPr>
              <w:br/>
            </w:r>
            <w:r w:rsidRPr="00B1445C">
              <w:rPr>
                <w:rFonts w:eastAsia="Verdana"/>
                <w:b/>
                <w:sz w:val="24"/>
                <w:szCs w:val="24"/>
              </w:rPr>
              <w:t>H</w:t>
            </w:r>
            <w:r w:rsidRPr="00B1445C">
              <w:rPr>
                <w:b/>
                <w:sz w:val="24"/>
                <w:szCs w:val="24"/>
              </w:rPr>
              <w:t xml:space="preserve">et CERF en de </w:t>
            </w:r>
            <w:proofErr w:type="spellStart"/>
            <w:r w:rsidRPr="00B1445C">
              <w:rPr>
                <w:b/>
                <w:sz w:val="24"/>
                <w:szCs w:val="24"/>
              </w:rPr>
              <w:t>landenspecifieke</w:t>
            </w:r>
            <w:proofErr w:type="spellEnd"/>
            <w:r w:rsidRPr="00B1445C">
              <w:rPr>
                <w:b/>
                <w:sz w:val="24"/>
                <w:szCs w:val="24"/>
              </w:rPr>
              <w:t xml:space="preserve"> fondsen zijn een van de snelste en meest effectieve manieren om levensreddende humanitaire hulp te bieden aan mensen die door crises worden getroffen. Door donorbijdragen te bundelen in deze flexibele fondsen, kunnen onze partners snel, flexibel en proactief reageren op veranderende en acute noden. Dit redt levens in situaties waar elke minuut telt, zoals bij zware aardbevingen, overstromingen en plotselinge conflicten die de wereld in 2024 troffen.</w:t>
            </w:r>
          </w:p>
          <w:p w:rsidRPr="00B1445C" w:rsidR="00B1445C" w:rsidP="15443526" w:rsidRDefault="00B1445C" w14:paraId="3DB68418" w14:textId="5836045B">
            <w:pPr>
              <w:rPr>
                <w:b/>
                <w:bCs/>
                <w:sz w:val="24"/>
                <w:szCs w:val="24"/>
              </w:rPr>
            </w:pPr>
          </w:p>
          <w:p w:rsidRPr="00B1445C" w:rsidR="00B1445C" w:rsidP="77D83D0D" w:rsidRDefault="00B1445C" w14:paraId="07626282" w14:textId="73E09DED">
            <w:pPr>
              <w:rPr>
                <w:b/>
                <w:sz w:val="24"/>
                <w:szCs w:val="24"/>
              </w:rPr>
            </w:pPr>
            <w:r w:rsidRPr="00B1445C">
              <w:rPr>
                <w:b/>
                <w:sz w:val="24"/>
                <w:szCs w:val="24"/>
              </w:rPr>
              <w:t xml:space="preserve">Dankzij Nederlandse bijdragen via het CERF zijn in 2023 onder andere 2,2 miljoen mensen voorzien van levensreddende gezondheidszorg, 1,3 miljoen van water- en sanitaire voorzieningen, en 1 miljoen van voedselhulp. Via de </w:t>
            </w:r>
            <w:proofErr w:type="spellStart"/>
            <w:r w:rsidRPr="00B1445C">
              <w:rPr>
                <w:b/>
                <w:sz w:val="24"/>
                <w:szCs w:val="24"/>
              </w:rPr>
              <w:t>landenspecifieke</w:t>
            </w:r>
            <w:proofErr w:type="spellEnd"/>
            <w:r w:rsidRPr="00B1445C">
              <w:rPr>
                <w:b/>
                <w:sz w:val="24"/>
                <w:szCs w:val="24"/>
              </w:rPr>
              <w:t xml:space="preserve">  VN fondsen heeft Nederland eveneens noodhulp geleverd, waaronder voedsel, water, mentale gezondheidszorg en onderdak, in landen zoals Oekraïne, Sudan, Ethiopië, Syrië, Burkina Faso, Afghanistan, Jemen, Somalië, de Democratische Republiek Congo en Zuid-Soedan.</w:t>
            </w:r>
          </w:p>
          <w:p w:rsidRPr="00B1445C" w:rsidR="00B1445C" w:rsidP="15443526" w:rsidRDefault="00B1445C" w14:paraId="64150A13" w14:textId="70500DA0">
            <w:pPr>
              <w:rPr>
                <w:b/>
                <w:bCs/>
                <w:sz w:val="24"/>
                <w:szCs w:val="24"/>
              </w:rPr>
            </w:pPr>
          </w:p>
          <w:p w:rsidRPr="00B1445C" w:rsidR="00B1445C" w:rsidP="77D83D0D" w:rsidRDefault="00B1445C" w14:paraId="0DE1D8D3" w14:textId="73E09DED">
            <w:pPr>
              <w:rPr>
                <w:sz w:val="24"/>
                <w:szCs w:val="24"/>
              </w:rPr>
            </w:pPr>
            <w:r w:rsidRPr="00B1445C">
              <w:rPr>
                <w:b/>
                <w:sz w:val="24"/>
                <w:szCs w:val="24"/>
              </w:rPr>
              <w:t>De effectiviteit van deze bestedingen wordt nauw gemonitord via adviesorganen waarvan Nederland deel uitmaakt, jaarlijkse rapportages, veldbezoeken en een voortdurende dialoog met onze humanitaire partners, zowel vanuit Den Haag als via onze ambassade</w:t>
            </w:r>
            <w:r w:rsidRPr="00B1445C">
              <w:rPr>
                <w:sz w:val="24"/>
                <w:szCs w:val="24"/>
              </w:rPr>
              <w:t>s.</w:t>
            </w:r>
          </w:p>
          <w:p w:rsidRPr="00B1445C" w:rsidR="00B1445C" w:rsidP="00850E35" w:rsidRDefault="00B1445C" w14:paraId="351BF291" w14:textId="2AF205B5">
            <w:pPr>
              <w:rPr>
                <w:sz w:val="24"/>
                <w:szCs w:val="24"/>
              </w:rPr>
            </w:pPr>
          </w:p>
        </w:tc>
      </w:tr>
      <w:tr w:rsidRPr="00B1445C" w:rsidR="00B1445C" w:rsidTr="00B1445C" w14:paraId="38DB799E" w14:textId="77777777">
        <w:tc>
          <w:tcPr>
            <w:tcW w:w="567" w:type="dxa"/>
          </w:tcPr>
          <w:p w:rsidRPr="00B1445C" w:rsidR="00B1445C" w:rsidP="00EF7520" w:rsidRDefault="00B1445C" w14:paraId="154B1DF8" w14:textId="77777777">
            <w:pPr>
              <w:rPr>
                <w:sz w:val="24"/>
                <w:szCs w:val="24"/>
              </w:rPr>
            </w:pPr>
            <w:r w:rsidRPr="00B1445C">
              <w:rPr>
                <w:sz w:val="24"/>
                <w:szCs w:val="24"/>
              </w:rPr>
              <w:t>41</w:t>
            </w:r>
          </w:p>
        </w:tc>
        <w:tc>
          <w:tcPr>
            <w:tcW w:w="6521" w:type="dxa"/>
          </w:tcPr>
          <w:p w:rsidRPr="00B1445C" w:rsidR="00B1445C" w:rsidP="00EF7520" w:rsidRDefault="00B1445C" w14:paraId="585B4098" w14:textId="77777777">
            <w:pPr>
              <w:rPr>
                <w:sz w:val="24"/>
                <w:szCs w:val="24"/>
              </w:rPr>
            </w:pPr>
            <w:r w:rsidRPr="00B1445C">
              <w:rPr>
                <w:sz w:val="24"/>
                <w:szCs w:val="24"/>
              </w:rPr>
              <w:t>Waarom is gekozen om op de begroting van 2024 al minder te besteden aan opvang in de regio, aangezien de bezuinigingen pas ingaan op de begroting van 2025?</w:t>
            </w:r>
          </w:p>
          <w:p w:rsidRPr="00B1445C" w:rsidR="00B1445C" w:rsidP="00EF7520" w:rsidRDefault="00B1445C" w14:paraId="4069BB80" w14:textId="77777777">
            <w:pPr>
              <w:rPr>
                <w:sz w:val="24"/>
                <w:szCs w:val="24"/>
              </w:rPr>
            </w:pPr>
          </w:p>
          <w:p w:rsidRPr="00B1445C" w:rsidR="00B1445C" w:rsidP="00850E35" w:rsidRDefault="00B1445C" w14:paraId="0BF99FF2" w14:textId="31B03725">
            <w:pPr>
              <w:rPr>
                <w:b/>
                <w:bCs/>
                <w:sz w:val="24"/>
                <w:szCs w:val="24"/>
              </w:rPr>
            </w:pPr>
            <w:r w:rsidRPr="00B1445C">
              <w:rPr>
                <w:b/>
                <w:bCs/>
                <w:sz w:val="24"/>
                <w:szCs w:val="24"/>
              </w:rPr>
              <w:lastRenderedPageBreak/>
              <w:t>Antwoord:</w:t>
            </w:r>
            <w:r w:rsidRPr="00B1445C">
              <w:rPr>
                <w:sz w:val="24"/>
                <w:szCs w:val="24"/>
              </w:rPr>
              <w:br/>
            </w:r>
            <w:r w:rsidRPr="00B1445C">
              <w:rPr>
                <w:b/>
                <w:bCs/>
                <w:sz w:val="24"/>
                <w:szCs w:val="24"/>
              </w:rPr>
              <w:t>Zoals aangegeven bij vraag 39, wordt op het totaal budget voor artikelonderdeel 4.2 ‘Opvang en bescherming in de regio en migratiesamenwerking’ in 2024 niet bezuinigd. Binnen</w:t>
            </w:r>
            <w:r w:rsidRPr="00B1445C" w:rsidDel="00EE038D">
              <w:rPr>
                <w:b/>
                <w:bCs/>
                <w:sz w:val="24"/>
                <w:szCs w:val="24"/>
              </w:rPr>
              <w:t xml:space="preserve"> </w:t>
            </w:r>
            <w:r w:rsidRPr="00B1445C">
              <w:rPr>
                <w:b/>
                <w:bCs/>
                <w:sz w:val="24"/>
                <w:szCs w:val="24"/>
              </w:rPr>
              <w:t>artikelonderdeel 4.2 heeft wel een verschuiving van in totaal EUR 2,1 miljoen (0,7% van totaalbudget artikelonderdeel 4.2) plaatsgevonden van opvang in de regio naar migratiesamenwerking omdat dit bedrag voor opvang in de regio dit jaar niet tot besteding komt. Dit bedrag is onder andere ingezet ten behoeve van de bilaterale migratiepartnerschappen.</w:t>
            </w:r>
          </w:p>
          <w:p w:rsidRPr="00B1445C" w:rsidR="00B1445C" w:rsidP="00850E35" w:rsidRDefault="00B1445C" w14:paraId="7DC97999" w14:textId="285CA4CC">
            <w:pPr>
              <w:rPr>
                <w:sz w:val="24"/>
                <w:szCs w:val="24"/>
              </w:rPr>
            </w:pPr>
          </w:p>
        </w:tc>
      </w:tr>
      <w:tr w:rsidRPr="00B1445C" w:rsidR="00B1445C" w:rsidTr="00B1445C" w14:paraId="4A40223A" w14:textId="77777777">
        <w:tc>
          <w:tcPr>
            <w:tcW w:w="567" w:type="dxa"/>
          </w:tcPr>
          <w:p w:rsidRPr="00B1445C" w:rsidR="00B1445C" w:rsidP="00EF7520" w:rsidRDefault="00B1445C" w14:paraId="56D58467" w14:textId="77777777">
            <w:pPr>
              <w:rPr>
                <w:sz w:val="24"/>
                <w:szCs w:val="24"/>
              </w:rPr>
            </w:pPr>
            <w:r w:rsidRPr="00B1445C">
              <w:rPr>
                <w:sz w:val="24"/>
                <w:szCs w:val="24"/>
              </w:rPr>
              <w:lastRenderedPageBreak/>
              <w:t>42</w:t>
            </w:r>
          </w:p>
        </w:tc>
        <w:tc>
          <w:tcPr>
            <w:tcW w:w="6521" w:type="dxa"/>
          </w:tcPr>
          <w:p w:rsidRPr="00B1445C" w:rsidR="00B1445C" w:rsidP="00EF7520" w:rsidRDefault="00B1445C" w14:paraId="255E39BF" w14:textId="77777777">
            <w:pPr>
              <w:rPr>
                <w:sz w:val="24"/>
                <w:szCs w:val="24"/>
              </w:rPr>
            </w:pPr>
            <w:r w:rsidRPr="00B1445C">
              <w:rPr>
                <w:sz w:val="24"/>
                <w:szCs w:val="24"/>
              </w:rPr>
              <w:t>Hoe wordt de daling van €12,7 miljoen voor multilaterale activiteiten en assistent-deskundigenprogramma's verantwoord?</w:t>
            </w:r>
          </w:p>
          <w:p w:rsidRPr="00B1445C" w:rsidR="00B1445C" w:rsidP="00EF7520" w:rsidRDefault="00B1445C" w14:paraId="0DDBE7E0" w14:textId="77777777">
            <w:pPr>
              <w:rPr>
                <w:sz w:val="24"/>
                <w:szCs w:val="24"/>
              </w:rPr>
            </w:pPr>
          </w:p>
          <w:p w:rsidRPr="00B1445C" w:rsidR="00B1445C" w:rsidP="00850E35" w:rsidRDefault="00B1445C" w14:paraId="31CAF3E1" w14:textId="77777777">
            <w:pPr>
              <w:rPr>
                <w:b/>
                <w:bCs/>
                <w:sz w:val="24"/>
                <w:szCs w:val="24"/>
              </w:rPr>
            </w:pPr>
            <w:r w:rsidRPr="00B1445C">
              <w:rPr>
                <w:b/>
                <w:bCs/>
                <w:sz w:val="24"/>
                <w:szCs w:val="24"/>
              </w:rPr>
              <w:t>Antwoord:</w:t>
            </w:r>
          </w:p>
          <w:p w:rsidRPr="00B1445C" w:rsidR="00B1445C" w:rsidP="00850E35" w:rsidRDefault="00B1445C" w14:paraId="3BEF2A28" w14:textId="575FEFAF">
            <w:pPr>
              <w:rPr>
                <w:b/>
                <w:sz w:val="24"/>
                <w:szCs w:val="24"/>
              </w:rPr>
            </w:pPr>
            <w:r w:rsidRPr="00B1445C">
              <w:rPr>
                <w:b/>
                <w:sz w:val="24"/>
                <w:szCs w:val="24"/>
              </w:rPr>
              <w:t xml:space="preserve">De terughoudendheid in het aangaan van nieuwe meerjarige verplichtingen </w:t>
            </w:r>
            <w:r w:rsidRPr="00B1445C">
              <w:rPr>
                <w:b/>
                <w:bCs/>
                <w:sz w:val="24"/>
                <w:szCs w:val="24"/>
              </w:rPr>
              <w:t>houdt</w:t>
            </w:r>
            <w:r w:rsidRPr="00B1445C">
              <w:rPr>
                <w:b/>
                <w:sz w:val="24"/>
                <w:szCs w:val="24"/>
              </w:rPr>
              <w:t xml:space="preserve"> verband </w:t>
            </w:r>
            <w:r w:rsidRPr="00B1445C">
              <w:rPr>
                <w:b/>
                <w:bCs/>
                <w:sz w:val="24"/>
                <w:szCs w:val="24"/>
              </w:rPr>
              <w:t xml:space="preserve">met </w:t>
            </w:r>
            <w:r w:rsidRPr="00B1445C">
              <w:rPr>
                <w:b/>
                <w:sz w:val="24"/>
                <w:szCs w:val="24"/>
              </w:rPr>
              <w:t>de kabinetsbezuinigingen</w:t>
            </w:r>
            <w:r w:rsidRPr="00B1445C">
              <w:rPr>
                <w:b/>
                <w:bCs/>
                <w:sz w:val="24"/>
                <w:szCs w:val="24"/>
              </w:rPr>
              <w:t>. Dit</w:t>
            </w:r>
            <w:r w:rsidRPr="00B1445C">
              <w:rPr>
                <w:b/>
                <w:sz w:val="24"/>
                <w:szCs w:val="24"/>
              </w:rPr>
              <w:t xml:space="preserve"> heeft reeds in 2024 geleid tot een verlaging van uitgaven aan diverse multilaterale activiteiten </w:t>
            </w:r>
            <w:r w:rsidRPr="00B1445C">
              <w:rPr>
                <w:b/>
                <w:bCs/>
                <w:sz w:val="24"/>
                <w:szCs w:val="24"/>
              </w:rPr>
              <w:t>(EUR</w:t>
            </w:r>
            <w:r w:rsidRPr="00B1445C">
              <w:rPr>
                <w:b/>
                <w:sz w:val="24"/>
                <w:szCs w:val="24"/>
              </w:rPr>
              <w:t xml:space="preserve"> 5,5 miljoen) en aan het assistent-deskundigenprogramma </w:t>
            </w:r>
            <w:r w:rsidRPr="00B1445C">
              <w:rPr>
                <w:b/>
                <w:bCs/>
                <w:sz w:val="24"/>
                <w:szCs w:val="24"/>
              </w:rPr>
              <w:t>(EUR</w:t>
            </w:r>
            <w:r w:rsidRPr="00B1445C">
              <w:rPr>
                <w:b/>
                <w:sz w:val="24"/>
                <w:szCs w:val="24"/>
              </w:rPr>
              <w:t xml:space="preserve"> 3,9 miljoen). Verder treedt de middelenaanvulling </w:t>
            </w:r>
            <w:r w:rsidRPr="00B1445C">
              <w:rPr>
                <w:b/>
                <w:bCs/>
                <w:sz w:val="24"/>
                <w:szCs w:val="24"/>
              </w:rPr>
              <w:t xml:space="preserve">aan het </w:t>
            </w:r>
            <w:proofErr w:type="spellStart"/>
            <w:r w:rsidRPr="00B1445C">
              <w:rPr>
                <w:b/>
                <w:bCs/>
                <w:sz w:val="24"/>
                <w:szCs w:val="24"/>
              </w:rPr>
              <w:t>Asian</w:t>
            </w:r>
            <w:proofErr w:type="spellEnd"/>
            <w:r w:rsidRPr="00B1445C">
              <w:rPr>
                <w:b/>
                <w:bCs/>
                <w:sz w:val="24"/>
                <w:szCs w:val="24"/>
              </w:rPr>
              <w:t xml:space="preserve"> Development Fund (</w:t>
            </w:r>
            <w:proofErr w:type="spellStart"/>
            <w:r w:rsidRPr="00B1445C">
              <w:rPr>
                <w:b/>
                <w:sz w:val="24"/>
                <w:szCs w:val="24"/>
              </w:rPr>
              <w:t>AsDF</w:t>
            </w:r>
            <w:proofErr w:type="spellEnd"/>
            <w:r w:rsidRPr="00B1445C">
              <w:rPr>
                <w:b/>
                <w:sz w:val="24"/>
                <w:szCs w:val="24"/>
              </w:rPr>
              <w:t>-XIV</w:t>
            </w:r>
            <w:r w:rsidRPr="00B1445C">
              <w:rPr>
                <w:b/>
                <w:bCs/>
                <w:sz w:val="24"/>
                <w:szCs w:val="24"/>
              </w:rPr>
              <w:t>)</w:t>
            </w:r>
            <w:r w:rsidRPr="00B1445C">
              <w:rPr>
                <w:b/>
                <w:sz w:val="24"/>
                <w:szCs w:val="24"/>
              </w:rPr>
              <w:t xml:space="preserve"> later in werking dan gepland waardoor overmaking van de eerste tranche </w:t>
            </w:r>
            <w:r w:rsidRPr="00B1445C">
              <w:rPr>
                <w:b/>
                <w:bCs/>
                <w:sz w:val="24"/>
                <w:szCs w:val="24"/>
              </w:rPr>
              <w:t>(EUR</w:t>
            </w:r>
            <w:r w:rsidRPr="00B1445C">
              <w:rPr>
                <w:b/>
                <w:sz w:val="24"/>
                <w:szCs w:val="24"/>
              </w:rPr>
              <w:t xml:space="preserve"> 3,75 miljoen) niet in 2024 kon plaatsvinden. Tot slot heeft een aanpassing van het betaalschema voor de kapitaalaanvulling van </w:t>
            </w:r>
            <w:r w:rsidRPr="00B1445C">
              <w:rPr>
                <w:b/>
                <w:bCs/>
                <w:sz w:val="24"/>
                <w:szCs w:val="24"/>
              </w:rPr>
              <w:t xml:space="preserve">de </w:t>
            </w:r>
            <w:proofErr w:type="spellStart"/>
            <w:r w:rsidRPr="00B1445C">
              <w:rPr>
                <w:b/>
                <w:bCs/>
                <w:sz w:val="24"/>
                <w:szCs w:val="24"/>
              </w:rPr>
              <w:t>Inter</w:t>
            </w:r>
            <w:proofErr w:type="spellEnd"/>
            <w:r w:rsidRPr="00B1445C">
              <w:rPr>
                <w:b/>
                <w:bCs/>
                <w:sz w:val="24"/>
                <w:szCs w:val="24"/>
              </w:rPr>
              <w:t>-American Development Bank (</w:t>
            </w:r>
            <w:r w:rsidRPr="00B1445C">
              <w:rPr>
                <w:b/>
                <w:sz w:val="24"/>
                <w:szCs w:val="24"/>
              </w:rPr>
              <w:t>IDB</w:t>
            </w:r>
            <w:r w:rsidRPr="00B1445C">
              <w:rPr>
                <w:b/>
                <w:bCs/>
                <w:sz w:val="24"/>
                <w:szCs w:val="24"/>
              </w:rPr>
              <w:t>)</w:t>
            </w:r>
            <w:r w:rsidRPr="00B1445C">
              <w:rPr>
                <w:b/>
                <w:sz w:val="24"/>
                <w:szCs w:val="24"/>
              </w:rPr>
              <w:t xml:space="preserve"> geleid tot een verhoging van de overmaking in 2024 </w:t>
            </w:r>
            <w:r w:rsidRPr="00B1445C">
              <w:rPr>
                <w:b/>
                <w:bCs/>
                <w:sz w:val="24"/>
                <w:szCs w:val="24"/>
              </w:rPr>
              <w:t>(EUR</w:t>
            </w:r>
            <w:r w:rsidRPr="00B1445C">
              <w:rPr>
                <w:b/>
                <w:sz w:val="24"/>
                <w:szCs w:val="24"/>
              </w:rPr>
              <w:t xml:space="preserve"> 0,64 miljoen). De hoogte van </w:t>
            </w:r>
            <w:r w:rsidRPr="00B1445C">
              <w:rPr>
                <w:b/>
                <w:bCs/>
                <w:sz w:val="24"/>
                <w:szCs w:val="24"/>
              </w:rPr>
              <w:t>deze</w:t>
            </w:r>
            <w:r w:rsidRPr="00B1445C">
              <w:rPr>
                <w:b/>
                <w:sz w:val="24"/>
                <w:szCs w:val="24"/>
              </w:rPr>
              <w:t xml:space="preserve"> verplichting </w:t>
            </w:r>
            <w:r w:rsidRPr="00B1445C">
              <w:rPr>
                <w:b/>
                <w:bCs/>
                <w:sz w:val="24"/>
                <w:szCs w:val="24"/>
              </w:rPr>
              <w:t>is</w:t>
            </w:r>
            <w:r w:rsidRPr="00B1445C">
              <w:rPr>
                <w:b/>
                <w:sz w:val="24"/>
                <w:szCs w:val="24"/>
              </w:rPr>
              <w:t xml:space="preserve"> gelijk </w:t>
            </w:r>
            <w:r w:rsidRPr="00B1445C">
              <w:rPr>
                <w:b/>
                <w:bCs/>
                <w:sz w:val="24"/>
                <w:szCs w:val="24"/>
              </w:rPr>
              <w:t xml:space="preserve">gebleven </w:t>
            </w:r>
            <w:r w:rsidRPr="00B1445C">
              <w:rPr>
                <w:b/>
                <w:sz w:val="24"/>
                <w:szCs w:val="24"/>
              </w:rPr>
              <w:t>aan wat was begroot.</w:t>
            </w:r>
          </w:p>
          <w:p w:rsidRPr="00B1445C" w:rsidR="00B1445C" w:rsidP="00850E35" w:rsidRDefault="00B1445C" w14:paraId="584553BC" w14:textId="6B4E1E4C">
            <w:pPr>
              <w:rPr>
                <w:sz w:val="24"/>
                <w:szCs w:val="24"/>
              </w:rPr>
            </w:pPr>
          </w:p>
        </w:tc>
      </w:tr>
      <w:tr w:rsidRPr="00B1445C" w:rsidR="00B1445C" w:rsidTr="00B1445C" w14:paraId="0DAFCBD5" w14:textId="77777777">
        <w:tc>
          <w:tcPr>
            <w:tcW w:w="567" w:type="dxa"/>
          </w:tcPr>
          <w:p w:rsidRPr="00B1445C" w:rsidR="00B1445C" w:rsidP="00EF7520" w:rsidRDefault="00B1445C" w14:paraId="196DD4CD" w14:textId="77777777">
            <w:pPr>
              <w:rPr>
                <w:sz w:val="24"/>
                <w:szCs w:val="24"/>
              </w:rPr>
            </w:pPr>
            <w:r w:rsidRPr="00B1445C">
              <w:rPr>
                <w:sz w:val="24"/>
                <w:szCs w:val="24"/>
              </w:rPr>
              <w:t>43</w:t>
            </w:r>
          </w:p>
        </w:tc>
        <w:tc>
          <w:tcPr>
            <w:tcW w:w="6521" w:type="dxa"/>
          </w:tcPr>
          <w:p w:rsidRPr="00B1445C" w:rsidR="00B1445C" w:rsidP="00EF7520" w:rsidRDefault="00B1445C" w14:paraId="749060F5" w14:textId="77777777">
            <w:pPr>
              <w:rPr>
                <w:sz w:val="24"/>
                <w:szCs w:val="24"/>
              </w:rPr>
            </w:pPr>
            <w:r w:rsidRPr="00B1445C">
              <w:rPr>
                <w:sz w:val="24"/>
                <w:szCs w:val="24"/>
              </w:rPr>
              <w:t>Waarom wordt €20 miljoen verschoven naar Private Sector Development?</w:t>
            </w:r>
          </w:p>
          <w:p w:rsidRPr="00B1445C" w:rsidR="00B1445C" w:rsidP="00EF7520" w:rsidRDefault="00B1445C" w14:paraId="18C626CC" w14:textId="77777777">
            <w:pPr>
              <w:rPr>
                <w:sz w:val="24"/>
                <w:szCs w:val="24"/>
              </w:rPr>
            </w:pPr>
          </w:p>
          <w:p w:rsidRPr="00B1445C" w:rsidR="00B1445C" w:rsidP="00850E35" w:rsidRDefault="00B1445C" w14:paraId="3E7D2F14" w14:textId="77777777">
            <w:pPr>
              <w:rPr>
                <w:b/>
                <w:bCs/>
                <w:sz w:val="24"/>
                <w:szCs w:val="24"/>
              </w:rPr>
            </w:pPr>
            <w:r w:rsidRPr="00B1445C">
              <w:rPr>
                <w:b/>
                <w:bCs/>
                <w:sz w:val="24"/>
                <w:szCs w:val="24"/>
              </w:rPr>
              <w:t>Antwoord:</w:t>
            </w:r>
          </w:p>
          <w:p w:rsidRPr="00B1445C" w:rsidR="00B1445C" w:rsidP="000D0BF2" w:rsidRDefault="00B1445C" w14:paraId="32168B6C" w14:textId="77777777">
            <w:pPr>
              <w:rPr>
                <w:b/>
                <w:bCs/>
                <w:sz w:val="24"/>
                <w:szCs w:val="24"/>
              </w:rPr>
            </w:pPr>
            <w:r w:rsidRPr="00B1445C">
              <w:rPr>
                <w:b/>
                <w:bCs/>
                <w:sz w:val="24"/>
                <w:szCs w:val="24"/>
              </w:rPr>
              <w:t>Bij eerste suppletoire begroting BHO 2024 is EUR 20 miljoen op artikel 5.2 gereserveerd bedoeld voor de wederopbouw in o.a. Gaza. Omdat de situatie in Gaza zich nog niet leent voor wederopbouw activiteiten zijn deze middelen nu overgeheveld naar artikel 1.3 Private Sector Development. Dit sluit aan bij het Hoofdlijnenakkoord. In 2025 is binnen de BHO-begroting EUR 20 miljoen beschikbaar voor wederopbouw. Over de besteding hiervan wordt u in 2025 geïnformeerd.</w:t>
            </w:r>
          </w:p>
          <w:p w:rsidRPr="00B1445C" w:rsidR="00B1445C" w:rsidP="00850E35" w:rsidRDefault="00B1445C" w14:paraId="25898C20" w14:textId="1C6ECE9C">
            <w:pPr>
              <w:rPr>
                <w:sz w:val="24"/>
                <w:szCs w:val="24"/>
              </w:rPr>
            </w:pPr>
          </w:p>
        </w:tc>
      </w:tr>
      <w:tr w:rsidRPr="00B1445C" w:rsidR="00B1445C" w:rsidTr="00B1445C" w14:paraId="4A9AD517" w14:textId="77777777">
        <w:tc>
          <w:tcPr>
            <w:tcW w:w="567" w:type="dxa"/>
          </w:tcPr>
          <w:p w:rsidRPr="00B1445C" w:rsidR="00B1445C" w:rsidP="00EF7520" w:rsidRDefault="00B1445C" w14:paraId="2C2B68CC" w14:textId="77777777">
            <w:pPr>
              <w:rPr>
                <w:sz w:val="24"/>
                <w:szCs w:val="24"/>
              </w:rPr>
            </w:pPr>
            <w:r w:rsidRPr="00B1445C">
              <w:rPr>
                <w:sz w:val="24"/>
                <w:szCs w:val="24"/>
              </w:rPr>
              <w:t>44</w:t>
            </w:r>
          </w:p>
        </w:tc>
        <w:tc>
          <w:tcPr>
            <w:tcW w:w="6521" w:type="dxa"/>
          </w:tcPr>
          <w:p w:rsidRPr="00B1445C" w:rsidR="00B1445C" w:rsidP="00EF7520" w:rsidRDefault="00B1445C" w14:paraId="154780B4" w14:textId="77777777">
            <w:pPr>
              <w:rPr>
                <w:sz w:val="24"/>
                <w:szCs w:val="24"/>
              </w:rPr>
            </w:pPr>
            <w:r w:rsidRPr="00B1445C">
              <w:rPr>
                <w:sz w:val="24"/>
                <w:szCs w:val="24"/>
              </w:rPr>
              <w:t>Hoe draagt de overheveling van €20 miljoen naar artikel 1.3 (Private Sector Development) bij aan de versterking van de Nederlandse handelspositie?</w:t>
            </w:r>
          </w:p>
          <w:p w:rsidRPr="00B1445C" w:rsidR="00B1445C" w:rsidP="00EF7520" w:rsidRDefault="00B1445C" w14:paraId="59BD7E16" w14:textId="77777777">
            <w:pPr>
              <w:rPr>
                <w:sz w:val="24"/>
                <w:szCs w:val="24"/>
              </w:rPr>
            </w:pPr>
          </w:p>
          <w:p w:rsidRPr="00B1445C" w:rsidR="00B1445C" w:rsidP="00850E35" w:rsidRDefault="00B1445C" w14:paraId="65511D40" w14:textId="77777777">
            <w:pPr>
              <w:rPr>
                <w:b/>
                <w:bCs/>
                <w:sz w:val="24"/>
                <w:szCs w:val="24"/>
              </w:rPr>
            </w:pPr>
            <w:r w:rsidRPr="00B1445C">
              <w:rPr>
                <w:b/>
                <w:bCs/>
                <w:sz w:val="24"/>
                <w:szCs w:val="24"/>
              </w:rPr>
              <w:t>Antwoord:</w:t>
            </w:r>
          </w:p>
          <w:p w:rsidRPr="00B1445C" w:rsidR="00B1445C" w:rsidP="00850E35" w:rsidRDefault="00B1445C" w14:paraId="21AA3FD0" w14:textId="213375C7">
            <w:pPr>
              <w:rPr>
                <w:b/>
                <w:bCs/>
                <w:sz w:val="24"/>
                <w:szCs w:val="24"/>
              </w:rPr>
            </w:pPr>
            <w:r w:rsidRPr="00B1445C">
              <w:rPr>
                <w:b/>
                <w:bCs/>
                <w:sz w:val="24"/>
                <w:szCs w:val="24"/>
              </w:rPr>
              <w:t xml:space="preserve">De overheveling van €20 miljoen is deels ten goede gekomen aan het Health Insurance Fund (HIF) voor het verbeteren en versterken van de zorgsector in ontwikkelingslanden, gebaseerd op het Nederlandse geprivatiseerde zorgstelsel. Het HIF werkt hierbij samen met diverse Nederlandse bedrijven die bijvoorbeeld medische apparatuur of digitale technologie leveren aan zorgklinieken en zorgverzekeraars in ontwikkelingslanden. Daarnaast is een deel ingezet voor een lening aan de Private </w:t>
            </w:r>
            <w:proofErr w:type="spellStart"/>
            <w:r w:rsidRPr="00B1445C">
              <w:rPr>
                <w:b/>
                <w:bCs/>
                <w:sz w:val="24"/>
                <w:szCs w:val="24"/>
              </w:rPr>
              <w:t>Infrastructure</w:t>
            </w:r>
            <w:proofErr w:type="spellEnd"/>
            <w:r w:rsidRPr="00B1445C">
              <w:rPr>
                <w:b/>
                <w:bCs/>
                <w:sz w:val="24"/>
                <w:szCs w:val="24"/>
              </w:rPr>
              <w:t xml:space="preserve"> Development Group (PIDG). Investeringen in publieke infrastructuur in ontwikkelingslanden draagt bij aan de ontwikkeling van de private sector in deze landen.</w:t>
            </w:r>
          </w:p>
          <w:p w:rsidRPr="00B1445C" w:rsidR="00B1445C" w:rsidP="00850E35" w:rsidRDefault="00B1445C" w14:paraId="1860195A" w14:textId="2054A2CC">
            <w:pPr>
              <w:rPr>
                <w:sz w:val="24"/>
                <w:szCs w:val="24"/>
              </w:rPr>
            </w:pPr>
          </w:p>
        </w:tc>
      </w:tr>
      <w:tr w:rsidRPr="00B1445C" w:rsidR="00B1445C" w:rsidTr="00B1445C" w14:paraId="5E7BD553" w14:textId="77777777">
        <w:tc>
          <w:tcPr>
            <w:tcW w:w="567" w:type="dxa"/>
          </w:tcPr>
          <w:p w:rsidRPr="00B1445C" w:rsidR="00B1445C" w:rsidP="00EF7520" w:rsidRDefault="00B1445C" w14:paraId="30EDB92F" w14:textId="77777777">
            <w:pPr>
              <w:rPr>
                <w:sz w:val="24"/>
                <w:szCs w:val="24"/>
              </w:rPr>
            </w:pPr>
            <w:r w:rsidRPr="00B1445C">
              <w:rPr>
                <w:sz w:val="24"/>
                <w:szCs w:val="24"/>
              </w:rPr>
              <w:lastRenderedPageBreak/>
              <w:t>45</w:t>
            </w:r>
          </w:p>
        </w:tc>
        <w:tc>
          <w:tcPr>
            <w:tcW w:w="6521" w:type="dxa"/>
          </w:tcPr>
          <w:p w:rsidRPr="00B1445C" w:rsidR="00B1445C" w:rsidP="00EF7520" w:rsidRDefault="00B1445C" w14:paraId="21033C77" w14:textId="77777777">
            <w:pPr>
              <w:rPr>
                <w:sz w:val="24"/>
                <w:szCs w:val="24"/>
              </w:rPr>
            </w:pPr>
            <w:r w:rsidRPr="00B1445C">
              <w:rPr>
                <w:sz w:val="24"/>
                <w:szCs w:val="24"/>
              </w:rPr>
              <w:t>Waarom is gekozen om de 20 miljoen bedoeld voor wederopbouw in Gaza, over te hevelen naar private sector development? Waarom is deze 20 miljoen niet ingezet voor het ledigen van de enorme humanitaire nood in Gaza zolang de oorlog voortduurt en er van wederopbouw dus nog geen sprake kan zijn?</w:t>
            </w:r>
          </w:p>
          <w:p w:rsidRPr="00B1445C" w:rsidR="00B1445C" w:rsidP="00EF7520" w:rsidRDefault="00B1445C" w14:paraId="150DFE56" w14:textId="77777777">
            <w:pPr>
              <w:rPr>
                <w:sz w:val="24"/>
                <w:szCs w:val="24"/>
              </w:rPr>
            </w:pPr>
          </w:p>
          <w:p w:rsidRPr="00B1445C" w:rsidR="00B1445C" w:rsidP="00B66DC1" w:rsidRDefault="00B1445C" w14:paraId="14179AFC" w14:textId="77777777">
            <w:pPr>
              <w:spacing w:line="252" w:lineRule="auto"/>
              <w:rPr>
                <w:b/>
                <w:bCs/>
                <w:sz w:val="24"/>
                <w:szCs w:val="24"/>
                <w:lang w:eastAsia="en-US"/>
                <w14:ligatures w14:val="standardContextual"/>
              </w:rPr>
            </w:pPr>
            <w:r w:rsidRPr="00B1445C">
              <w:rPr>
                <w:b/>
                <w:bCs/>
                <w:sz w:val="24"/>
                <w:szCs w:val="24"/>
                <w:lang w:eastAsia="en-US"/>
                <w14:ligatures w14:val="standardContextual"/>
              </w:rPr>
              <w:t>Antwoord:</w:t>
            </w:r>
          </w:p>
          <w:p w:rsidRPr="00B1445C" w:rsidR="00B1445C" w:rsidP="00F24A19" w:rsidRDefault="00B1445C" w14:paraId="6F0BC2BC" w14:textId="77777777">
            <w:pPr>
              <w:rPr>
                <w:b/>
                <w:bCs/>
                <w:sz w:val="24"/>
                <w:szCs w:val="24"/>
              </w:rPr>
            </w:pPr>
            <w:r w:rsidRPr="00B1445C">
              <w:rPr>
                <w:b/>
                <w:bCs/>
                <w:sz w:val="24"/>
                <w:szCs w:val="24"/>
              </w:rPr>
              <w:t xml:space="preserve">De EUR 20 miljoen betreft een reservering specifiek voor wederopbouw, niet voor humanitaire hulp. In 2025 is binnen de BHO-begroting EUR 20 miljoen beschikbaar voor wederopbouw. Aangezien de situatie in Gaza nu zeer volatiel blijft en zich nog niet leent voor wederopbouw, zal in 2025 worden bezien op welke wijze dit bedrag zou kunnen worden ingezet om te werken aan wederopbouw, of activiteiten die voorsorteren op wederopbouw c.q. </w:t>
            </w:r>
            <w:proofErr w:type="spellStart"/>
            <w:r w:rsidRPr="00B1445C">
              <w:rPr>
                <w:b/>
                <w:bCs/>
                <w:sz w:val="24"/>
                <w:szCs w:val="24"/>
              </w:rPr>
              <w:t>early</w:t>
            </w:r>
            <w:proofErr w:type="spellEnd"/>
            <w:r w:rsidRPr="00B1445C">
              <w:rPr>
                <w:b/>
                <w:bCs/>
                <w:sz w:val="24"/>
                <w:szCs w:val="24"/>
              </w:rPr>
              <w:t xml:space="preserve"> recovery.</w:t>
            </w:r>
          </w:p>
          <w:p w:rsidRPr="00B1445C" w:rsidR="00B1445C" w:rsidP="00F24A19" w:rsidRDefault="00B1445C" w14:paraId="0B21EA52" w14:textId="77777777">
            <w:pPr>
              <w:rPr>
                <w:b/>
                <w:bCs/>
                <w:sz w:val="24"/>
                <w:szCs w:val="24"/>
              </w:rPr>
            </w:pPr>
          </w:p>
          <w:p w:rsidRPr="00B1445C" w:rsidR="00B1445C" w:rsidP="00F24A19" w:rsidRDefault="00B1445C" w14:paraId="313AA993" w14:textId="77777777">
            <w:pPr>
              <w:rPr>
                <w:b/>
                <w:bCs/>
                <w:sz w:val="24"/>
                <w:szCs w:val="24"/>
              </w:rPr>
            </w:pPr>
            <w:r w:rsidRPr="00B1445C">
              <w:rPr>
                <w:b/>
                <w:bCs/>
                <w:sz w:val="24"/>
                <w:szCs w:val="24"/>
              </w:rPr>
              <w:t xml:space="preserve">Voor ondersteuning van het werk van hulporganisaties heeft Nederland sinds 7 oktober 2023 al circa EUR 72 miljoen aan additionele bijdragen gedaan, bovenop onze </w:t>
            </w:r>
            <w:proofErr w:type="spellStart"/>
            <w:r w:rsidRPr="00B1445C">
              <w:rPr>
                <w:b/>
                <w:bCs/>
                <w:sz w:val="24"/>
                <w:szCs w:val="24"/>
              </w:rPr>
              <w:t>ongeoormerkte</w:t>
            </w:r>
            <w:proofErr w:type="spellEnd"/>
            <w:r w:rsidRPr="00B1445C">
              <w:rPr>
                <w:b/>
                <w:bCs/>
                <w:sz w:val="24"/>
                <w:szCs w:val="24"/>
              </w:rPr>
              <w:t>, flexibel inzetbare financiering voor organisaties die ook in de Palestijnse Gebieden actief zijn (zoals VN-organisaties en de Rode Kruis- en Halve Maanbeweging). Nederland spant zich tevens in om humanitaire hulpverlening in Gaza te ondersteunen middels diplomatieke inzet. Die inzet is op dit moment uiterst belangrijk gezien de ernstige toegangsbeperkingen.</w:t>
            </w:r>
          </w:p>
          <w:p w:rsidRPr="00B1445C" w:rsidR="00B1445C" w:rsidP="00850E35" w:rsidRDefault="00B1445C" w14:paraId="2AE61425" w14:textId="08AFE94D">
            <w:pPr>
              <w:rPr>
                <w:sz w:val="24"/>
                <w:szCs w:val="24"/>
              </w:rPr>
            </w:pPr>
          </w:p>
        </w:tc>
      </w:tr>
      <w:tr w:rsidRPr="00B1445C" w:rsidR="00B1445C" w:rsidTr="00B1445C" w14:paraId="3E1B4457" w14:textId="77777777">
        <w:tc>
          <w:tcPr>
            <w:tcW w:w="567" w:type="dxa"/>
          </w:tcPr>
          <w:p w:rsidRPr="00B1445C" w:rsidR="00B1445C" w:rsidP="00EF7520" w:rsidRDefault="00B1445C" w14:paraId="4FB3AAD7" w14:textId="77777777">
            <w:pPr>
              <w:rPr>
                <w:sz w:val="24"/>
                <w:szCs w:val="24"/>
              </w:rPr>
            </w:pPr>
            <w:r w:rsidRPr="00B1445C">
              <w:rPr>
                <w:sz w:val="24"/>
                <w:szCs w:val="24"/>
              </w:rPr>
              <w:t>46</w:t>
            </w:r>
          </w:p>
        </w:tc>
        <w:tc>
          <w:tcPr>
            <w:tcW w:w="6521" w:type="dxa"/>
          </w:tcPr>
          <w:p w:rsidRPr="00B1445C" w:rsidR="00B1445C" w:rsidP="00EF7520" w:rsidRDefault="00B1445C" w14:paraId="5A4F2821" w14:textId="77777777">
            <w:pPr>
              <w:rPr>
                <w:sz w:val="24"/>
                <w:szCs w:val="24"/>
              </w:rPr>
            </w:pPr>
            <w:r w:rsidRPr="00B1445C">
              <w:rPr>
                <w:sz w:val="24"/>
                <w:szCs w:val="24"/>
              </w:rPr>
              <w:t>Wat is de rechtvaardiging voor de overdracht van €44 miljoen van ODA-gelden naar de opvang van eerstejaarsasielzoekers?</w:t>
            </w:r>
          </w:p>
          <w:p w:rsidRPr="00B1445C" w:rsidR="00B1445C" w:rsidP="00EF7520" w:rsidRDefault="00B1445C" w14:paraId="4902F4B1" w14:textId="77777777">
            <w:pPr>
              <w:rPr>
                <w:sz w:val="24"/>
                <w:szCs w:val="24"/>
              </w:rPr>
            </w:pPr>
          </w:p>
          <w:p w:rsidRPr="00B1445C" w:rsidR="00B1445C" w:rsidP="00EF7520" w:rsidRDefault="00B1445C" w14:paraId="7558C683" w14:textId="77777777">
            <w:pPr>
              <w:rPr>
                <w:sz w:val="24"/>
                <w:szCs w:val="24"/>
              </w:rPr>
            </w:pPr>
          </w:p>
          <w:p w:rsidRPr="00B1445C" w:rsidR="00B1445C" w:rsidP="00EF7520" w:rsidRDefault="00B1445C" w14:paraId="31A854B5" w14:textId="77777777">
            <w:pPr>
              <w:rPr>
                <w:sz w:val="24"/>
                <w:szCs w:val="24"/>
              </w:rPr>
            </w:pPr>
          </w:p>
          <w:p w:rsidRPr="00B1445C" w:rsidR="00B1445C" w:rsidP="00850E35" w:rsidRDefault="00B1445C" w14:paraId="4930BABF" w14:textId="77777777">
            <w:pPr>
              <w:rPr>
                <w:b/>
                <w:bCs/>
                <w:sz w:val="24"/>
                <w:szCs w:val="24"/>
              </w:rPr>
            </w:pPr>
            <w:r w:rsidRPr="00B1445C">
              <w:rPr>
                <w:b/>
                <w:bCs/>
                <w:sz w:val="24"/>
                <w:szCs w:val="24"/>
              </w:rPr>
              <w:t>Antwoord:</w:t>
            </w:r>
          </w:p>
          <w:p w:rsidRPr="00B1445C" w:rsidR="00B1445C" w:rsidP="00850E35" w:rsidRDefault="00B1445C" w14:paraId="3AADE434" w14:textId="21C660BF">
            <w:pPr>
              <w:rPr>
                <w:b/>
                <w:sz w:val="24"/>
                <w:szCs w:val="24"/>
              </w:rPr>
            </w:pPr>
            <w:r w:rsidRPr="00B1445C">
              <w:rPr>
                <w:b/>
                <w:sz w:val="24"/>
                <w:szCs w:val="24"/>
              </w:rPr>
              <w:t xml:space="preserve">De geraamde uitgaven voor de eerstejaarsopvang van asielzoekers worden tweemaal per jaar, bij Voorjaarsnota en Najaarsnota, aangepast op basis van de Meerjarige Productie Prognose (MPP). Zoals u kunt lezen in de brief van de minister van </w:t>
            </w:r>
            <w:proofErr w:type="spellStart"/>
            <w:r w:rsidRPr="00B1445C">
              <w:rPr>
                <w:b/>
                <w:sz w:val="24"/>
                <w:szCs w:val="24"/>
              </w:rPr>
              <w:t>AenM</w:t>
            </w:r>
            <w:proofErr w:type="spellEnd"/>
            <w:r w:rsidRPr="00B1445C">
              <w:rPr>
                <w:b/>
                <w:sz w:val="24"/>
                <w:szCs w:val="24"/>
              </w:rPr>
              <w:t xml:space="preserve"> van 6 november jl. is de instroom van asielzoekers lager dan eerder verwacht. De toerekening van de eerstejaars asieluitgaven aan het ODA-budget wordt daarom aangepast. Dit leidt tot een meevaller op de BHO-begroting. Daardoor vloeit een bedrag van EUR 44 miljoen terug vanuit de begroting van </w:t>
            </w:r>
            <w:proofErr w:type="spellStart"/>
            <w:r w:rsidRPr="00B1445C">
              <w:rPr>
                <w:b/>
                <w:sz w:val="24"/>
                <w:szCs w:val="24"/>
              </w:rPr>
              <w:t>AenM</w:t>
            </w:r>
            <w:proofErr w:type="spellEnd"/>
            <w:r w:rsidRPr="00B1445C">
              <w:rPr>
                <w:b/>
                <w:sz w:val="24"/>
                <w:szCs w:val="24"/>
              </w:rPr>
              <w:t xml:space="preserve"> naar de BHO-begroting. In het voorjaar is de afrekening over het afgelopen jaar op basis van de werkelijke uitgaven.</w:t>
            </w:r>
          </w:p>
        </w:tc>
      </w:tr>
    </w:tbl>
    <w:p w:rsidRPr="00B1445C" w:rsidR="00792ECA" w:rsidRDefault="00792ECA" w14:paraId="37199ABE" w14:textId="77777777">
      <w:pPr>
        <w:rPr>
          <w:sz w:val="24"/>
          <w:szCs w:val="24"/>
        </w:rPr>
      </w:pPr>
      <w:bookmarkStart w:name="bmkStartTabel" w:id="2"/>
      <w:bookmarkEnd w:id="2"/>
    </w:p>
    <w:sectPr w:rsidRPr="00B1445C" w:rsidR="00792ECA" w:rsidSect="003337D9">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F623B" w14:textId="77777777" w:rsidR="001A47AF" w:rsidRDefault="001A47AF">
      <w:pPr>
        <w:spacing w:before="0" w:after="0"/>
      </w:pPr>
      <w:r>
        <w:separator/>
      </w:r>
    </w:p>
  </w:endnote>
  <w:endnote w:type="continuationSeparator" w:id="0">
    <w:p w14:paraId="3C4BCB42" w14:textId="77777777" w:rsidR="001A47AF" w:rsidRDefault="001A47AF">
      <w:pPr>
        <w:spacing w:before="0" w:after="0"/>
      </w:pPr>
      <w:r>
        <w:continuationSeparator/>
      </w:r>
    </w:p>
  </w:endnote>
  <w:endnote w:type="continuationNotice" w:id="1">
    <w:p w14:paraId="11B6486E" w14:textId="77777777" w:rsidR="00F02B8A" w:rsidRDefault="00F02B8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F0EBC" w14:textId="77777777" w:rsidR="001A47AF" w:rsidRDefault="001A47AF">
      <w:pPr>
        <w:spacing w:before="0" w:after="0"/>
      </w:pPr>
      <w:r>
        <w:separator/>
      </w:r>
    </w:p>
  </w:footnote>
  <w:footnote w:type="continuationSeparator" w:id="0">
    <w:p w14:paraId="6E3329C3" w14:textId="77777777" w:rsidR="001A47AF" w:rsidRDefault="001A47AF">
      <w:pPr>
        <w:spacing w:before="0" w:after="0"/>
      </w:pPr>
      <w:r>
        <w:continuationSeparator/>
      </w:r>
    </w:p>
  </w:footnote>
  <w:footnote w:type="continuationNotice" w:id="1">
    <w:p w14:paraId="1D8DFD4D" w14:textId="77777777" w:rsidR="00F02B8A" w:rsidRDefault="00F02B8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C05D1"/>
    <w:multiLevelType w:val="hybridMultilevel"/>
    <w:tmpl w:val="9252CC0E"/>
    <w:lvl w:ilvl="0" w:tplc="CCE89C46">
      <w:start w:val="14"/>
      <w:numFmt w:val="bullet"/>
      <w:lvlText w:val="-"/>
      <w:lvlJc w:val="left"/>
      <w:pPr>
        <w:ind w:left="720" w:hanging="360"/>
      </w:pPr>
      <w:rPr>
        <w:rFonts w:ascii="Times New Roman" w:eastAsia="Calibr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615A7838"/>
    <w:multiLevelType w:val="hybridMultilevel"/>
    <w:tmpl w:val="9D20476E"/>
    <w:lvl w:ilvl="0" w:tplc="F66C1CA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31914039">
    <w:abstractNumId w:val="1"/>
  </w:num>
  <w:num w:numId="2" w16cid:durableId="396779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069E9B6-C143-4044-A1D6-D29602BC6921}"/>
    <w:docVar w:name="dgnword-eventsink" w:val="1925621091408"/>
  </w:docVars>
  <w:rsids>
    <w:rsidRoot w:val="00A77C3E"/>
    <w:rsid w:val="00002F16"/>
    <w:rsid w:val="00002FCC"/>
    <w:rsid w:val="00005BAB"/>
    <w:rsid w:val="000064FF"/>
    <w:rsid w:val="00007421"/>
    <w:rsid w:val="00014FD4"/>
    <w:rsid w:val="0002019E"/>
    <w:rsid w:val="00021B17"/>
    <w:rsid w:val="00022B94"/>
    <w:rsid w:val="000274FC"/>
    <w:rsid w:val="000331BD"/>
    <w:rsid w:val="00035C79"/>
    <w:rsid w:val="000372B1"/>
    <w:rsid w:val="000379F3"/>
    <w:rsid w:val="00042951"/>
    <w:rsid w:val="00043C1C"/>
    <w:rsid w:val="00050A54"/>
    <w:rsid w:val="00050E95"/>
    <w:rsid w:val="00052259"/>
    <w:rsid w:val="000529FA"/>
    <w:rsid w:val="00052C4B"/>
    <w:rsid w:val="00053C0C"/>
    <w:rsid w:val="000605D4"/>
    <w:rsid w:val="00063155"/>
    <w:rsid w:val="00066D1A"/>
    <w:rsid w:val="000702BC"/>
    <w:rsid w:val="0007102E"/>
    <w:rsid w:val="000766B7"/>
    <w:rsid w:val="0007673D"/>
    <w:rsid w:val="00077999"/>
    <w:rsid w:val="0008207B"/>
    <w:rsid w:val="000826B9"/>
    <w:rsid w:val="00085EEE"/>
    <w:rsid w:val="00087EB4"/>
    <w:rsid w:val="00090904"/>
    <w:rsid w:val="000909CA"/>
    <w:rsid w:val="0009366E"/>
    <w:rsid w:val="00095B9A"/>
    <w:rsid w:val="000A64C9"/>
    <w:rsid w:val="000A6E78"/>
    <w:rsid w:val="000B0BFB"/>
    <w:rsid w:val="000B304F"/>
    <w:rsid w:val="000B4313"/>
    <w:rsid w:val="000B5124"/>
    <w:rsid w:val="000B6465"/>
    <w:rsid w:val="000C248A"/>
    <w:rsid w:val="000C3372"/>
    <w:rsid w:val="000C73C9"/>
    <w:rsid w:val="000D0BF2"/>
    <w:rsid w:val="000D7F11"/>
    <w:rsid w:val="000E6811"/>
    <w:rsid w:val="000E6AA3"/>
    <w:rsid w:val="000E6FA2"/>
    <w:rsid w:val="000F1586"/>
    <w:rsid w:val="000F248A"/>
    <w:rsid w:val="000F2F3E"/>
    <w:rsid w:val="000F3A9F"/>
    <w:rsid w:val="000F644A"/>
    <w:rsid w:val="000F6BA8"/>
    <w:rsid w:val="000F7A5D"/>
    <w:rsid w:val="001014AD"/>
    <w:rsid w:val="00104ADB"/>
    <w:rsid w:val="00107408"/>
    <w:rsid w:val="00110220"/>
    <w:rsid w:val="00112D45"/>
    <w:rsid w:val="00113939"/>
    <w:rsid w:val="00113B0C"/>
    <w:rsid w:val="001158AC"/>
    <w:rsid w:val="00122BBD"/>
    <w:rsid w:val="00123219"/>
    <w:rsid w:val="0012664C"/>
    <w:rsid w:val="0013172D"/>
    <w:rsid w:val="001405D2"/>
    <w:rsid w:val="001412CE"/>
    <w:rsid w:val="00141445"/>
    <w:rsid w:val="00141769"/>
    <w:rsid w:val="00147926"/>
    <w:rsid w:val="00153208"/>
    <w:rsid w:val="00155A6D"/>
    <w:rsid w:val="00157AC5"/>
    <w:rsid w:val="00157F0C"/>
    <w:rsid w:val="00160C86"/>
    <w:rsid w:val="00165171"/>
    <w:rsid w:val="00165E1E"/>
    <w:rsid w:val="001715D8"/>
    <w:rsid w:val="00171883"/>
    <w:rsid w:val="00172326"/>
    <w:rsid w:val="001734C8"/>
    <w:rsid w:val="001821EE"/>
    <w:rsid w:val="001856D0"/>
    <w:rsid w:val="00187437"/>
    <w:rsid w:val="001921D8"/>
    <w:rsid w:val="001946D3"/>
    <w:rsid w:val="00196285"/>
    <w:rsid w:val="001A3C3B"/>
    <w:rsid w:val="001A47AF"/>
    <w:rsid w:val="001A485F"/>
    <w:rsid w:val="001A56AB"/>
    <w:rsid w:val="001A574C"/>
    <w:rsid w:val="001A79C6"/>
    <w:rsid w:val="001B0815"/>
    <w:rsid w:val="001B15C6"/>
    <w:rsid w:val="001B607D"/>
    <w:rsid w:val="001B61BC"/>
    <w:rsid w:val="001B7632"/>
    <w:rsid w:val="001C18C6"/>
    <w:rsid w:val="001C37F6"/>
    <w:rsid w:val="001C4B9C"/>
    <w:rsid w:val="001C7511"/>
    <w:rsid w:val="001D2108"/>
    <w:rsid w:val="001D2F42"/>
    <w:rsid w:val="001D3FAA"/>
    <w:rsid w:val="001D69F5"/>
    <w:rsid w:val="001D7859"/>
    <w:rsid w:val="001D79DF"/>
    <w:rsid w:val="001E65BC"/>
    <w:rsid w:val="001F2C62"/>
    <w:rsid w:val="001F78E1"/>
    <w:rsid w:val="00201DB1"/>
    <w:rsid w:val="00211945"/>
    <w:rsid w:val="002122F1"/>
    <w:rsid w:val="00212D01"/>
    <w:rsid w:val="00212D89"/>
    <w:rsid w:val="002161F8"/>
    <w:rsid w:val="00220C57"/>
    <w:rsid w:val="002210F2"/>
    <w:rsid w:val="00222BB5"/>
    <w:rsid w:val="00223C50"/>
    <w:rsid w:val="00236971"/>
    <w:rsid w:val="0023759B"/>
    <w:rsid w:val="00240387"/>
    <w:rsid w:val="0024049D"/>
    <w:rsid w:val="0024089D"/>
    <w:rsid w:val="002414E5"/>
    <w:rsid w:val="00242493"/>
    <w:rsid w:val="0025156B"/>
    <w:rsid w:val="002563A3"/>
    <w:rsid w:val="00257703"/>
    <w:rsid w:val="00261388"/>
    <w:rsid w:val="00264DAE"/>
    <w:rsid w:val="002656B8"/>
    <w:rsid w:val="00266194"/>
    <w:rsid w:val="0026700F"/>
    <w:rsid w:val="00277942"/>
    <w:rsid w:val="0028190E"/>
    <w:rsid w:val="00284FD4"/>
    <w:rsid w:val="00287CA4"/>
    <w:rsid w:val="00290624"/>
    <w:rsid w:val="0029121F"/>
    <w:rsid w:val="002915D9"/>
    <w:rsid w:val="002934D7"/>
    <w:rsid w:val="00294367"/>
    <w:rsid w:val="00297F65"/>
    <w:rsid w:val="002A1CA2"/>
    <w:rsid w:val="002A1D62"/>
    <w:rsid w:val="002A521A"/>
    <w:rsid w:val="002A704E"/>
    <w:rsid w:val="002B160F"/>
    <w:rsid w:val="002B1B37"/>
    <w:rsid w:val="002B2313"/>
    <w:rsid w:val="002B4FDF"/>
    <w:rsid w:val="002B6377"/>
    <w:rsid w:val="002C3AC1"/>
    <w:rsid w:val="002C45ED"/>
    <w:rsid w:val="002C4A0F"/>
    <w:rsid w:val="002C5CB8"/>
    <w:rsid w:val="002D59AC"/>
    <w:rsid w:val="002D5EE2"/>
    <w:rsid w:val="002E3556"/>
    <w:rsid w:val="002E3B95"/>
    <w:rsid w:val="002F06D1"/>
    <w:rsid w:val="002F2077"/>
    <w:rsid w:val="002F3746"/>
    <w:rsid w:val="00302B66"/>
    <w:rsid w:val="003055E6"/>
    <w:rsid w:val="003057F5"/>
    <w:rsid w:val="003115EA"/>
    <w:rsid w:val="0031427D"/>
    <w:rsid w:val="00321D5D"/>
    <w:rsid w:val="0032266C"/>
    <w:rsid w:val="00322C32"/>
    <w:rsid w:val="00323CFD"/>
    <w:rsid w:val="003247FF"/>
    <w:rsid w:val="00332429"/>
    <w:rsid w:val="00332680"/>
    <w:rsid w:val="003337D9"/>
    <w:rsid w:val="003342BA"/>
    <w:rsid w:val="0033473F"/>
    <w:rsid w:val="00334B25"/>
    <w:rsid w:val="003358EA"/>
    <w:rsid w:val="00337F19"/>
    <w:rsid w:val="00342CA9"/>
    <w:rsid w:val="00343487"/>
    <w:rsid w:val="00343ED8"/>
    <w:rsid w:val="00350B2A"/>
    <w:rsid w:val="00355C42"/>
    <w:rsid w:val="00356992"/>
    <w:rsid w:val="00360639"/>
    <w:rsid w:val="0036381E"/>
    <w:rsid w:val="003644BE"/>
    <w:rsid w:val="00364F24"/>
    <w:rsid w:val="003654A0"/>
    <w:rsid w:val="00372797"/>
    <w:rsid w:val="003761B9"/>
    <w:rsid w:val="00377D5A"/>
    <w:rsid w:val="00380068"/>
    <w:rsid w:val="003809A0"/>
    <w:rsid w:val="003826F1"/>
    <w:rsid w:val="00382FC2"/>
    <w:rsid w:val="003861F7"/>
    <w:rsid w:val="0039177E"/>
    <w:rsid w:val="00391D42"/>
    <w:rsid w:val="00392AEE"/>
    <w:rsid w:val="00392ECA"/>
    <w:rsid w:val="00395063"/>
    <w:rsid w:val="00396924"/>
    <w:rsid w:val="00397B5A"/>
    <w:rsid w:val="003A0B37"/>
    <w:rsid w:val="003A3F66"/>
    <w:rsid w:val="003A672D"/>
    <w:rsid w:val="003B37D0"/>
    <w:rsid w:val="003B3E88"/>
    <w:rsid w:val="003B43D0"/>
    <w:rsid w:val="003B5E96"/>
    <w:rsid w:val="003B686F"/>
    <w:rsid w:val="003B7084"/>
    <w:rsid w:val="003C500C"/>
    <w:rsid w:val="003C6C3E"/>
    <w:rsid w:val="003C7BA6"/>
    <w:rsid w:val="003D08DF"/>
    <w:rsid w:val="003D17FF"/>
    <w:rsid w:val="003D44DD"/>
    <w:rsid w:val="003E23D2"/>
    <w:rsid w:val="003E25A9"/>
    <w:rsid w:val="003E26A6"/>
    <w:rsid w:val="003E3C05"/>
    <w:rsid w:val="003F003A"/>
    <w:rsid w:val="003F20A9"/>
    <w:rsid w:val="003F4385"/>
    <w:rsid w:val="003F53F8"/>
    <w:rsid w:val="003F5506"/>
    <w:rsid w:val="003F5D0C"/>
    <w:rsid w:val="00400261"/>
    <w:rsid w:val="00401457"/>
    <w:rsid w:val="0040149E"/>
    <w:rsid w:val="0040289F"/>
    <w:rsid w:val="00402B63"/>
    <w:rsid w:val="00404F8B"/>
    <w:rsid w:val="00406C66"/>
    <w:rsid w:val="00407909"/>
    <w:rsid w:val="00407BDC"/>
    <w:rsid w:val="00416499"/>
    <w:rsid w:val="0042087B"/>
    <w:rsid w:val="004231F4"/>
    <w:rsid w:val="00423B5C"/>
    <w:rsid w:val="00423ED0"/>
    <w:rsid w:val="00424B71"/>
    <w:rsid w:val="004314F4"/>
    <w:rsid w:val="00433128"/>
    <w:rsid w:val="00435489"/>
    <w:rsid w:val="00440DA8"/>
    <w:rsid w:val="00441193"/>
    <w:rsid w:val="00443EB3"/>
    <w:rsid w:val="00444295"/>
    <w:rsid w:val="00451357"/>
    <w:rsid w:val="004536A1"/>
    <w:rsid w:val="0045535F"/>
    <w:rsid w:val="00456EE5"/>
    <w:rsid w:val="004602D6"/>
    <w:rsid w:val="004628FD"/>
    <w:rsid w:val="00466069"/>
    <w:rsid w:val="004678B7"/>
    <w:rsid w:val="00470C41"/>
    <w:rsid w:val="00475A12"/>
    <w:rsid w:val="00480275"/>
    <w:rsid w:val="00481610"/>
    <w:rsid w:val="00485174"/>
    <w:rsid w:val="004873A3"/>
    <w:rsid w:val="004879CC"/>
    <w:rsid w:val="0049494D"/>
    <w:rsid w:val="004A67C9"/>
    <w:rsid w:val="004B2D97"/>
    <w:rsid w:val="004B5ACC"/>
    <w:rsid w:val="004B6017"/>
    <w:rsid w:val="004B7361"/>
    <w:rsid w:val="004C0CAA"/>
    <w:rsid w:val="004C1B9E"/>
    <w:rsid w:val="004C20FA"/>
    <w:rsid w:val="004C330E"/>
    <w:rsid w:val="004C427C"/>
    <w:rsid w:val="004C5A4E"/>
    <w:rsid w:val="004C66DF"/>
    <w:rsid w:val="004C7D7B"/>
    <w:rsid w:val="004D5A15"/>
    <w:rsid w:val="004D6289"/>
    <w:rsid w:val="004D66F5"/>
    <w:rsid w:val="004D6B15"/>
    <w:rsid w:val="004E2434"/>
    <w:rsid w:val="004E2859"/>
    <w:rsid w:val="004E6051"/>
    <w:rsid w:val="004F0214"/>
    <w:rsid w:val="004F1F1B"/>
    <w:rsid w:val="004F56DC"/>
    <w:rsid w:val="004F5713"/>
    <w:rsid w:val="004F7903"/>
    <w:rsid w:val="00500E2F"/>
    <w:rsid w:val="00503FF7"/>
    <w:rsid w:val="00514110"/>
    <w:rsid w:val="00516775"/>
    <w:rsid w:val="00516CD6"/>
    <w:rsid w:val="00520C37"/>
    <w:rsid w:val="00522437"/>
    <w:rsid w:val="005234B5"/>
    <w:rsid w:val="005244D2"/>
    <w:rsid w:val="00524780"/>
    <w:rsid w:val="00527DEA"/>
    <w:rsid w:val="005328DF"/>
    <w:rsid w:val="005350ED"/>
    <w:rsid w:val="005413FA"/>
    <w:rsid w:val="00547B68"/>
    <w:rsid w:val="005502FB"/>
    <w:rsid w:val="005533F5"/>
    <w:rsid w:val="005543A7"/>
    <w:rsid w:val="005706A3"/>
    <w:rsid w:val="005708B1"/>
    <w:rsid w:val="00570B0F"/>
    <w:rsid w:val="00571071"/>
    <w:rsid w:val="0057219E"/>
    <w:rsid w:val="005773C6"/>
    <w:rsid w:val="00577558"/>
    <w:rsid w:val="005835F3"/>
    <w:rsid w:val="00585B32"/>
    <w:rsid w:val="00586054"/>
    <w:rsid w:val="00597DCB"/>
    <w:rsid w:val="005A0EFF"/>
    <w:rsid w:val="005B4240"/>
    <w:rsid w:val="005B7AB8"/>
    <w:rsid w:val="005C4B25"/>
    <w:rsid w:val="005C5072"/>
    <w:rsid w:val="005C71D4"/>
    <w:rsid w:val="005C77FA"/>
    <w:rsid w:val="005D32D6"/>
    <w:rsid w:val="005D353F"/>
    <w:rsid w:val="005D369B"/>
    <w:rsid w:val="005D5790"/>
    <w:rsid w:val="005E0676"/>
    <w:rsid w:val="005E3F7E"/>
    <w:rsid w:val="005E4BD3"/>
    <w:rsid w:val="005E6088"/>
    <w:rsid w:val="005F0336"/>
    <w:rsid w:val="005F3B8B"/>
    <w:rsid w:val="005F6F57"/>
    <w:rsid w:val="005F7149"/>
    <w:rsid w:val="0060086E"/>
    <w:rsid w:val="00603C45"/>
    <w:rsid w:val="0060583A"/>
    <w:rsid w:val="00610B7F"/>
    <w:rsid w:val="00610F94"/>
    <w:rsid w:val="00612DEA"/>
    <w:rsid w:val="00613590"/>
    <w:rsid w:val="00614688"/>
    <w:rsid w:val="00617FAF"/>
    <w:rsid w:val="0062373A"/>
    <w:rsid w:val="00623A3B"/>
    <w:rsid w:val="0062490C"/>
    <w:rsid w:val="00624B40"/>
    <w:rsid w:val="00631A69"/>
    <w:rsid w:val="00632832"/>
    <w:rsid w:val="006328C2"/>
    <w:rsid w:val="00634B87"/>
    <w:rsid w:val="00636336"/>
    <w:rsid w:val="00636E5A"/>
    <w:rsid w:val="0063773D"/>
    <w:rsid w:val="006475D0"/>
    <w:rsid w:val="006540A5"/>
    <w:rsid w:val="006543BD"/>
    <w:rsid w:val="006567FB"/>
    <w:rsid w:val="006618DB"/>
    <w:rsid w:val="00662546"/>
    <w:rsid w:val="00665A26"/>
    <w:rsid w:val="0066799D"/>
    <w:rsid w:val="0067076E"/>
    <w:rsid w:val="00673E51"/>
    <w:rsid w:val="006751FB"/>
    <w:rsid w:val="0068055B"/>
    <w:rsid w:val="00685E3A"/>
    <w:rsid w:val="0068773E"/>
    <w:rsid w:val="006878DA"/>
    <w:rsid w:val="006906B6"/>
    <w:rsid w:val="00692B31"/>
    <w:rsid w:val="00696879"/>
    <w:rsid w:val="006A3775"/>
    <w:rsid w:val="006A5118"/>
    <w:rsid w:val="006A59B2"/>
    <w:rsid w:val="006B0049"/>
    <w:rsid w:val="006B2496"/>
    <w:rsid w:val="006B573E"/>
    <w:rsid w:val="006C025A"/>
    <w:rsid w:val="006C10EB"/>
    <w:rsid w:val="006C1DC4"/>
    <w:rsid w:val="006C4D5E"/>
    <w:rsid w:val="006C6E76"/>
    <w:rsid w:val="006D0DA7"/>
    <w:rsid w:val="006D1F17"/>
    <w:rsid w:val="006D2C80"/>
    <w:rsid w:val="006D4CE9"/>
    <w:rsid w:val="006D7BCA"/>
    <w:rsid w:val="006E09EE"/>
    <w:rsid w:val="006E118D"/>
    <w:rsid w:val="006E1970"/>
    <w:rsid w:val="006E1CC7"/>
    <w:rsid w:val="006E2668"/>
    <w:rsid w:val="006E293D"/>
    <w:rsid w:val="006E3B88"/>
    <w:rsid w:val="006E50DE"/>
    <w:rsid w:val="006F0637"/>
    <w:rsid w:val="006F783D"/>
    <w:rsid w:val="007019B8"/>
    <w:rsid w:val="00703F21"/>
    <w:rsid w:val="00706657"/>
    <w:rsid w:val="0071097C"/>
    <w:rsid w:val="00714D0B"/>
    <w:rsid w:val="0071799E"/>
    <w:rsid w:val="0072005B"/>
    <w:rsid w:val="007204C0"/>
    <w:rsid w:val="00721BEA"/>
    <w:rsid w:val="007244AA"/>
    <w:rsid w:val="00725342"/>
    <w:rsid w:val="00725D61"/>
    <w:rsid w:val="007278C6"/>
    <w:rsid w:val="00730D2C"/>
    <w:rsid w:val="00733BBE"/>
    <w:rsid w:val="00734A7A"/>
    <w:rsid w:val="007366ED"/>
    <w:rsid w:val="00736A55"/>
    <w:rsid w:val="0074193D"/>
    <w:rsid w:val="00742F80"/>
    <w:rsid w:val="00743C11"/>
    <w:rsid w:val="00745681"/>
    <w:rsid w:val="00746C1C"/>
    <w:rsid w:val="00750ECB"/>
    <w:rsid w:val="00751193"/>
    <w:rsid w:val="007519B8"/>
    <w:rsid w:val="00752820"/>
    <w:rsid w:val="00757A48"/>
    <w:rsid w:val="00761647"/>
    <w:rsid w:val="00761E52"/>
    <w:rsid w:val="00762C82"/>
    <w:rsid w:val="00763B60"/>
    <w:rsid w:val="0076454F"/>
    <w:rsid w:val="00764CDD"/>
    <w:rsid w:val="007655A7"/>
    <w:rsid w:val="00767956"/>
    <w:rsid w:val="00772DDD"/>
    <w:rsid w:val="007747B1"/>
    <w:rsid w:val="00783743"/>
    <w:rsid w:val="007837BA"/>
    <w:rsid w:val="00783B62"/>
    <w:rsid w:val="00785545"/>
    <w:rsid w:val="00787EB5"/>
    <w:rsid w:val="00790518"/>
    <w:rsid w:val="00792ECA"/>
    <w:rsid w:val="007947ED"/>
    <w:rsid w:val="007A430B"/>
    <w:rsid w:val="007A78B9"/>
    <w:rsid w:val="007B1CE8"/>
    <w:rsid w:val="007B3F5F"/>
    <w:rsid w:val="007B543E"/>
    <w:rsid w:val="007C0669"/>
    <w:rsid w:val="007C06CF"/>
    <w:rsid w:val="007C5478"/>
    <w:rsid w:val="007C6170"/>
    <w:rsid w:val="007C69E2"/>
    <w:rsid w:val="007C6D4F"/>
    <w:rsid w:val="007C7536"/>
    <w:rsid w:val="007D0916"/>
    <w:rsid w:val="007D6146"/>
    <w:rsid w:val="007E2192"/>
    <w:rsid w:val="007E5D25"/>
    <w:rsid w:val="007E7439"/>
    <w:rsid w:val="007E7654"/>
    <w:rsid w:val="007E7694"/>
    <w:rsid w:val="007F16E7"/>
    <w:rsid w:val="007F1B73"/>
    <w:rsid w:val="007F241C"/>
    <w:rsid w:val="007F3481"/>
    <w:rsid w:val="007F3DCD"/>
    <w:rsid w:val="007F53F6"/>
    <w:rsid w:val="007F54E5"/>
    <w:rsid w:val="007F634B"/>
    <w:rsid w:val="0080205E"/>
    <w:rsid w:val="008037D7"/>
    <w:rsid w:val="00806B25"/>
    <w:rsid w:val="00814E37"/>
    <w:rsid w:val="00821571"/>
    <w:rsid w:val="00823AA3"/>
    <w:rsid w:val="00825CE8"/>
    <w:rsid w:val="00831053"/>
    <w:rsid w:val="00832909"/>
    <w:rsid w:val="00834125"/>
    <w:rsid w:val="008357C4"/>
    <w:rsid w:val="00841A50"/>
    <w:rsid w:val="008455BF"/>
    <w:rsid w:val="0084682C"/>
    <w:rsid w:val="00847B35"/>
    <w:rsid w:val="008507D1"/>
    <w:rsid w:val="00850E35"/>
    <w:rsid w:val="0085365D"/>
    <w:rsid w:val="008537E7"/>
    <w:rsid w:val="00853F10"/>
    <w:rsid w:val="00855C0C"/>
    <w:rsid w:val="00857C82"/>
    <w:rsid w:val="00857DE7"/>
    <w:rsid w:val="00860135"/>
    <w:rsid w:val="00860975"/>
    <w:rsid w:val="00865734"/>
    <w:rsid w:val="00867BCC"/>
    <w:rsid w:val="008726BB"/>
    <w:rsid w:val="00875C88"/>
    <w:rsid w:val="00887E7A"/>
    <w:rsid w:val="00890EE5"/>
    <w:rsid w:val="008942E2"/>
    <w:rsid w:val="00894624"/>
    <w:rsid w:val="00894D47"/>
    <w:rsid w:val="00895A48"/>
    <w:rsid w:val="0089638A"/>
    <w:rsid w:val="0089653C"/>
    <w:rsid w:val="008A17DE"/>
    <w:rsid w:val="008A2133"/>
    <w:rsid w:val="008A2B4D"/>
    <w:rsid w:val="008A77B6"/>
    <w:rsid w:val="008B0478"/>
    <w:rsid w:val="008B05BC"/>
    <w:rsid w:val="008B29C5"/>
    <w:rsid w:val="008B31C0"/>
    <w:rsid w:val="008B6859"/>
    <w:rsid w:val="008C1221"/>
    <w:rsid w:val="008C1F12"/>
    <w:rsid w:val="008C2E29"/>
    <w:rsid w:val="008C37AF"/>
    <w:rsid w:val="008C41F0"/>
    <w:rsid w:val="008C4FCD"/>
    <w:rsid w:val="008C5C7A"/>
    <w:rsid w:val="008C5F55"/>
    <w:rsid w:val="008C5FFE"/>
    <w:rsid w:val="008C6D56"/>
    <w:rsid w:val="008D0776"/>
    <w:rsid w:val="008D11AA"/>
    <w:rsid w:val="008D1803"/>
    <w:rsid w:val="008D2212"/>
    <w:rsid w:val="008D4380"/>
    <w:rsid w:val="008D6932"/>
    <w:rsid w:val="008D6F7A"/>
    <w:rsid w:val="008E041F"/>
    <w:rsid w:val="008E1388"/>
    <w:rsid w:val="008E2DF6"/>
    <w:rsid w:val="008E3CF2"/>
    <w:rsid w:val="008E503E"/>
    <w:rsid w:val="008E5FA4"/>
    <w:rsid w:val="008F0655"/>
    <w:rsid w:val="008F0FFD"/>
    <w:rsid w:val="008F4CB4"/>
    <w:rsid w:val="008F6DA8"/>
    <w:rsid w:val="009005B0"/>
    <w:rsid w:val="00900947"/>
    <w:rsid w:val="009022AF"/>
    <w:rsid w:val="009030B7"/>
    <w:rsid w:val="00904536"/>
    <w:rsid w:val="009111DD"/>
    <w:rsid w:val="009168C7"/>
    <w:rsid w:val="0091738C"/>
    <w:rsid w:val="00920313"/>
    <w:rsid w:val="00920D47"/>
    <w:rsid w:val="009327A5"/>
    <w:rsid w:val="00937183"/>
    <w:rsid w:val="00937212"/>
    <w:rsid w:val="0094454E"/>
    <w:rsid w:val="009462FA"/>
    <w:rsid w:val="009464C3"/>
    <w:rsid w:val="0095247B"/>
    <w:rsid w:val="0096723C"/>
    <w:rsid w:val="009704C2"/>
    <w:rsid w:val="009738B5"/>
    <w:rsid w:val="00974948"/>
    <w:rsid w:val="00975549"/>
    <w:rsid w:val="009800F8"/>
    <w:rsid w:val="00984244"/>
    <w:rsid w:val="00985B47"/>
    <w:rsid w:val="00986387"/>
    <w:rsid w:val="009910E3"/>
    <w:rsid w:val="00991892"/>
    <w:rsid w:val="009941DF"/>
    <w:rsid w:val="009A175D"/>
    <w:rsid w:val="009A6923"/>
    <w:rsid w:val="009B029B"/>
    <w:rsid w:val="009B25BA"/>
    <w:rsid w:val="009B4A5D"/>
    <w:rsid w:val="009B4AF1"/>
    <w:rsid w:val="009C62AC"/>
    <w:rsid w:val="009D0413"/>
    <w:rsid w:val="009D0560"/>
    <w:rsid w:val="009D1B4A"/>
    <w:rsid w:val="009D20CD"/>
    <w:rsid w:val="009D530D"/>
    <w:rsid w:val="009E163F"/>
    <w:rsid w:val="009E3A35"/>
    <w:rsid w:val="009E532A"/>
    <w:rsid w:val="009F31FE"/>
    <w:rsid w:val="009F4DEA"/>
    <w:rsid w:val="009F5183"/>
    <w:rsid w:val="009F7BA4"/>
    <w:rsid w:val="00A02912"/>
    <w:rsid w:val="00A02A9B"/>
    <w:rsid w:val="00A02EC8"/>
    <w:rsid w:val="00A02FD4"/>
    <w:rsid w:val="00A04A65"/>
    <w:rsid w:val="00A04EB7"/>
    <w:rsid w:val="00A05E82"/>
    <w:rsid w:val="00A12495"/>
    <w:rsid w:val="00A13419"/>
    <w:rsid w:val="00A15885"/>
    <w:rsid w:val="00A17D74"/>
    <w:rsid w:val="00A227BD"/>
    <w:rsid w:val="00A227D0"/>
    <w:rsid w:val="00A22AAB"/>
    <w:rsid w:val="00A23A56"/>
    <w:rsid w:val="00A27BB5"/>
    <w:rsid w:val="00A36775"/>
    <w:rsid w:val="00A412D2"/>
    <w:rsid w:val="00A424AD"/>
    <w:rsid w:val="00A42808"/>
    <w:rsid w:val="00A43B6F"/>
    <w:rsid w:val="00A51F1C"/>
    <w:rsid w:val="00A5222B"/>
    <w:rsid w:val="00A57065"/>
    <w:rsid w:val="00A600CE"/>
    <w:rsid w:val="00A6061E"/>
    <w:rsid w:val="00A61D43"/>
    <w:rsid w:val="00A646EE"/>
    <w:rsid w:val="00A74ED2"/>
    <w:rsid w:val="00A77C3E"/>
    <w:rsid w:val="00A77FF1"/>
    <w:rsid w:val="00A81D8C"/>
    <w:rsid w:val="00A827B5"/>
    <w:rsid w:val="00A829C3"/>
    <w:rsid w:val="00A861F2"/>
    <w:rsid w:val="00A86A3E"/>
    <w:rsid w:val="00A916A1"/>
    <w:rsid w:val="00A944AA"/>
    <w:rsid w:val="00A9457F"/>
    <w:rsid w:val="00AA3DF6"/>
    <w:rsid w:val="00AA4CFB"/>
    <w:rsid w:val="00AA5094"/>
    <w:rsid w:val="00AB24EF"/>
    <w:rsid w:val="00AB3F73"/>
    <w:rsid w:val="00AB4B44"/>
    <w:rsid w:val="00AB50D8"/>
    <w:rsid w:val="00AC3906"/>
    <w:rsid w:val="00AC3CDB"/>
    <w:rsid w:val="00AC65B2"/>
    <w:rsid w:val="00AC7E0D"/>
    <w:rsid w:val="00AD1978"/>
    <w:rsid w:val="00AD263B"/>
    <w:rsid w:val="00AD4111"/>
    <w:rsid w:val="00AD5921"/>
    <w:rsid w:val="00AE43EF"/>
    <w:rsid w:val="00AE5035"/>
    <w:rsid w:val="00AE65E9"/>
    <w:rsid w:val="00AF0D3C"/>
    <w:rsid w:val="00AF20EC"/>
    <w:rsid w:val="00AF30E1"/>
    <w:rsid w:val="00AF3D2A"/>
    <w:rsid w:val="00AF4DE1"/>
    <w:rsid w:val="00AF6A44"/>
    <w:rsid w:val="00AF7909"/>
    <w:rsid w:val="00B00999"/>
    <w:rsid w:val="00B01FC2"/>
    <w:rsid w:val="00B07D22"/>
    <w:rsid w:val="00B12F7B"/>
    <w:rsid w:val="00B1445C"/>
    <w:rsid w:val="00B16CB2"/>
    <w:rsid w:val="00B20FA1"/>
    <w:rsid w:val="00B217CA"/>
    <w:rsid w:val="00B233A3"/>
    <w:rsid w:val="00B26C8B"/>
    <w:rsid w:val="00B34EFE"/>
    <w:rsid w:val="00B34F5F"/>
    <w:rsid w:val="00B367D3"/>
    <w:rsid w:val="00B42246"/>
    <w:rsid w:val="00B426B8"/>
    <w:rsid w:val="00B42A6C"/>
    <w:rsid w:val="00B42EAA"/>
    <w:rsid w:val="00B43111"/>
    <w:rsid w:val="00B4320F"/>
    <w:rsid w:val="00B43B8A"/>
    <w:rsid w:val="00B5402F"/>
    <w:rsid w:val="00B5570E"/>
    <w:rsid w:val="00B56C79"/>
    <w:rsid w:val="00B6072E"/>
    <w:rsid w:val="00B66DC1"/>
    <w:rsid w:val="00B67BD4"/>
    <w:rsid w:val="00B67F37"/>
    <w:rsid w:val="00B716F4"/>
    <w:rsid w:val="00B71FC6"/>
    <w:rsid w:val="00B771A8"/>
    <w:rsid w:val="00B803E9"/>
    <w:rsid w:val="00B82F34"/>
    <w:rsid w:val="00B8339C"/>
    <w:rsid w:val="00B9119E"/>
    <w:rsid w:val="00B915EC"/>
    <w:rsid w:val="00B93F09"/>
    <w:rsid w:val="00BA4F35"/>
    <w:rsid w:val="00BB6389"/>
    <w:rsid w:val="00BC1EA4"/>
    <w:rsid w:val="00BC59D3"/>
    <w:rsid w:val="00BD3EC8"/>
    <w:rsid w:val="00BD6A47"/>
    <w:rsid w:val="00BE089F"/>
    <w:rsid w:val="00BE0AE8"/>
    <w:rsid w:val="00BF13EC"/>
    <w:rsid w:val="00BF1791"/>
    <w:rsid w:val="00BF3FE0"/>
    <w:rsid w:val="00BF7421"/>
    <w:rsid w:val="00BF7DAA"/>
    <w:rsid w:val="00C0195E"/>
    <w:rsid w:val="00C02F10"/>
    <w:rsid w:val="00C0306B"/>
    <w:rsid w:val="00C07BCA"/>
    <w:rsid w:val="00C102B8"/>
    <w:rsid w:val="00C13DBB"/>
    <w:rsid w:val="00C14407"/>
    <w:rsid w:val="00C14DDC"/>
    <w:rsid w:val="00C14EE0"/>
    <w:rsid w:val="00C15D37"/>
    <w:rsid w:val="00C1694F"/>
    <w:rsid w:val="00C20F44"/>
    <w:rsid w:val="00C21161"/>
    <w:rsid w:val="00C218BF"/>
    <w:rsid w:val="00C23740"/>
    <w:rsid w:val="00C25904"/>
    <w:rsid w:val="00C25B7B"/>
    <w:rsid w:val="00C274D6"/>
    <w:rsid w:val="00C27A36"/>
    <w:rsid w:val="00C318F7"/>
    <w:rsid w:val="00C3370C"/>
    <w:rsid w:val="00C36174"/>
    <w:rsid w:val="00C41059"/>
    <w:rsid w:val="00C427B2"/>
    <w:rsid w:val="00C44D03"/>
    <w:rsid w:val="00C45E41"/>
    <w:rsid w:val="00C508DA"/>
    <w:rsid w:val="00C5094F"/>
    <w:rsid w:val="00C51624"/>
    <w:rsid w:val="00C559EC"/>
    <w:rsid w:val="00C60726"/>
    <w:rsid w:val="00C733E2"/>
    <w:rsid w:val="00C74ECB"/>
    <w:rsid w:val="00C84E02"/>
    <w:rsid w:val="00C90E84"/>
    <w:rsid w:val="00C940C7"/>
    <w:rsid w:val="00C94C87"/>
    <w:rsid w:val="00C96B0B"/>
    <w:rsid w:val="00C96C83"/>
    <w:rsid w:val="00C9778F"/>
    <w:rsid w:val="00CA3365"/>
    <w:rsid w:val="00CA3D31"/>
    <w:rsid w:val="00CA5AF6"/>
    <w:rsid w:val="00CA7638"/>
    <w:rsid w:val="00CB03FB"/>
    <w:rsid w:val="00CB16F2"/>
    <w:rsid w:val="00CB2BAE"/>
    <w:rsid w:val="00CC3C76"/>
    <w:rsid w:val="00CC43D4"/>
    <w:rsid w:val="00CC4F39"/>
    <w:rsid w:val="00CC7EE0"/>
    <w:rsid w:val="00CD24C9"/>
    <w:rsid w:val="00CD31A2"/>
    <w:rsid w:val="00CD5A3A"/>
    <w:rsid w:val="00CD7CCB"/>
    <w:rsid w:val="00CE0B9D"/>
    <w:rsid w:val="00CE3F9D"/>
    <w:rsid w:val="00CE4FDA"/>
    <w:rsid w:val="00CE6225"/>
    <w:rsid w:val="00CF05D2"/>
    <w:rsid w:val="00CF0C41"/>
    <w:rsid w:val="00CF3BF1"/>
    <w:rsid w:val="00CF678A"/>
    <w:rsid w:val="00CF7C9D"/>
    <w:rsid w:val="00D0147F"/>
    <w:rsid w:val="00D02F0D"/>
    <w:rsid w:val="00D06C81"/>
    <w:rsid w:val="00D17802"/>
    <w:rsid w:val="00D17F8F"/>
    <w:rsid w:val="00D20378"/>
    <w:rsid w:val="00D22B83"/>
    <w:rsid w:val="00D238BD"/>
    <w:rsid w:val="00D26D4F"/>
    <w:rsid w:val="00D30C09"/>
    <w:rsid w:val="00D33C76"/>
    <w:rsid w:val="00D3725A"/>
    <w:rsid w:val="00D40736"/>
    <w:rsid w:val="00D411AE"/>
    <w:rsid w:val="00D42101"/>
    <w:rsid w:val="00D51D60"/>
    <w:rsid w:val="00D52FFD"/>
    <w:rsid w:val="00D53539"/>
    <w:rsid w:val="00D543AA"/>
    <w:rsid w:val="00D56CBE"/>
    <w:rsid w:val="00D57E73"/>
    <w:rsid w:val="00D60705"/>
    <w:rsid w:val="00D63E8E"/>
    <w:rsid w:val="00D640D5"/>
    <w:rsid w:val="00D66E00"/>
    <w:rsid w:val="00D679FF"/>
    <w:rsid w:val="00D736F0"/>
    <w:rsid w:val="00D74F30"/>
    <w:rsid w:val="00D800D2"/>
    <w:rsid w:val="00D80D03"/>
    <w:rsid w:val="00D80DA9"/>
    <w:rsid w:val="00D81249"/>
    <w:rsid w:val="00D81F6A"/>
    <w:rsid w:val="00D8200E"/>
    <w:rsid w:val="00D901F5"/>
    <w:rsid w:val="00D94247"/>
    <w:rsid w:val="00D94DEC"/>
    <w:rsid w:val="00D97493"/>
    <w:rsid w:val="00DA4A5E"/>
    <w:rsid w:val="00DA563F"/>
    <w:rsid w:val="00DA6923"/>
    <w:rsid w:val="00DB4479"/>
    <w:rsid w:val="00DB4A3C"/>
    <w:rsid w:val="00DC42E2"/>
    <w:rsid w:val="00DC6957"/>
    <w:rsid w:val="00DD2194"/>
    <w:rsid w:val="00DD415A"/>
    <w:rsid w:val="00DD6F89"/>
    <w:rsid w:val="00DE3345"/>
    <w:rsid w:val="00DE553D"/>
    <w:rsid w:val="00DE68A1"/>
    <w:rsid w:val="00DF07F0"/>
    <w:rsid w:val="00DF4A1B"/>
    <w:rsid w:val="00DF5B10"/>
    <w:rsid w:val="00DF63B0"/>
    <w:rsid w:val="00DF6BC9"/>
    <w:rsid w:val="00E02569"/>
    <w:rsid w:val="00E02578"/>
    <w:rsid w:val="00E030A6"/>
    <w:rsid w:val="00E03E2E"/>
    <w:rsid w:val="00E14EE0"/>
    <w:rsid w:val="00E15348"/>
    <w:rsid w:val="00E25B2C"/>
    <w:rsid w:val="00E302CF"/>
    <w:rsid w:val="00E33129"/>
    <w:rsid w:val="00E36FF4"/>
    <w:rsid w:val="00E41108"/>
    <w:rsid w:val="00E427E2"/>
    <w:rsid w:val="00E44ED9"/>
    <w:rsid w:val="00E459C7"/>
    <w:rsid w:val="00E45E3F"/>
    <w:rsid w:val="00E51B21"/>
    <w:rsid w:val="00E51DD9"/>
    <w:rsid w:val="00E54646"/>
    <w:rsid w:val="00E55E7F"/>
    <w:rsid w:val="00E56499"/>
    <w:rsid w:val="00E5767C"/>
    <w:rsid w:val="00E638F1"/>
    <w:rsid w:val="00E63B6F"/>
    <w:rsid w:val="00E63E34"/>
    <w:rsid w:val="00E64AC9"/>
    <w:rsid w:val="00E675A9"/>
    <w:rsid w:val="00E70034"/>
    <w:rsid w:val="00E7153D"/>
    <w:rsid w:val="00E72063"/>
    <w:rsid w:val="00E74ED0"/>
    <w:rsid w:val="00E76FB3"/>
    <w:rsid w:val="00E7795A"/>
    <w:rsid w:val="00E80FC9"/>
    <w:rsid w:val="00E833D4"/>
    <w:rsid w:val="00E86A43"/>
    <w:rsid w:val="00E95583"/>
    <w:rsid w:val="00EA49E9"/>
    <w:rsid w:val="00EA775E"/>
    <w:rsid w:val="00EA7E01"/>
    <w:rsid w:val="00EB403C"/>
    <w:rsid w:val="00EC1079"/>
    <w:rsid w:val="00EC4C60"/>
    <w:rsid w:val="00EC6110"/>
    <w:rsid w:val="00ED19C9"/>
    <w:rsid w:val="00ED20DD"/>
    <w:rsid w:val="00ED3428"/>
    <w:rsid w:val="00ED4FAE"/>
    <w:rsid w:val="00ED710C"/>
    <w:rsid w:val="00EE038D"/>
    <w:rsid w:val="00EE5501"/>
    <w:rsid w:val="00EE7FC2"/>
    <w:rsid w:val="00EF2FA5"/>
    <w:rsid w:val="00EF621D"/>
    <w:rsid w:val="00EF6E24"/>
    <w:rsid w:val="00EF7520"/>
    <w:rsid w:val="00F02B8A"/>
    <w:rsid w:val="00F062A9"/>
    <w:rsid w:val="00F0695B"/>
    <w:rsid w:val="00F11CEE"/>
    <w:rsid w:val="00F120AB"/>
    <w:rsid w:val="00F12445"/>
    <w:rsid w:val="00F126EB"/>
    <w:rsid w:val="00F1346C"/>
    <w:rsid w:val="00F16673"/>
    <w:rsid w:val="00F226C0"/>
    <w:rsid w:val="00F24A19"/>
    <w:rsid w:val="00F33E6D"/>
    <w:rsid w:val="00F35224"/>
    <w:rsid w:val="00F421D6"/>
    <w:rsid w:val="00F43112"/>
    <w:rsid w:val="00F4569A"/>
    <w:rsid w:val="00F70D14"/>
    <w:rsid w:val="00F734CC"/>
    <w:rsid w:val="00F73ED1"/>
    <w:rsid w:val="00F74569"/>
    <w:rsid w:val="00F8351E"/>
    <w:rsid w:val="00F83F82"/>
    <w:rsid w:val="00F84890"/>
    <w:rsid w:val="00F85973"/>
    <w:rsid w:val="00F930A8"/>
    <w:rsid w:val="00F93143"/>
    <w:rsid w:val="00FA07D4"/>
    <w:rsid w:val="00FA0993"/>
    <w:rsid w:val="00FA0D08"/>
    <w:rsid w:val="00FA0E0B"/>
    <w:rsid w:val="00FA25CD"/>
    <w:rsid w:val="00FA4AC6"/>
    <w:rsid w:val="00FA6193"/>
    <w:rsid w:val="00FA7318"/>
    <w:rsid w:val="00FA77F5"/>
    <w:rsid w:val="00FB1F8B"/>
    <w:rsid w:val="00FB75E6"/>
    <w:rsid w:val="00FC1495"/>
    <w:rsid w:val="00FC16A2"/>
    <w:rsid w:val="00FC2A6F"/>
    <w:rsid w:val="00FC3F8C"/>
    <w:rsid w:val="00FC55AE"/>
    <w:rsid w:val="00FC5D3C"/>
    <w:rsid w:val="00FC620F"/>
    <w:rsid w:val="00FC655A"/>
    <w:rsid w:val="00FC6EB6"/>
    <w:rsid w:val="00FC6F32"/>
    <w:rsid w:val="00FC72F3"/>
    <w:rsid w:val="00FD25CE"/>
    <w:rsid w:val="00FD45B9"/>
    <w:rsid w:val="00FD6179"/>
    <w:rsid w:val="00FE0192"/>
    <w:rsid w:val="00FE2701"/>
    <w:rsid w:val="00FE68A1"/>
    <w:rsid w:val="00FF1241"/>
    <w:rsid w:val="083FFEBB"/>
    <w:rsid w:val="0B35FE70"/>
    <w:rsid w:val="15443526"/>
    <w:rsid w:val="26A23EE4"/>
    <w:rsid w:val="2CD2CF9B"/>
    <w:rsid w:val="2FA6E948"/>
    <w:rsid w:val="325DC396"/>
    <w:rsid w:val="77D83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730B20E3"/>
  <w15:docId w15:val="{B42609ED-632C-4523-AD84-23A889D4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Normaalweb">
    <w:name w:val="Normal (Web)"/>
    <w:basedOn w:val="Standaard"/>
    <w:uiPriority w:val="99"/>
    <w:semiHidden/>
    <w:unhideWhenUsed/>
    <w:rsid w:val="00F02B8A"/>
    <w:pPr>
      <w:spacing w:before="100" w:beforeAutospacing="1" w:after="100" w:afterAutospacing="1"/>
    </w:pPr>
    <w:rPr>
      <w:rFonts w:ascii="Calibri" w:eastAsiaTheme="minorHAnsi" w:hAnsi="Calibri" w:cs="Calibri"/>
      <w:sz w:val="22"/>
      <w:szCs w:val="22"/>
    </w:rPr>
  </w:style>
  <w:style w:type="character" w:styleId="Hyperlink">
    <w:name w:val="Hyperlink"/>
    <w:basedOn w:val="Standaardalinea-lettertype"/>
    <w:uiPriority w:val="99"/>
    <w:unhideWhenUsed/>
    <w:rsid w:val="00F02B8A"/>
    <w:rPr>
      <w:color w:val="0563C1"/>
      <w:u w:val="single"/>
    </w:rPr>
  </w:style>
  <w:style w:type="paragraph" w:styleId="Lijstalinea">
    <w:name w:val="List Paragraph"/>
    <w:basedOn w:val="Standaard"/>
    <w:uiPriority w:val="34"/>
    <w:qFormat/>
    <w:rsid w:val="00F02B8A"/>
    <w:pPr>
      <w:ind w:left="720"/>
      <w:contextualSpacing/>
    </w:pPr>
  </w:style>
  <w:style w:type="paragraph" w:styleId="Revisie">
    <w:name w:val="Revision"/>
    <w:hidden/>
    <w:uiPriority w:val="99"/>
    <w:semiHidden/>
    <w:rsid w:val="002563A3"/>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2563A3"/>
    <w:rPr>
      <w:sz w:val="16"/>
      <w:szCs w:val="16"/>
    </w:rPr>
  </w:style>
  <w:style w:type="paragraph" w:styleId="Tekstopmerking">
    <w:name w:val="annotation text"/>
    <w:basedOn w:val="Standaard"/>
    <w:link w:val="TekstopmerkingChar"/>
    <w:uiPriority w:val="99"/>
    <w:unhideWhenUsed/>
    <w:rsid w:val="002563A3"/>
  </w:style>
  <w:style w:type="character" w:customStyle="1" w:styleId="TekstopmerkingChar">
    <w:name w:val="Tekst opmerking Char"/>
    <w:basedOn w:val="Standaardalinea-lettertype"/>
    <w:link w:val="Tekstopmerking"/>
    <w:uiPriority w:val="99"/>
    <w:rsid w:val="002563A3"/>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2563A3"/>
    <w:rPr>
      <w:b/>
      <w:bCs/>
    </w:rPr>
  </w:style>
  <w:style w:type="character" w:customStyle="1" w:styleId="OnderwerpvanopmerkingChar">
    <w:name w:val="Onderwerp van opmerking Char"/>
    <w:basedOn w:val="TekstopmerkingChar"/>
    <w:link w:val="Onderwerpvanopmerking"/>
    <w:uiPriority w:val="99"/>
    <w:semiHidden/>
    <w:rsid w:val="002563A3"/>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22183">
      <w:bodyDiv w:val="1"/>
      <w:marLeft w:val="0"/>
      <w:marRight w:val="0"/>
      <w:marTop w:val="0"/>
      <w:marBottom w:val="0"/>
      <w:divBdr>
        <w:top w:val="none" w:sz="0" w:space="0" w:color="auto"/>
        <w:left w:val="none" w:sz="0" w:space="0" w:color="auto"/>
        <w:bottom w:val="none" w:sz="0" w:space="0" w:color="auto"/>
        <w:right w:val="none" w:sz="0" w:space="0" w:color="auto"/>
      </w:divBdr>
    </w:div>
    <w:div w:id="223374699">
      <w:bodyDiv w:val="1"/>
      <w:marLeft w:val="0"/>
      <w:marRight w:val="0"/>
      <w:marTop w:val="0"/>
      <w:marBottom w:val="0"/>
      <w:divBdr>
        <w:top w:val="none" w:sz="0" w:space="0" w:color="auto"/>
        <w:left w:val="none" w:sz="0" w:space="0" w:color="auto"/>
        <w:bottom w:val="none" w:sz="0" w:space="0" w:color="auto"/>
        <w:right w:val="none" w:sz="0" w:space="0" w:color="auto"/>
      </w:divBdr>
    </w:div>
    <w:div w:id="418018814">
      <w:bodyDiv w:val="1"/>
      <w:marLeft w:val="0"/>
      <w:marRight w:val="0"/>
      <w:marTop w:val="0"/>
      <w:marBottom w:val="0"/>
      <w:divBdr>
        <w:top w:val="none" w:sz="0" w:space="0" w:color="auto"/>
        <w:left w:val="none" w:sz="0" w:space="0" w:color="auto"/>
        <w:bottom w:val="none" w:sz="0" w:space="0" w:color="auto"/>
        <w:right w:val="none" w:sz="0" w:space="0" w:color="auto"/>
      </w:divBdr>
    </w:div>
    <w:div w:id="509494142">
      <w:bodyDiv w:val="1"/>
      <w:marLeft w:val="0"/>
      <w:marRight w:val="0"/>
      <w:marTop w:val="0"/>
      <w:marBottom w:val="0"/>
      <w:divBdr>
        <w:top w:val="none" w:sz="0" w:space="0" w:color="auto"/>
        <w:left w:val="none" w:sz="0" w:space="0" w:color="auto"/>
        <w:bottom w:val="none" w:sz="0" w:space="0" w:color="auto"/>
        <w:right w:val="none" w:sz="0" w:space="0" w:color="auto"/>
      </w:divBdr>
    </w:div>
    <w:div w:id="573127440">
      <w:bodyDiv w:val="1"/>
      <w:marLeft w:val="0"/>
      <w:marRight w:val="0"/>
      <w:marTop w:val="0"/>
      <w:marBottom w:val="0"/>
      <w:divBdr>
        <w:top w:val="none" w:sz="0" w:space="0" w:color="auto"/>
        <w:left w:val="none" w:sz="0" w:space="0" w:color="auto"/>
        <w:bottom w:val="none" w:sz="0" w:space="0" w:color="auto"/>
        <w:right w:val="none" w:sz="0" w:space="0" w:color="auto"/>
      </w:divBdr>
    </w:div>
    <w:div w:id="704216018">
      <w:bodyDiv w:val="1"/>
      <w:marLeft w:val="0"/>
      <w:marRight w:val="0"/>
      <w:marTop w:val="0"/>
      <w:marBottom w:val="0"/>
      <w:divBdr>
        <w:top w:val="none" w:sz="0" w:space="0" w:color="auto"/>
        <w:left w:val="none" w:sz="0" w:space="0" w:color="auto"/>
        <w:bottom w:val="none" w:sz="0" w:space="0" w:color="auto"/>
        <w:right w:val="none" w:sz="0" w:space="0" w:color="auto"/>
      </w:divBdr>
    </w:div>
    <w:div w:id="894508300">
      <w:bodyDiv w:val="1"/>
      <w:marLeft w:val="0"/>
      <w:marRight w:val="0"/>
      <w:marTop w:val="0"/>
      <w:marBottom w:val="0"/>
      <w:divBdr>
        <w:top w:val="none" w:sz="0" w:space="0" w:color="auto"/>
        <w:left w:val="none" w:sz="0" w:space="0" w:color="auto"/>
        <w:bottom w:val="none" w:sz="0" w:space="0" w:color="auto"/>
        <w:right w:val="none" w:sz="0" w:space="0" w:color="auto"/>
      </w:divBdr>
    </w:div>
    <w:div w:id="907693413">
      <w:bodyDiv w:val="1"/>
      <w:marLeft w:val="0"/>
      <w:marRight w:val="0"/>
      <w:marTop w:val="0"/>
      <w:marBottom w:val="0"/>
      <w:divBdr>
        <w:top w:val="none" w:sz="0" w:space="0" w:color="auto"/>
        <w:left w:val="none" w:sz="0" w:space="0" w:color="auto"/>
        <w:bottom w:val="none" w:sz="0" w:space="0" w:color="auto"/>
        <w:right w:val="none" w:sz="0" w:space="0" w:color="auto"/>
      </w:divBdr>
    </w:div>
    <w:div w:id="1081410398">
      <w:bodyDiv w:val="1"/>
      <w:marLeft w:val="0"/>
      <w:marRight w:val="0"/>
      <w:marTop w:val="0"/>
      <w:marBottom w:val="0"/>
      <w:divBdr>
        <w:top w:val="none" w:sz="0" w:space="0" w:color="auto"/>
        <w:left w:val="none" w:sz="0" w:space="0" w:color="auto"/>
        <w:bottom w:val="none" w:sz="0" w:space="0" w:color="auto"/>
        <w:right w:val="none" w:sz="0" w:space="0" w:color="auto"/>
      </w:divBdr>
    </w:div>
    <w:div w:id="1099452339">
      <w:bodyDiv w:val="1"/>
      <w:marLeft w:val="0"/>
      <w:marRight w:val="0"/>
      <w:marTop w:val="0"/>
      <w:marBottom w:val="0"/>
      <w:divBdr>
        <w:top w:val="none" w:sz="0" w:space="0" w:color="auto"/>
        <w:left w:val="none" w:sz="0" w:space="0" w:color="auto"/>
        <w:bottom w:val="none" w:sz="0" w:space="0" w:color="auto"/>
        <w:right w:val="none" w:sz="0" w:space="0" w:color="auto"/>
      </w:divBdr>
    </w:div>
    <w:div w:id="1211306061">
      <w:bodyDiv w:val="1"/>
      <w:marLeft w:val="0"/>
      <w:marRight w:val="0"/>
      <w:marTop w:val="0"/>
      <w:marBottom w:val="0"/>
      <w:divBdr>
        <w:top w:val="none" w:sz="0" w:space="0" w:color="auto"/>
        <w:left w:val="none" w:sz="0" w:space="0" w:color="auto"/>
        <w:bottom w:val="none" w:sz="0" w:space="0" w:color="auto"/>
        <w:right w:val="none" w:sz="0" w:space="0" w:color="auto"/>
      </w:divBdr>
      <w:divsChild>
        <w:div w:id="112528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066133">
      <w:bodyDiv w:val="1"/>
      <w:marLeft w:val="0"/>
      <w:marRight w:val="0"/>
      <w:marTop w:val="0"/>
      <w:marBottom w:val="0"/>
      <w:divBdr>
        <w:top w:val="none" w:sz="0" w:space="0" w:color="auto"/>
        <w:left w:val="none" w:sz="0" w:space="0" w:color="auto"/>
        <w:bottom w:val="none" w:sz="0" w:space="0" w:color="auto"/>
        <w:right w:val="none" w:sz="0" w:space="0" w:color="auto"/>
      </w:divBdr>
    </w:div>
    <w:div w:id="1900245771">
      <w:bodyDiv w:val="1"/>
      <w:marLeft w:val="0"/>
      <w:marRight w:val="0"/>
      <w:marTop w:val="0"/>
      <w:marBottom w:val="0"/>
      <w:divBdr>
        <w:top w:val="none" w:sz="0" w:space="0" w:color="auto"/>
        <w:left w:val="none" w:sz="0" w:space="0" w:color="auto"/>
        <w:bottom w:val="none" w:sz="0" w:space="0" w:color="auto"/>
        <w:right w:val="none" w:sz="0" w:space="0" w:color="auto"/>
      </w:divBdr>
    </w:div>
    <w:div w:id="1942297536">
      <w:bodyDiv w:val="1"/>
      <w:marLeft w:val="0"/>
      <w:marRight w:val="0"/>
      <w:marTop w:val="0"/>
      <w:marBottom w:val="0"/>
      <w:divBdr>
        <w:top w:val="none" w:sz="0" w:space="0" w:color="auto"/>
        <w:left w:val="none" w:sz="0" w:space="0" w:color="auto"/>
        <w:bottom w:val="none" w:sz="0" w:space="0" w:color="auto"/>
        <w:right w:val="none" w:sz="0" w:space="0" w:color="auto"/>
      </w:divBdr>
    </w:div>
    <w:div w:id="2004775532">
      <w:bodyDiv w:val="1"/>
      <w:marLeft w:val="0"/>
      <w:marRight w:val="0"/>
      <w:marTop w:val="0"/>
      <w:marBottom w:val="0"/>
      <w:divBdr>
        <w:top w:val="none" w:sz="0" w:space="0" w:color="auto"/>
        <w:left w:val="none" w:sz="0" w:space="0" w:color="auto"/>
        <w:bottom w:val="none" w:sz="0" w:space="0" w:color="auto"/>
        <w:right w:val="none" w:sz="0" w:space="0" w:color="auto"/>
      </w:divBdr>
    </w:div>
    <w:div w:id="20717268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17</ap:Pages>
  <ap:Words>4820</ap:Words>
  <ap:Characters>26514</ap:Characters>
  <ap:DocSecurity>0</ap:DocSecurity>
  <ap:Lines>220</ap:Lines>
  <ap:Paragraphs>62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31272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2024-12-09T16:24:00.0000000Z</lastPrinted>
  <dcterms:created xsi:type="dcterms:W3CDTF">2024-12-12T13:38:00.0000000Z</dcterms:created>
  <dcterms:modified xsi:type="dcterms:W3CDTF">2024-12-12T13:38:00.0000000Z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0x0101009C7CE436063D44E9BE7DC0259EF7C32F006EB9F9836A634AE58B6169785FD3936F00541732F9152B2749836E73B99DAA1D2B</vt:lpwstr>
  </property>
  <property fmtid="{D5CDD505-2E9C-101B-9397-08002B2CF9AE}" pid="3" name="_dlc_DocIdItemGuid">
    <vt:lpwstr>b32d36d8-e8c8-4a70-b297-fd832643e8e4</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