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04317" w:rsidTr="00D9561B" w14:paraId="603C0391" w14:textId="77777777">
        <w:trPr>
          <w:trHeight w:val="1514"/>
        </w:trPr>
        <w:tc>
          <w:tcPr>
            <w:tcW w:w="7522" w:type="dxa"/>
            <w:tcBorders>
              <w:top w:val="nil"/>
              <w:left w:val="nil"/>
              <w:bottom w:val="nil"/>
              <w:right w:val="nil"/>
            </w:tcBorders>
            <w:tcMar>
              <w:left w:w="0" w:type="dxa"/>
              <w:right w:w="0" w:type="dxa"/>
            </w:tcMar>
          </w:tcPr>
          <w:p w:rsidR="00374412" w:rsidP="00F10EBB" w:rsidRDefault="00680B79" w14:paraId="5BAC97DD" w14:textId="77777777">
            <w:pPr>
              <w:spacing w:line="276" w:lineRule="auto"/>
            </w:pPr>
            <w:r>
              <w:t>De v</w:t>
            </w:r>
            <w:r w:rsidR="008E3932">
              <w:t>oorzitter van de Tweede Kamer der Staten-Generaal</w:t>
            </w:r>
          </w:p>
          <w:p w:rsidR="00374412" w:rsidP="00F10EBB" w:rsidRDefault="00680B79" w14:paraId="074AE1D0" w14:textId="77777777">
            <w:pPr>
              <w:spacing w:line="276" w:lineRule="auto"/>
            </w:pPr>
            <w:r>
              <w:t>Postbus 20018</w:t>
            </w:r>
          </w:p>
          <w:p w:rsidR="008E3932" w:rsidP="00F10EBB" w:rsidRDefault="00680B79" w14:paraId="5EC5AAF3" w14:textId="77777777">
            <w:pPr>
              <w:spacing w:line="276"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04317" w:rsidTr="00FF66F9" w14:paraId="1EB8235F" w14:textId="77777777">
        <w:trPr>
          <w:trHeight w:val="289" w:hRule="exact"/>
        </w:trPr>
        <w:tc>
          <w:tcPr>
            <w:tcW w:w="929" w:type="dxa"/>
          </w:tcPr>
          <w:p w:rsidRPr="00434042" w:rsidR="0005404B" w:rsidP="00F10EBB" w:rsidRDefault="00680B79" w14:paraId="7961C2F7" w14:textId="77777777">
            <w:pPr>
              <w:spacing w:line="276" w:lineRule="auto"/>
              <w:rPr>
                <w:lang w:eastAsia="en-US"/>
              </w:rPr>
            </w:pPr>
            <w:r>
              <w:rPr>
                <w:lang w:eastAsia="en-US"/>
              </w:rPr>
              <w:t>Datum</w:t>
            </w:r>
          </w:p>
        </w:tc>
        <w:tc>
          <w:tcPr>
            <w:tcW w:w="6581" w:type="dxa"/>
          </w:tcPr>
          <w:p w:rsidRPr="00434042" w:rsidR="0005404B" w:rsidP="00F10EBB" w:rsidRDefault="00F41890" w14:paraId="36817026" w14:textId="7117A20B">
            <w:pPr>
              <w:spacing w:line="276" w:lineRule="auto"/>
              <w:rPr>
                <w:lang w:eastAsia="en-US"/>
              </w:rPr>
            </w:pPr>
            <w:r>
              <w:rPr>
                <w:lang w:eastAsia="en-US"/>
              </w:rPr>
              <w:t>6 december 2024</w:t>
            </w:r>
          </w:p>
        </w:tc>
      </w:tr>
      <w:tr w:rsidR="00704317" w:rsidTr="00FF66F9" w14:paraId="16C8CC21" w14:textId="77777777">
        <w:trPr>
          <w:trHeight w:val="368"/>
        </w:trPr>
        <w:tc>
          <w:tcPr>
            <w:tcW w:w="929" w:type="dxa"/>
          </w:tcPr>
          <w:p w:rsidR="0005404B" w:rsidP="00F10EBB" w:rsidRDefault="00680B79" w14:paraId="1931A484" w14:textId="77777777">
            <w:pPr>
              <w:spacing w:line="276" w:lineRule="auto"/>
              <w:rPr>
                <w:lang w:eastAsia="en-US"/>
              </w:rPr>
            </w:pPr>
            <w:r>
              <w:rPr>
                <w:lang w:eastAsia="en-US"/>
              </w:rPr>
              <w:t>Betreft</w:t>
            </w:r>
          </w:p>
        </w:tc>
        <w:tc>
          <w:tcPr>
            <w:tcW w:w="6581" w:type="dxa"/>
          </w:tcPr>
          <w:p w:rsidR="0005404B" w:rsidP="00F10EBB" w:rsidRDefault="00680B79" w14:paraId="20812DDA" w14:textId="77777777">
            <w:pPr>
              <w:spacing w:line="276" w:lineRule="auto"/>
              <w:rPr>
                <w:lang w:eastAsia="en-US"/>
              </w:rPr>
            </w:pPr>
            <w:r>
              <w:rPr>
                <w:lang w:eastAsia="en-US"/>
              </w:rPr>
              <w:t xml:space="preserve">Reactie op waarschuwingsbrief Autoriteit Persoonsgegevens (AP) t.a.v. online toegankelijkheid CABR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41890" w:rsidR="00002457" w:rsidTr="00143C29" w14:paraId="3E85AA23" w14:textId="77777777">
        <w:tc>
          <w:tcPr>
            <w:tcW w:w="2160" w:type="dxa"/>
          </w:tcPr>
          <w:p w:rsidRPr="00F53C9D" w:rsidR="00002457" w:rsidP="00143C29" w:rsidRDefault="00002457" w14:paraId="1AF11DAE" w14:textId="77777777">
            <w:pPr>
              <w:pStyle w:val="Colofonkop"/>
              <w:framePr w:hSpace="0" w:wrap="auto" w:hAnchor="text" w:vAnchor="margin" w:xAlign="left" w:yAlign="inline"/>
            </w:pPr>
            <w:r>
              <w:t>Media en Creatieve Industrie</w:t>
            </w:r>
          </w:p>
          <w:p w:rsidR="00002457" w:rsidP="00143C29" w:rsidRDefault="00002457" w14:paraId="2F0C542F" w14:textId="77777777">
            <w:pPr>
              <w:pStyle w:val="Huisstijl-Gegeven"/>
              <w:spacing w:after="0"/>
            </w:pPr>
            <w:r>
              <w:t xml:space="preserve">Rijnstraat 50 </w:t>
            </w:r>
          </w:p>
          <w:p w:rsidR="00002457" w:rsidP="00143C29" w:rsidRDefault="00002457" w14:paraId="07065CDB" w14:textId="77777777">
            <w:pPr>
              <w:pStyle w:val="Huisstijl-Gegeven"/>
              <w:spacing w:after="0"/>
            </w:pPr>
            <w:r>
              <w:t>Den Haag</w:t>
            </w:r>
          </w:p>
          <w:p w:rsidR="00002457" w:rsidP="00143C29" w:rsidRDefault="00002457" w14:paraId="1A24DF81" w14:textId="77777777">
            <w:pPr>
              <w:pStyle w:val="Huisstijl-Gegeven"/>
              <w:spacing w:after="0"/>
            </w:pPr>
            <w:r>
              <w:t>Postbus 16375</w:t>
            </w:r>
          </w:p>
          <w:p w:rsidR="00002457" w:rsidP="00143C29" w:rsidRDefault="00002457" w14:paraId="139F1635" w14:textId="77777777">
            <w:pPr>
              <w:pStyle w:val="Huisstijl-Gegeven"/>
              <w:spacing w:after="0"/>
            </w:pPr>
            <w:r>
              <w:t>2500 BJ Den Haag</w:t>
            </w:r>
          </w:p>
          <w:p w:rsidRPr="00D46E09" w:rsidR="00002457" w:rsidP="00143C29" w:rsidRDefault="00002457" w14:paraId="5923A786" w14:textId="77777777">
            <w:pPr>
              <w:pStyle w:val="Huisstijl-Gegeven"/>
              <w:spacing w:after="90"/>
              <w:rPr>
                <w:lang w:val="en-US"/>
              </w:rPr>
            </w:pPr>
            <w:r w:rsidRPr="00D46E09">
              <w:rPr>
                <w:lang w:val="en-US"/>
              </w:rPr>
              <w:t>www.rijksoverheid.nl</w:t>
            </w:r>
          </w:p>
          <w:p w:rsidRPr="00D46E09" w:rsidR="00002457" w:rsidP="00143C29" w:rsidRDefault="00002457" w14:paraId="47DEA954" w14:textId="77777777">
            <w:pPr>
              <w:spacing w:line="180" w:lineRule="exact"/>
              <w:rPr>
                <w:b/>
                <w:sz w:val="13"/>
                <w:szCs w:val="13"/>
                <w:lang w:val="en-US"/>
              </w:rPr>
            </w:pPr>
            <w:r w:rsidRPr="00D46E09">
              <w:rPr>
                <w:b/>
                <w:sz w:val="13"/>
                <w:szCs w:val="13"/>
                <w:lang w:val="en-US"/>
              </w:rPr>
              <w:t>Contactpersoon</w:t>
            </w:r>
          </w:p>
          <w:p w:rsidRPr="00D46E09" w:rsidR="00F41890" w:rsidP="00F41890" w:rsidRDefault="00F41890" w14:paraId="4412D9B3" w14:textId="6C3A0DCD">
            <w:pPr>
              <w:spacing w:after="90" w:line="180" w:lineRule="exact"/>
              <w:rPr>
                <w:sz w:val="13"/>
                <w:szCs w:val="13"/>
                <w:lang w:val="en-US"/>
              </w:rPr>
            </w:pPr>
          </w:p>
          <w:p w:rsidRPr="00D46E09" w:rsidR="00002457" w:rsidP="00143C29" w:rsidRDefault="00002457" w14:paraId="21FB3DFC" w14:textId="45FE5D3D">
            <w:pPr>
              <w:spacing w:line="180" w:lineRule="exact"/>
              <w:rPr>
                <w:sz w:val="13"/>
                <w:szCs w:val="13"/>
                <w:lang w:val="en-US"/>
              </w:rPr>
            </w:pPr>
          </w:p>
        </w:tc>
      </w:tr>
      <w:tr w:rsidRPr="00F41890" w:rsidR="00002457" w:rsidTr="00143C29" w14:paraId="3D7F76D3" w14:textId="77777777">
        <w:trPr>
          <w:trHeight w:val="200" w:hRule="exact"/>
        </w:trPr>
        <w:tc>
          <w:tcPr>
            <w:tcW w:w="2160" w:type="dxa"/>
          </w:tcPr>
          <w:p w:rsidRPr="00D46E09" w:rsidR="00002457" w:rsidP="00143C29" w:rsidRDefault="00002457" w14:paraId="28DCE665" w14:textId="77777777">
            <w:pPr>
              <w:spacing w:after="90" w:line="180" w:lineRule="exact"/>
              <w:rPr>
                <w:sz w:val="13"/>
                <w:szCs w:val="13"/>
                <w:lang w:val="en-US"/>
              </w:rPr>
            </w:pPr>
          </w:p>
        </w:tc>
      </w:tr>
      <w:tr w:rsidR="00002457" w:rsidTr="00143C29" w14:paraId="5896CAED" w14:textId="77777777">
        <w:trPr>
          <w:trHeight w:val="450"/>
        </w:trPr>
        <w:tc>
          <w:tcPr>
            <w:tcW w:w="2160" w:type="dxa"/>
          </w:tcPr>
          <w:p w:rsidR="00002457" w:rsidP="00143C29" w:rsidRDefault="00002457" w14:paraId="5DFE5717" w14:textId="77777777">
            <w:pPr>
              <w:spacing w:line="180" w:lineRule="exact"/>
              <w:rPr>
                <w:b/>
                <w:sz w:val="13"/>
                <w:szCs w:val="13"/>
              </w:rPr>
            </w:pPr>
            <w:r>
              <w:rPr>
                <w:b/>
                <w:sz w:val="13"/>
                <w:szCs w:val="13"/>
              </w:rPr>
              <w:t>Onze referentie</w:t>
            </w:r>
          </w:p>
          <w:p w:rsidRPr="00FA7882" w:rsidR="00002457" w:rsidP="00143C29" w:rsidRDefault="00002457" w14:paraId="015FF06A" w14:textId="55BC9DEB">
            <w:pPr>
              <w:spacing w:line="180" w:lineRule="exact"/>
              <w:rPr>
                <w:sz w:val="13"/>
                <w:szCs w:val="13"/>
              </w:rPr>
            </w:pPr>
            <w:r>
              <w:rPr>
                <w:sz w:val="13"/>
                <w:szCs w:val="13"/>
              </w:rPr>
              <w:t>49402884</w:t>
            </w:r>
          </w:p>
        </w:tc>
      </w:tr>
    </w:tbl>
    <w:p w:rsidR="00BE5EE4" w:rsidP="00F10EBB" w:rsidRDefault="00BC05DE" w14:paraId="123E96B9" w14:textId="68B8BF46">
      <w:pPr>
        <w:spacing w:line="276" w:lineRule="auto"/>
      </w:pPr>
      <w:r>
        <w:t>Hierbij informeer ik u over de</w:t>
      </w:r>
      <w:r w:rsidR="00002C89">
        <w:t xml:space="preserve"> </w:t>
      </w:r>
      <w:r>
        <w:t xml:space="preserve">waarschuwingsbrief die ik op 26 november </w:t>
      </w:r>
      <w:r w:rsidR="00516058">
        <w:t xml:space="preserve">2024 </w:t>
      </w:r>
      <w:r>
        <w:t xml:space="preserve">van de Autoriteit Persoonsgegevens (AP) </w:t>
      </w:r>
      <w:r w:rsidR="00516058">
        <w:t>ontving</w:t>
      </w:r>
      <w:r>
        <w:t xml:space="preserve"> over </w:t>
      </w:r>
      <w:r w:rsidR="00F10EBB">
        <w:t>mijn voornemen</w:t>
      </w:r>
      <w:r>
        <w:t xml:space="preserve"> </w:t>
      </w:r>
      <w:r w:rsidR="00516058">
        <w:t xml:space="preserve">om per 2 januari 2025 </w:t>
      </w:r>
      <w:r>
        <w:t xml:space="preserve">het Centraal Archief Bijzondere Rechtspleging (CABR) </w:t>
      </w:r>
      <w:r w:rsidR="00F10EBB">
        <w:t xml:space="preserve">online toegankelijk te maken </w:t>
      </w:r>
      <w:r>
        <w:t xml:space="preserve">en mijn </w:t>
      </w:r>
      <w:r w:rsidR="00F10EBB">
        <w:t xml:space="preserve">eerste </w:t>
      </w:r>
      <w:r>
        <w:t xml:space="preserve">reactie </w:t>
      </w:r>
      <w:r w:rsidR="00516058">
        <w:t>op de waarschuwingsbrief</w:t>
      </w:r>
      <w:r>
        <w:t>.</w:t>
      </w:r>
      <w:r w:rsidR="00F13404">
        <w:t xml:space="preserve"> </w:t>
      </w:r>
      <w:r w:rsidR="00BE5EE4">
        <w:t>Ik zet in deze brief uiteen wa</w:t>
      </w:r>
      <w:r w:rsidR="005D7733">
        <w:t xml:space="preserve">ar dit archief over gaat, wat </w:t>
      </w:r>
      <w:r w:rsidR="00F10EBB">
        <w:t>mijn</w:t>
      </w:r>
      <w:r w:rsidR="005D7733">
        <w:t xml:space="preserve"> plannen </w:t>
      </w:r>
      <w:r w:rsidR="00516058">
        <w:t>e</w:t>
      </w:r>
      <w:r w:rsidR="005D7733">
        <w:t xml:space="preserve">rmee zijn en waar de bezwaren van de AP </w:t>
      </w:r>
      <w:r w:rsidR="00516058">
        <w:t>zich op richten</w:t>
      </w:r>
      <w:r w:rsidR="005D7733">
        <w:t xml:space="preserve">. Vervolgens </w:t>
      </w:r>
      <w:r w:rsidR="002229EB">
        <w:t xml:space="preserve">geef ik aan hoe ik met deze kwestie </w:t>
      </w:r>
      <w:r w:rsidR="005D7733">
        <w:t>om wil gaan, op de korte en de lange termijn</w:t>
      </w:r>
      <w:r w:rsidR="00F10EBB">
        <w:t>, zowel in deze casus als voor</w:t>
      </w:r>
      <w:r w:rsidR="005D7733">
        <w:t xml:space="preserve"> de archiefsector</w:t>
      </w:r>
      <w:r w:rsidR="00F10EBB">
        <w:t xml:space="preserve"> in zijn </w:t>
      </w:r>
      <w:r w:rsidR="00516058">
        <w:t>geheel</w:t>
      </w:r>
      <w:r w:rsidR="005D7733">
        <w:t>.</w:t>
      </w:r>
    </w:p>
    <w:p w:rsidR="005D7733" w:rsidP="00F10EBB" w:rsidRDefault="005D7733" w14:paraId="0E4A287B" w14:textId="77777777">
      <w:pPr>
        <w:spacing w:line="276" w:lineRule="auto"/>
      </w:pPr>
    </w:p>
    <w:p w:rsidRPr="00462F9A" w:rsidR="00462F9A" w:rsidP="00F10EBB" w:rsidRDefault="00462F9A" w14:paraId="16E7779E" w14:textId="13762F7A">
      <w:pPr>
        <w:spacing w:line="276" w:lineRule="auto"/>
        <w:rPr>
          <w:b/>
          <w:bCs/>
        </w:rPr>
      </w:pPr>
      <w:r w:rsidRPr="00462F9A">
        <w:rPr>
          <w:b/>
          <w:bCs/>
        </w:rPr>
        <w:t>CABR en Oorlog voor de Rechter</w:t>
      </w:r>
    </w:p>
    <w:p w:rsidR="004D4EA2" w:rsidP="00F10EBB" w:rsidRDefault="004D4EA2" w14:paraId="28A9AF44" w14:textId="7C0A0CD8">
      <w:pPr>
        <w:spacing w:line="276" w:lineRule="auto"/>
      </w:pPr>
      <w:r w:rsidRPr="002F3E8F">
        <w:t>Het C</w:t>
      </w:r>
      <w:r w:rsidR="00F13404">
        <w:t>ABR</w:t>
      </w:r>
      <w:r w:rsidRPr="002F3E8F">
        <w:t xml:space="preserve"> bestaat uit dossiers van personen die </w:t>
      </w:r>
      <w:r w:rsidR="00F13404">
        <w:t xml:space="preserve">na de Tweede Wereldoorlog </w:t>
      </w:r>
      <w:r w:rsidRPr="002F3E8F">
        <w:t>verdacht werden van collaboratie met de Duitse bezetter. Met 3,8 strekkende kilometer is het CABR het grootste en meest geraadpleegde archief over de Tweede Wereldoorlog in Nederland.</w:t>
      </w:r>
      <w:r>
        <w:t xml:space="preserve"> </w:t>
      </w:r>
      <w:r w:rsidRPr="006014A3">
        <w:t>Hierin zitten ongeveer 485.000 dossiers, waarin naar schatting 425.000 mensen voorkomen die</w:t>
      </w:r>
      <w:r w:rsidR="00F10EBB">
        <w:t xml:space="preserve"> na de oorlog</w:t>
      </w:r>
      <w:r w:rsidRPr="006014A3">
        <w:t xml:space="preserve"> verdacht werden van collaboratie.</w:t>
      </w:r>
      <w:r w:rsidRPr="002F3E8F">
        <w:t xml:space="preserve"> </w:t>
      </w:r>
    </w:p>
    <w:p w:rsidR="00F13404" w:rsidP="00F10EBB" w:rsidRDefault="00F13404" w14:paraId="6487B3B8" w14:textId="77777777">
      <w:pPr>
        <w:spacing w:line="276" w:lineRule="auto"/>
      </w:pPr>
    </w:p>
    <w:p w:rsidR="004D4EA2" w:rsidP="00F10EBB" w:rsidRDefault="004D4EA2" w14:paraId="214FFBD8" w14:textId="74D36D9A">
      <w:pPr>
        <w:spacing w:line="276" w:lineRule="auto"/>
        <w:rPr>
          <w:szCs w:val="18"/>
        </w:rPr>
      </w:pPr>
      <w:r w:rsidRPr="002F3E8F">
        <w:t xml:space="preserve">Het is een zeer complex opgebouwd archief </w:t>
      </w:r>
      <w:r w:rsidR="00F13404">
        <w:t>waarin</w:t>
      </w:r>
      <w:r w:rsidRPr="002F3E8F">
        <w:t xml:space="preserve"> </w:t>
      </w:r>
      <w:r w:rsidR="00F13404">
        <w:t>n</w:t>
      </w:r>
      <w:r w:rsidR="00C53596">
        <w:t>u geen</w:t>
      </w:r>
      <w:r w:rsidRPr="002F3E8F">
        <w:t xml:space="preserve"> zelfstandig onderzoek </w:t>
      </w:r>
      <w:r w:rsidR="00516058">
        <w:t xml:space="preserve">mag worden gedaan </w:t>
      </w:r>
      <w:r w:rsidRPr="002F3E8F">
        <w:t xml:space="preserve">vanwege de openbaarheidsbeperkingen die hierop gesteld zijn. Deze </w:t>
      </w:r>
      <w:proofErr w:type="spellStart"/>
      <w:r w:rsidRPr="002F3E8F">
        <w:t>archiefwettelijke</w:t>
      </w:r>
      <w:proofErr w:type="spellEnd"/>
      <w:r w:rsidRPr="002F3E8F">
        <w:t xml:space="preserve"> beperkingen vervallen </w:t>
      </w:r>
      <w:r w:rsidR="00F13404">
        <w:t>per 1 januari</w:t>
      </w:r>
      <w:r w:rsidRPr="002F3E8F">
        <w:t xml:space="preserve"> 2025.</w:t>
      </w:r>
      <w:r>
        <w:t xml:space="preserve"> </w:t>
      </w:r>
      <w:r w:rsidRPr="00F13404">
        <w:rPr>
          <w:szCs w:val="18"/>
        </w:rPr>
        <w:t>Na die datum zijn de dossiers zonder openbaarheidsbeperking voor iedereen in te zien.</w:t>
      </w:r>
      <w:r w:rsidR="00D81ACF">
        <w:rPr>
          <w:szCs w:val="18"/>
        </w:rPr>
        <w:t xml:space="preserve"> </w:t>
      </w:r>
      <w:r w:rsidRPr="00F10EBB" w:rsidR="00D81ACF">
        <w:t xml:space="preserve">Ondanks dat </w:t>
      </w:r>
      <w:r w:rsidR="00516058">
        <w:t xml:space="preserve">(de toegang tot) </w:t>
      </w:r>
      <w:r w:rsidRPr="00F10EBB" w:rsidR="00D81ACF">
        <w:t xml:space="preserve">het archief is opgebouwd rondom de dossiers van de daders en verdachten bevat het ook </w:t>
      </w:r>
      <w:r w:rsidR="00D81ACF">
        <w:t>een schat aan</w:t>
      </w:r>
      <w:r w:rsidRPr="00F10EBB" w:rsidR="00D81ACF">
        <w:t xml:space="preserve"> informatie over slachtoffers.</w:t>
      </w:r>
      <w:r w:rsidR="005C25FE">
        <w:rPr>
          <w:szCs w:val="18"/>
        </w:rPr>
        <w:t xml:space="preserve"> De manier waarop het </w:t>
      </w:r>
      <w:r w:rsidR="009A4DBA">
        <w:rPr>
          <w:szCs w:val="18"/>
        </w:rPr>
        <w:t xml:space="preserve">papieren </w:t>
      </w:r>
      <w:r w:rsidR="005C25FE">
        <w:rPr>
          <w:szCs w:val="18"/>
        </w:rPr>
        <w:t xml:space="preserve">archief </w:t>
      </w:r>
      <w:r w:rsidR="00D81ACF">
        <w:rPr>
          <w:szCs w:val="18"/>
        </w:rPr>
        <w:t xml:space="preserve">is </w:t>
      </w:r>
      <w:r w:rsidR="005C25FE">
        <w:rPr>
          <w:szCs w:val="18"/>
        </w:rPr>
        <w:t xml:space="preserve">geordend maakt </w:t>
      </w:r>
      <w:r w:rsidR="00D81ACF">
        <w:rPr>
          <w:szCs w:val="18"/>
        </w:rPr>
        <w:t xml:space="preserve">echter </w:t>
      </w:r>
      <w:r w:rsidR="005C25FE">
        <w:rPr>
          <w:szCs w:val="18"/>
        </w:rPr>
        <w:t>dat er nu alleen op naam van een verdachte in gezocht kan worden.</w:t>
      </w:r>
    </w:p>
    <w:p w:rsidR="004D4EA2" w:rsidP="00F10EBB" w:rsidRDefault="004D4EA2" w14:paraId="5411CD36" w14:textId="77777777">
      <w:pPr>
        <w:pStyle w:val="Normaalweb"/>
        <w:spacing w:before="0" w:beforeAutospacing="0" w:after="0" w:afterAutospacing="0" w:line="276" w:lineRule="auto"/>
        <w:rPr>
          <w:rFonts w:ascii="Verdana" w:hAnsi="Verdana" w:cs="Calibri"/>
          <w:color w:val="000000"/>
          <w:sz w:val="18"/>
          <w:szCs w:val="18"/>
        </w:rPr>
      </w:pPr>
      <w:r>
        <w:rPr>
          <w:rFonts w:ascii="Verdana" w:hAnsi="Verdana" w:cs="Calibri"/>
          <w:color w:val="000000"/>
          <w:sz w:val="18"/>
          <w:szCs w:val="18"/>
        </w:rPr>
        <w:t> </w:t>
      </w:r>
    </w:p>
    <w:p w:rsidR="004D4EA2" w:rsidP="00F10EBB" w:rsidRDefault="00801A16" w14:paraId="3005A7BD" w14:textId="6A48150C">
      <w:pPr>
        <w:spacing w:line="276" w:lineRule="auto"/>
        <w:rPr>
          <w:color w:val="000000"/>
          <w:szCs w:val="18"/>
        </w:rPr>
      </w:pPr>
      <w:r>
        <w:t>In 20</w:t>
      </w:r>
      <w:r w:rsidR="00E70C97">
        <w:t>22</w:t>
      </w:r>
      <w:r>
        <w:t xml:space="preserve"> is het Nationaal Archief (NA) in een consortium met het Huygens Instituut, het </w:t>
      </w:r>
      <w:r w:rsidRPr="009F656C">
        <w:rPr>
          <w:color w:val="000000"/>
          <w:szCs w:val="18"/>
        </w:rPr>
        <w:t>NIOD Instituut voor Oorlogs-, Holocaust- en Genocidestudies</w:t>
      </w:r>
      <w:r>
        <w:t xml:space="preserve"> en WO2net het project Oorlog voor de Rechter gestart. Het </w:t>
      </w:r>
      <w:r w:rsidRPr="00AC6EF7">
        <w:rPr>
          <w:rFonts w:cs="Calibri"/>
          <w:szCs w:val="18"/>
        </w:rPr>
        <w:t xml:space="preserve">doel van </w:t>
      </w:r>
      <w:r>
        <w:rPr>
          <w:rFonts w:cs="Calibri"/>
          <w:szCs w:val="18"/>
        </w:rPr>
        <w:t>dit</w:t>
      </w:r>
      <w:r w:rsidRPr="00AC6EF7">
        <w:rPr>
          <w:rFonts w:cs="Calibri"/>
          <w:szCs w:val="18"/>
        </w:rPr>
        <w:t xml:space="preserve"> project is</w:t>
      </w:r>
      <w:r>
        <w:rPr>
          <w:rFonts w:cs="Calibri"/>
          <w:szCs w:val="18"/>
        </w:rPr>
        <w:t xml:space="preserve"> het CABR </w:t>
      </w:r>
      <w:r w:rsidRPr="00AC6EF7">
        <w:rPr>
          <w:rFonts w:cs="Calibri"/>
          <w:szCs w:val="18"/>
        </w:rPr>
        <w:t>digita</w:t>
      </w:r>
      <w:r>
        <w:rPr>
          <w:rFonts w:cs="Calibri"/>
          <w:szCs w:val="18"/>
        </w:rPr>
        <w:t xml:space="preserve">liseren, </w:t>
      </w:r>
      <w:r w:rsidR="00D81ACF">
        <w:rPr>
          <w:rFonts w:cs="Calibri"/>
          <w:szCs w:val="18"/>
        </w:rPr>
        <w:t xml:space="preserve">full-tekst </w:t>
      </w:r>
      <w:r w:rsidRPr="00AC6EF7">
        <w:rPr>
          <w:rFonts w:cs="Calibri"/>
          <w:szCs w:val="18"/>
        </w:rPr>
        <w:t xml:space="preserve">doorzoekbaar </w:t>
      </w:r>
      <w:r>
        <w:rPr>
          <w:rFonts w:cs="Calibri"/>
          <w:szCs w:val="18"/>
        </w:rPr>
        <w:t>maken</w:t>
      </w:r>
      <w:r w:rsidRPr="00AC6EF7">
        <w:rPr>
          <w:rFonts w:cs="Calibri"/>
          <w:szCs w:val="18"/>
        </w:rPr>
        <w:t>, contextualiser</w:t>
      </w:r>
      <w:r>
        <w:rPr>
          <w:rFonts w:cs="Calibri"/>
          <w:szCs w:val="18"/>
        </w:rPr>
        <w:t xml:space="preserve">en </w:t>
      </w:r>
      <w:r w:rsidRPr="00AC6EF7">
        <w:rPr>
          <w:rFonts w:cs="Calibri"/>
          <w:szCs w:val="18"/>
        </w:rPr>
        <w:t xml:space="preserve">en online </w:t>
      </w:r>
      <w:r>
        <w:rPr>
          <w:rFonts w:cs="Calibri"/>
          <w:szCs w:val="18"/>
        </w:rPr>
        <w:t>toegankelijk maken</w:t>
      </w:r>
      <w:r w:rsidRPr="00AC6EF7">
        <w:rPr>
          <w:rFonts w:cs="Calibri"/>
          <w:szCs w:val="18"/>
        </w:rPr>
        <w:t>.</w:t>
      </w:r>
      <w:r>
        <w:rPr>
          <w:rFonts w:cs="Calibri"/>
          <w:szCs w:val="18"/>
        </w:rPr>
        <w:t xml:space="preserve"> </w:t>
      </w:r>
      <w:r w:rsidR="00D81ACF">
        <w:rPr>
          <w:rFonts w:cs="Calibri"/>
          <w:szCs w:val="18"/>
        </w:rPr>
        <w:t xml:space="preserve">Daarmee wordt het archief veel toegankelijker en kan er op andere manieren onderzoek in worden gedaan. </w:t>
      </w:r>
      <w:r w:rsidRPr="009F656C" w:rsidR="004D4EA2">
        <w:rPr>
          <w:color w:val="000000"/>
          <w:szCs w:val="18"/>
        </w:rPr>
        <w:t xml:space="preserve">Vanaf </w:t>
      </w:r>
      <w:r>
        <w:rPr>
          <w:color w:val="000000"/>
          <w:szCs w:val="18"/>
        </w:rPr>
        <w:t xml:space="preserve">2 januari </w:t>
      </w:r>
      <w:r w:rsidRPr="009F656C" w:rsidR="004D4EA2">
        <w:rPr>
          <w:color w:val="000000"/>
          <w:szCs w:val="18"/>
        </w:rPr>
        <w:t xml:space="preserve">2025 </w:t>
      </w:r>
      <w:r>
        <w:rPr>
          <w:color w:val="000000"/>
          <w:szCs w:val="18"/>
        </w:rPr>
        <w:t xml:space="preserve">zouden </w:t>
      </w:r>
      <w:r w:rsidRPr="009F656C" w:rsidR="004D4EA2">
        <w:rPr>
          <w:color w:val="000000"/>
          <w:szCs w:val="18"/>
        </w:rPr>
        <w:t xml:space="preserve">de </w:t>
      </w:r>
      <w:r w:rsidRPr="009F656C" w:rsidR="004D4EA2">
        <w:rPr>
          <w:color w:val="000000"/>
          <w:szCs w:val="18"/>
        </w:rPr>
        <w:lastRenderedPageBreak/>
        <w:t xml:space="preserve">eerste </w:t>
      </w:r>
      <w:r w:rsidR="004D4EA2">
        <w:rPr>
          <w:color w:val="000000"/>
          <w:szCs w:val="18"/>
        </w:rPr>
        <w:t xml:space="preserve">25% van de </w:t>
      </w:r>
      <w:r w:rsidRPr="009F656C" w:rsidR="004D4EA2">
        <w:rPr>
          <w:color w:val="000000"/>
          <w:szCs w:val="18"/>
        </w:rPr>
        <w:t xml:space="preserve">dossiers te vinden zijn via </w:t>
      </w:r>
      <w:r w:rsidRPr="00DA616A" w:rsidR="00DA616A">
        <w:rPr>
          <w:szCs w:val="18"/>
        </w:rPr>
        <w:t>www.oorlogvoorderechter.nl</w:t>
      </w:r>
      <w:r w:rsidR="004D4EA2">
        <w:rPr>
          <w:color w:val="000000"/>
          <w:szCs w:val="18"/>
        </w:rPr>
        <w:t>.</w:t>
      </w:r>
      <w:r w:rsidR="00DA616A">
        <w:rPr>
          <w:color w:val="000000"/>
          <w:szCs w:val="18"/>
        </w:rPr>
        <w:t xml:space="preserve"> Uw Kamer</w:t>
      </w:r>
      <w:r w:rsidR="00C53596">
        <w:rPr>
          <w:color w:val="000000"/>
          <w:szCs w:val="18"/>
        </w:rPr>
        <w:t xml:space="preserve"> is</w:t>
      </w:r>
      <w:r w:rsidR="00DA616A">
        <w:rPr>
          <w:color w:val="000000"/>
          <w:szCs w:val="18"/>
        </w:rPr>
        <w:t xml:space="preserve"> hier eerder op </w:t>
      </w:r>
      <w:r w:rsidR="0055248B">
        <w:rPr>
          <w:color w:val="000000"/>
          <w:szCs w:val="18"/>
        </w:rPr>
        <w:t>12</w:t>
      </w:r>
      <w:r w:rsidR="00DA616A">
        <w:rPr>
          <w:color w:val="000000"/>
          <w:szCs w:val="18"/>
        </w:rPr>
        <w:t xml:space="preserve"> april </w:t>
      </w:r>
      <w:r w:rsidR="0055248B">
        <w:rPr>
          <w:color w:val="000000"/>
          <w:szCs w:val="18"/>
        </w:rPr>
        <w:t>dit jaar</w:t>
      </w:r>
      <w:r w:rsidR="00A54A81">
        <w:rPr>
          <w:rStyle w:val="Voetnootmarkering"/>
          <w:color w:val="000000"/>
          <w:szCs w:val="18"/>
        </w:rPr>
        <w:footnoteReference w:id="1"/>
      </w:r>
      <w:r w:rsidR="0055248B">
        <w:rPr>
          <w:color w:val="000000"/>
          <w:szCs w:val="18"/>
        </w:rPr>
        <w:t xml:space="preserve"> en </w:t>
      </w:r>
      <w:r w:rsidR="007C5402">
        <w:rPr>
          <w:color w:val="000000"/>
          <w:szCs w:val="18"/>
        </w:rPr>
        <w:t>9</w:t>
      </w:r>
      <w:r w:rsidR="0055248B">
        <w:rPr>
          <w:color w:val="000000"/>
          <w:szCs w:val="18"/>
        </w:rPr>
        <w:t xml:space="preserve"> november 2022</w:t>
      </w:r>
      <w:r w:rsidR="00A54A81">
        <w:rPr>
          <w:rStyle w:val="Voetnootmarkering"/>
          <w:color w:val="000000"/>
          <w:szCs w:val="18"/>
        </w:rPr>
        <w:footnoteReference w:id="2"/>
      </w:r>
      <w:r w:rsidR="0055248B">
        <w:rPr>
          <w:color w:val="000000"/>
          <w:szCs w:val="18"/>
        </w:rPr>
        <w:t xml:space="preserve"> </w:t>
      </w:r>
      <w:r w:rsidR="00DA616A">
        <w:rPr>
          <w:color w:val="000000"/>
          <w:szCs w:val="18"/>
        </w:rPr>
        <w:t>door de toenmalig staatsecretaris van VWS over geïnformeerd</w:t>
      </w:r>
      <w:r w:rsidR="00973879">
        <w:rPr>
          <w:color w:val="000000"/>
          <w:szCs w:val="18"/>
        </w:rPr>
        <w:t xml:space="preserve"> in de voortgangsrapportages Oorlogsgetroffenen en Herinnering Tweede Wereldoorlog.</w:t>
      </w:r>
    </w:p>
    <w:p w:rsidR="00983644" w:rsidP="00F10EBB" w:rsidRDefault="00983644" w14:paraId="551293D0" w14:textId="77777777">
      <w:pPr>
        <w:spacing w:line="276" w:lineRule="auto"/>
        <w:rPr>
          <w:color w:val="000000"/>
          <w:szCs w:val="18"/>
        </w:rPr>
      </w:pPr>
    </w:p>
    <w:p w:rsidRPr="00682283" w:rsidR="00983644" w:rsidP="00F10EBB" w:rsidRDefault="00983644" w14:paraId="0AB66F17" w14:textId="77777777">
      <w:pPr>
        <w:spacing w:line="276" w:lineRule="auto"/>
        <w:rPr>
          <w:b/>
          <w:bCs/>
          <w:szCs w:val="18"/>
        </w:rPr>
      </w:pPr>
      <w:r w:rsidRPr="00682283">
        <w:rPr>
          <w:b/>
          <w:bCs/>
          <w:szCs w:val="18"/>
        </w:rPr>
        <w:t>Kernpunten waarschuwing AP</w:t>
      </w:r>
    </w:p>
    <w:p w:rsidR="00983644" w:rsidP="00F10EBB" w:rsidRDefault="00B26416" w14:paraId="1D21620E" w14:textId="7632396D">
      <w:pPr>
        <w:spacing w:line="276" w:lineRule="auto"/>
      </w:pPr>
      <w:r>
        <w:t xml:space="preserve">In haar brief uit de AP </w:t>
      </w:r>
      <w:r w:rsidR="00FB55EE">
        <w:t xml:space="preserve">de zorg dat de </w:t>
      </w:r>
      <w:r w:rsidR="00983644">
        <w:t xml:space="preserve">voorziene wijze van </w:t>
      </w:r>
      <w:r w:rsidR="00C53596">
        <w:t xml:space="preserve">online </w:t>
      </w:r>
      <w:r w:rsidR="00516058">
        <w:t>toegankelijkheid</w:t>
      </w:r>
      <w:r w:rsidR="00FB55EE">
        <w:t xml:space="preserve"> waarschijnlijk onrechtmatig is vanwege de waarschijnlijke aanwezigheid van </w:t>
      </w:r>
      <w:r w:rsidR="00983644">
        <w:t>gewone persoonsgegevens, bijzondere persoonsgegevens en persoonsgegevens van strafrechtelijke aard van nog levende personen</w:t>
      </w:r>
      <w:r w:rsidR="00FB55EE">
        <w:t xml:space="preserve">. </w:t>
      </w:r>
      <w:r w:rsidR="00002C89">
        <w:t xml:space="preserve">Er ontbreekt volgens de AP </w:t>
      </w:r>
      <w:r w:rsidR="00983644">
        <w:t>een specifieke wettelijke uitzondering waarop deze voorgenomen wijze van openbaarmaking kan worden gebaseerd</w:t>
      </w:r>
      <w:r w:rsidR="00002C89">
        <w:t>. Kortgezegd kan d</w:t>
      </w:r>
      <w:r w:rsidR="00983644">
        <w:t>e voor eenieder toegankelijke online publicatie met digitale full-</w:t>
      </w:r>
      <w:proofErr w:type="spellStart"/>
      <w:r w:rsidR="00983644">
        <w:t>text</w:t>
      </w:r>
      <w:proofErr w:type="spellEnd"/>
      <w:r w:rsidR="00983644">
        <w:t xml:space="preserve"> doorzoekbaarheid </w:t>
      </w:r>
      <w:r w:rsidR="0055248B">
        <w:t xml:space="preserve">volgens de AP </w:t>
      </w:r>
      <w:r w:rsidR="00983644">
        <w:t xml:space="preserve">leiden tot forse privacy-inbreuken op nog levende </w:t>
      </w:r>
      <w:r w:rsidRPr="00680091" w:rsidR="00983644">
        <w:t>betrokkenen</w:t>
      </w:r>
      <w:r w:rsidR="00002C89">
        <w:t xml:space="preserve"> en dat is in dit geval onrechtmatig.</w:t>
      </w:r>
      <w:r w:rsidR="000B08F4">
        <w:t xml:space="preserve"> Een wettelijke grondslag zou volgens de AP wel gecreëerd kunnen worden in </w:t>
      </w:r>
      <w:r w:rsidR="00652791">
        <w:t xml:space="preserve">bijvoorbeeld </w:t>
      </w:r>
      <w:r w:rsidR="000B08F4">
        <w:t>de Archiefwet.</w:t>
      </w:r>
    </w:p>
    <w:p w:rsidR="00002C89" w:rsidP="00F10EBB" w:rsidRDefault="00002C89" w14:paraId="4EEC2818" w14:textId="77777777">
      <w:pPr>
        <w:spacing w:line="276" w:lineRule="auto"/>
      </w:pPr>
    </w:p>
    <w:p w:rsidRPr="00B1784A" w:rsidR="00B1784A" w:rsidP="00F10EBB" w:rsidRDefault="00B1784A" w14:paraId="6FE8CFD7" w14:textId="1C2A08B4">
      <w:pPr>
        <w:spacing w:line="276" w:lineRule="auto"/>
        <w:rPr>
          <w:b/>
          <w:bCs/>
        </w:rPr>
      </w:pPr>
      <w:r w:rsidRPr="00B1784A">
        <w:rPr>
          <w:b/>
          <w:bCs/>
        </w:rPr>
        <w:t>Gevolgen</w:t>
      </w:r>
      <w:r>
        <w:rPr>
          <w:b/>
          <w:bCs/>
        </w:rPr>
        <w:t xml:space="preserve"> voor Oorlog voor de Rechter</w:t>
      </w:r>
    </w:p>
    <w:p w:rsidR="00D1399C" w:rsidP="00F10EBB" w:rsidRDefault="00002C89" w14:paraId="5ABA83B2" w14:textId="22495260">
      <w:pPr>
        <w:spacing w:line="276" w:lineRule="auto"/>
      </w:pPr>
      <w:r>
        <w:t xml:space="preserve">Ik neem deze </w:t>
      </w:r>
      <w:r w:rsidR="00462F9A">
        <w:t xml:space="preserve">waarschuwing </w:t>
      </w:r>
      <w:r>
        <w:t>van de AP vanzelfsprekend serieus en dat betekent</w:t>
      </w:r>
      <w:r w:rsidR="00772DC6">
        <w:t xml:space="preserve"> </w:t>
      </w:r>
      <w:r>
        <w:t xml:space="preserve">dat het geplande online toegankelijk maken van het CABR </w:t>
      </w:r>
      <w:r w:rsidR="00652791">
        <w:t xml:space="preserve">niet </w:t>
      </w:r>
      <w:r>
        <w:t xml:space="preserve">op 2 januari </w:t>
      </w:r>
      <w:r w:rsidR="00652791">
        <w:t>kan plaatsvinden</w:t>
      </w:r>
      <w:r>
        <w:t xml:space="preserve">. </w:t>
      </w:r>
    </w:p>
    <w:p w:rsidR="00D1399C" w:rsidP="00F10EBB" w:rsidRDefault="00D1399C" w14:paraId="76FBD8CB" w14:textId="77777777">
      <w:pPr>
        <w:spacing w:line="276" w:lineRule="auto"/>
      </w:pPr>
    </w:p>
    <w:p w:rsidR="00A76BF5" w:rsidP="002229EB" w:rsidRDefault="00002C89" w14:paraId="471A1668" w14:textId="2BB26CBE">
      <w:pPr>
        <w:spacing w:line="276" w:lineRule="auto"/>
        <w:rPr>
          <w:szCs w:val="18"/>
        </w:rPr>
      </w:pPr>
      <w:r>
        <w:t xml:space="preserve">Ik vind dit zeer betreurenswaardig, omdat </w:t>
      </w:r>
      <w:r w:rsidR="00652791">
        <w:t xml:space="preserve">er de afgelopen 2,5 jaar gesproken is met vele betrokkenen en omdat </w:t>
      </w:r>
      <w:r>
        <w:t xml:space="preserve">ik nog altijd volledig achter het doel van het project sta. </w:t>
      </w:r>
      <w:r w:rsidR="002229EB">
        <w:t xml:space="preserve">Het is van groot belang </w:t>
      </w:r>
      <w:r w:rsidR="005C25FE">
        <w:t xml:space="preserve">dat nabestaanden van slachtoffers meer informatie kunnen </w:t>
      </w:r>
      <w:r w:rsidR="00CD5F62">
        <w:t>vinden</w:t>
      </w:r>
      <w:r w:rsidR="005C25FE">
        <w:t xml:space="preserve"> over het lot van hun dierbaren. Daarnaast </w:t>
      </w:r>
      <w:r w:rsidR="002229EB">
        <w:t xml:space="preserve">wil ik </w:t>
      </w:r>
      <w:r w:rsidR="005C25FE">
        <w:t>een impuls</w:t>
      </w:r>
      <w:r w:rsidR="00757EAE">
        <w:t xml:space="preserve"> </w:t>
      </w:r>
      <w:r w:rsidR="005C25FE">
        <w:t xml:space="preserve">geven aan onderzoek naar en educatie over de Tweede Wereldoorlog en de Holocaust. </w:t>
      </w:r>
      <w:r>
        <w:t>Als we</w:t>
      </w:r>
      <w:r w:rsidR="005C25FE">
        <w:t xml:space="preserve"> </w:t>
      </w:r>
      <w:r>
        <w:t xml:space="preserve">de herinnering </w:t>
      </w:r>
      <w:r w:rsidR="005C25FE">
        <w:t>daaraan</w:t>
      </w:r>
      <w:r>
        <w:t xml:space="preserve"> leven</w:t>
      </w:r>
      <w:r w:rsidR="00D1399C">
        <w:t>d</w:t>
      </w:r>
      <w:r>
        <w:t xml:space="preserve"> willen houden, dan moeten we </w:t>
      </w:r>
      <w:r w:rsidR="00F64360">
        <w:t>de samenleving op een laagdrempelige manier toegang bieden tot dit ar</w:t>
      </w:r>
      <w:r w:rsidR="0055248B">
        <w:t>chie</w:t>
      </w:r>
      <w:r w:rsidR="00F64360">
        <w:t xml:space="preserve">f. </w:t>
      </w:r>
      <w:r w:rsidR="002229EB">
        <w:t>In het algemeen is o</w:t>
      </w:r>
      <w:r w:rsidRPr="00F64360" w:rsidR="00F64360">
        <w:rPr>
          <w:szCs w:val="18"/>
        </w:rPr>
        <w:t xml:space="preserve">penheid van archieven van belang </w:t>
      </w:r>
      <w:r w:rsidR="002229EB">
        <w:rPr>
          <w:szCs w:val="18"/>
        </w:rPr>
        <w:t xml:space="preserve">voor de samenleving, </w:t>
      </w:r>
      <w:r w:rsidRPr="00F64360" w:rsidR="00F64360">
        <w:rPr>
          <w:szCs w:val="18"/>
        </w:rPr>
        <w:t>voor nabestaanden</w:t>
      </w:r>
      <w:r w:rsidR="002229EB">
        <w:rPr>
          <w:szCs w:val="18"/>
        </w:rPr>
        <w:t xml:space="preserve"> en</w:t>
      </w:r>
      <w:r w:rsidRPr="00F64360" w:rsidR="00F64360">
        <w:rPr>
          <w:szCs w:val="18"/>
        </w:rPr>
        <w:t xml:space="preserve"> voor educatie</w:t>
      </w:r>
      <w:r w:rsidR="002229EB">
        <w:rPr>
          <w:szCs w:val="18"/>
        </w:rPr>
        <w:t>;</w:t>
      </w:r>
      <w:r w:rsidR="003E4E3B">
        <w:rPr>
          <w:szCs w:val="18"/>
        </w:rPr>
        <w:t xml:space="preserve"> in dit specifieke geval </w:t>
      </w:r>
      <w:r w:rsidR="00A76BF5">
        <w:rPr>
          <w:szCs w:val="18"/>
        </w:rPr>
        <w:t>kan</w:t>
      </w:r>
      <w:r w:rsidR="002229EB">
        <w:rPr>
          <w:szCs w:val="18"/>
        </w:rPr>
        <w:t xml:space="preserve"> openheid ook </w:t>
      </w:r>
      <w:r w:rsidR="00A76BF5">
        <w:rPr>
          <w:szCs w:val="18"/>
        </w:rPr>
        <w:t xml:space="preserve">bijdragen </w:t>
      </w:r>
      <w:r w:rsidR="003E4E3B">
        <w:rPr>
          <w:szCs w:val="18"/>
        </w:rPr>
        <w:t>in de strijd tegen antisemitisme.</w:t>
      </w:r>
      <w:r w:rsidRPr="00F64360" w:rsidR="00F64360">
        <w:rPr>
          <w:szCs w:val="18"/>
        </w:rPr>
        <w:t xml:space="preserve"> </w:t>
      </w:r>
    </w:p>
    <w:p w:rsidR="00A76BF5" w:rsidP="002229EB" w:rsidRDefault="00A76BF5" w14:paraId="72BE8715" w14:textId="77777777">
      <w:pPr>
        <w:spacing w:line="276" w:lineRule="auto"/>
        <w:rPr>
          <w:szCs w:val="18"/>
        </w:rPr>
      </w:pPr>
    </w:p>
    <w:p w:rsidR="003E4E3B" w:rsidP="002229EB" w:rsidRDefault="00A76BF5" w14:paraId="54907790" w14:textId="7BD05ACF">
      <w:pPr>
        <w:spacing w:line="276" w:lineRule="auto"/>
        <w:rPr>
          <w:szCs w:val="18"/>
        </w:rPr>
      </w:pPr>
      <w:r>
        <w:rPr>
          <w:szCs w:val="18"/>
        </w:rPr>
        <w:t xml:space="preserve">Ook internationaal wordt dit belang gezien. </w:t>
      </w:r>
      <w:r w:rsidRPr="002229EB" w:rsidR="002229EB">
        <w:rPr>
          <w:szCs w:val="18"/>
        </w:rPr>
        <w:t>Nederland is sinds 1999 lid van de I</w:t>
      </w:r>
      <w:r w:rsidR="002229EB">
        <w:rPr>
          <w:szCs w:val="18"/>
        </w:rPr>
        <w:t>HRA</w:t>
      </w:r>
      <w:r w:rsidRPr="002229EB" w:rsidR="002229EB">
        <w:rPr>
          <w:szCs w:val="18"/>
        </w:rPr>
        <w:t xml:space="preserve"> (International Holocaust </w:t>
      </w:r>
      <w:proofErr w:type="spellStart"/>
      <w:r w:rsidRPr="002229EB" w:rsidR="002229EB">
        <w:rPr>
          <w:szCs w:val="18"/>
        </w:rPr>
        <w:t>Remembrance</w:t>
      </w:r>
      <w:proofErr w:type="spellEnd"/>
      <w:r w:rsidRPr="002229EB" w:rsidR="002229EB">
        <w:rPr>
          <w:szCs w:val="18"/>
        </w:rPr>
        <w:t xml:space="preserve"> Alliance)</w:t>
      </w:r>
      <w:r w:rsidR="002229EB">
        <w:rPr>
          <w:szCs w:val="18"/>
        </w:rPr>
        <w:t>,</w:t>
      </w:r>
      <w:r w:rsidRPr="002229EB" w:rsidR="002229EB">
        <w:rPr>
          <w:szCs w:val="18"/>
        </w:rPr>
        <w:t xml:space="preserve"> een organisatie van 35 landen die zich inzetten om onderwijs, herinnering en onderzoek over de Holocaust en de genocide op de Sinti en Roma te bevorderen.</w:t>
      </w:r>
      <w:r w:rsidR="002229EB">
        <w:rPr>
          <w:szCs w:val="18"/>
        </w:rPr>
        <w:t xml:space="preserve"> </w:t>
      </w:r>
      <w:r w:rsidRPr="002229EB" w:rsidR="002229EB">
        <w:rPr>
          <w:szCs w:val="18"/>
        </w:rPr>
        <w:t>Vanwege het wegvallen van de eerste generatie die konden getuigen, zijn de archieven als ‘stille getuigen’ des te belangrijker geworden om het verhaal van de Holocaust te blijven vertellen. Daarom pleit de IHRA voor het toegankelijk maken hiervan.</w:t>
      </w:r>
      <w:r>
        <w:rPr>
          <w:rStyle w:val="Voetnootmarkering"/>
          <w:szCs w:val="18"/>
        </w:rPr>
        <w:footnoteReference w:id="3"/>
      </w:r>
      <w:r w:rsidRPr="002229EB" w:rsidR="002229EB">
        <w:rPr>
          <w:szCs w:val="18"/>
        </w:rPr>
        <w:t xml:space="preserve"> </w:t>
      </w:r>
      <w:r w:rsidRPr="00F64360" w:rsidR="00F64360">
        <w:rPr>
          <w:szCs w:val="18"/>
        </w:rPr>
        <w:t xml:space="preserve">In </w:t>
      </w:r>
      <w:r w:rsidRPr="00F64360" w:rsidR="00F64360">
        <w:rPr>
          <w:szCs w:val="18"/>
        </w:rPr>
        <w:lastRenderedPageBreak/>
        <w:t xml:space="preserve">het verlengde daarvan </w:t>
      </w:r>
      <w:r w:rsidR="003E4E3B">
        <w:rPr>
          <w:szCs w:val="18"/>
        </w:rPr>
        <w:t xml:space="preserve">draagt </w:t>
      </w:r>
      <w:r w:rsidR="002229EB">
        <w:rPr>
          <w:szCs w:val="18"/>
        </w:rPr>
        <w:t>de toegankelijkheid</w:t>
      </w:r>
      <w:r w:rsidR="003E4E3B">
        <w:rPr>
          <w:szCs w:val="18"/>
        </w:rPr>
        <w:t xml:space="preserve"> ook bij aan het </w:t>
      </w:r>
      <w:r w:rsidR="00C53596">
        <w:rPr>
          <w:szCs w:val="18"/>
        </w:rPr>
        <w:t>versterken</w:t>
      </w:r>
      <w:r w:rsidRPr="00F64360" w:rsidR="00F64360">
        <w:rPr>
          <w:szCs w:val="18"/>
        </w:rPr>
        <w:t xml:space="preserve"> van </w:t>
      </w:r>
      <w:r w:rsidR="00C53596">
        <w:rPr>
          <w:szCs w:val="18"/>
        </w:rPr>
        <w:t xml:space="preserve">het </w:t>
      </w:r>
      <w:r w:rsidRPr="00F64360" w:rsidR="00F64360">
        <w:rPr>
          <w:szCs w:val="18"/>
        </w:rPr>
        <w:t xml:space="preserve">bewustzijn </w:t>
      </w:r>
      <w:r w:rsidR="003E4E3B">
        <w:rPr>
          <w:szCs w:val="18"/>
        </w:rPr>
        <w:t>van</w:t>
      </w:r>
      <w:r w:rsidRPr="00F64360" w:rsidR="00F64360">
        <w:rPr>
          <w:szCs w:val="18"/>
        </w:rPr>
        <w:t xml:space="preserve"> de waarde van </w:t>
      </w:r>
      <w:r w:rsidR="003E4E3B">
        <w:rPr>
          <w:szCs w:val="18"/>
        </w:rPr>
        <w:t xml:space="preserve">de </w:t>
      </w:r>
      <w:r w:rsidRPr="00F64360" w:rsidR="00F64360">
        <w:rPr>
          <w:szCs w:val="18"/>
        </w:rPr>
        <w:t xml:space="preserve">democratie, </w:t>
      </w:r>
      <w:r w:rsidR="003E4E3B">
        <w:rPr>
          <w:szCs w:val="18"/>
        </w:rPr>
        <w:t xml:space="preserve">de </w:t>
      </w:r>
      <w:r w:rsidRPr="00F64360" w:rsidR="00F64360">
        <w:rPr>
          <w:szCs w:val="18"/>
        </w:rPr>
        <w:t xml:space="preserve">rechtsstaat en mensenrechten. </w:t>
      </w:r>
    </w:p>
    <w:p w:rsidR="003E4E3B" w:rsidP="00F10EBB" w:rsidRDefault="003E4E3B" w14:paraId="2553D998" w14:textId="77777777">
      <w:pPr>
        <w:spacing w:line="276" w:lineRule="auto"/>
        <w:rPr>
          <w:szCs w:val="18"/>
        </w:rPr>
      </w:pPr>
    </w:p>
    <w:p w:rsidR="00F64360" w:rsidP="00F10EBB" w:rsidRDefault="00F64360" w14:paraId="6F5ABC2B" w14:textId="08188A51">
      <w:pPr>
        <w:spacing w:line="276" w:lineRule="auto"/>
        <w:rPr>
          <w:rFonts w:cs="Arial"/>
          <w:szCs w:val="18"/>
          <w:shd w:val="clear" w:color="auto" w:fill="FFFFFF"/>
        </w:rPr>
      </w:pPr>
      <w:r w:rsidRPr="00F64360">
        <w:rPr>
          <w:szCs w:val="18"/>
        </w:rPr>
        <w:t xml:space="preserve">Er is een enorme belangstelling </w:t>
      </w:r>
      <w:r w:rsidR="00462F9A">
        <w:rPr>
          <w:szCs w:val="18"/>
        </w:rPr>
        <w:t xml:space="preserve">voor het CABR ten behoeve van </w:t>
      </w:r>
      <w:r w:rsidRPr="00F64360">
        <w:rPr>
          <w:szCs w:val="18"/>
        </w:rPr>
        <w:t>reconstructie</w:t>
      </w:r>
      <w:r w:rsidR="00462F9A">
        <w:rPr>
          <w:szCs w:val="18"/>
        </w:rPr>
        <w:t xml:space="preserve"> van het verleden</w:t>
      </w:r>
      <w:r w:rsidRPr="00F64360">
        <w:rPr>
          <w:szCs w:val="18"/>
        </w:rPr>
        <w:t xml:space="preserve">. Zowel </w:t>
      </w:r>
      <w:r w:rsidR="00462F9A">
        <w:rPr>
          <w:szCs w:val="18"/>
        </w:rPr>
        <w:t xml:space="preserve">voor lokale geschiedenis als die </w:t>
      </w:r>
      <w:r w:rsidRPr="00F64360">
        <w:rPr>
          <w:szCs w:val="18"/>
        </w:rPr>
        <w:t>van de eigen familie. De ooggetuigen zijn er straks niet meer: dan moet het erfgoed het verhaal vertellen. Om</w:t>
      </w:r>
      <w:r w:rsidR="00516058">
        <w:rPr>
          <w:szCs w:val="18"/>
        </w:rPr>
        <w:t xml:space="preserve"> ook</w:t>
      </w:r>
      <w:r w:rsidRPr="00F64360">
        <w:rPr>
          <w:szCs w:val="18"/>
        </w:rPr>
        <w:t xml:space="preserve"> jongeren in contact te laten komen met d</w:t>
      </w:r>
      <w:r w:rsidR="00462F9A">
        <w:rPr>
          <w:szCs w:val="18"/>
        </w:rPr>
        <w:t>it pijnlijke, maar gedeelde verleden</w:t>
      </w:r>
      <w:r w:rsidRPr="00F64360">
        <w:rPr>
          <w:szCs w:val="18"/>
        </w:rPr>
        <w:t xml:space="preserve"> </w:t>
      </w:r>
      <w:r w:rsidR="00C53596">
        <w:rPr>
          <w:szCs w:val="18"/>
        </w:rPr>
        <w:t xml:space="preserve">is het belangrijk </w:t>
      </w:r>
      <w:r w:rsidRPr="00F64360">
        <w:rPr>
          <w:szCs w:val="18"/>
        </w:rPr>
        <w:t>hen aan</w:t>
      </w:r>
      <w:r w:rsidR="000B08F4">
        <w:rPr>
          <w:szCs w:val="18"/>
        </w:rPr>
        <w:t xml:space="preserve"> te </w:t>
      </w:r>
      <w:r w:rsidRPr="00F64360">
        <w:rPr>
          <w:szCs w:val="18"/>
        </w:rPr>
        <w:t>spreken op hun eigen terrein, en dat is online.</w:t>
      </w:r>
      <w:r w:rsidRPr="00F64360">
        <w:rPr>
          <w:rFonts w:cs="Arial"/>
          <w:szCs w:val="18"/>
          <w:shd w:val="clear" w:color="auto" w:fill="FFFFFF"/>
        </w:rPr>
        <w:t xml:space="preserve"> </w:t>
      </w:r>
      <w:r>
        <w:rPr>
          <w:rFonts w:cs="Arial"/>
          <w:szCs w:val="18"/>
          <w:shd w:val="clear" w:color="auto" w:fill="FFFFFF"/>
        </w:rPr>
        <w:t xml:space="preserve">Tot slot biedt online </w:t>
      </w:r>
      <w:r w:rsidR="00516058">
        <w:rPr>
          <w:rFonts w:cs="Arial"/>
          <w:szCs w:val="18"/>
          <w:shd w:val="clear" w:color="auto" w:fill="FFFFFF"/>
        </w:rPr>
        <w:t>toegankelijkheid</w:t>
      </w:r>
      <w:r>
        <w:rPr>
          <w:rFonts w:cs="Arial"/>
          <w:szCs w:val="18"/>
          <w:shd w:val="clear" w:color="auto" w:fill="FFFFFF"/>
        </w:rPr>
        <w:t xml:space="preserve"> de mogelijkheid om dit bijzondere archief </w:t>
      </w:r>
      <w:r w:rsidR="00462F9A">
        <w:rPr>
          <w:rFonts w:cs="Arial"/>
          <w:szCs w:val="18"/>
          <w:shd w:val="clear" w:color="auto" w:fill="FFFFFF"/>
        </w:rPr>
        <w:t xml:space="preserve">te gebruiken voor educatie doeleinden en </w:t>
      </w:r>
      <w:r>
        <w:rPr>
          <w:rFonts w:cs="Arial"/>
          <w:szCs w:val="18"/>
          <w:shd w:val="clear" w:color="auto" w:fill="FFFFFF"/>
        </w:rPr>
        <w:t>via oorlogsbronnen.nl te koppelen aan een honderdtal andere gedigitaliseerde oorlogsarchieven zodat informatie bij elkaar gebracht wordt.</w:t>
      </w:r>
    </w:p>
    <w:p w:rsidR="00F64360" w:rsidP="00F10EBB" w:rsidRDefault="00F64360" w14:paraId="5AD862A6" w14:textId="77777777">
      <w:pPr>
        <w:spacing w:line="276" w:lineRule="auto"/>
        <w:rPr>
          <w:rFonts w:cs="Arial"/>
          <w:szCs w:val="18"/>
          <w:shd w:val="clear" w:color="auto" w:fill="FFFFFF"/>
        </w:rPr>
      </w:pPr>
    </w:p>
    <w:p w:rsidR="003E4E3B" w:rsidP="00F10EBB" w:rsidRDefault="00F64360" w14:paraId="0CEA45BB" w14:textId="61BD4E50">
      <w:pPr>
        <w:spacing w:line="276" w:lineRule="auto"/>
      </w:pPr>
      <w:r>
        <w:rPr>
          <w:rFonts w:cs="Arial"/>
          <w:szCs w:val="18"/>
          <w:shd w:val="clear" w:color="auto" w:fill="FFFFFF"/>
        </w:rPr>
        <w:t xml:space="preserve">Ik wil benadrukken dat ik enorme waardering heb voor de zorgvuldige wijze waarmee </w:t>
      </w:r>
      <w:r w:rsidR="00FA3A3D">
        <w:rPr>
          <w:rFonts w:cs="Arial"/>
          <w:szCs w:val="18"/>
          <w:shd w:val="clear" w:color="auto" w:fill="FFFFFF"/>
        </w:rPr>
        <w:t xml:space="preserve">het NA en de andere </w:t>
      </w:r>
      <w:r>
        <w:rPr>
          <w:rFonts w:cs="Arial"/>
          <w:szCs w:val="18"/>
          <w:shd w:val="clear" w:color="auto" w:fill="FFFFFF"/>
        </w:rPr>
        <w:t>betrokken organisaties in het consortium dit project begeleid hebben.</w:t>
      </w:r>
      <w:r w:rsidR="00BA47F4">
        <w:rPr>
          <w:rFonts w:cs="Arial"/>
          <w:szCs w:val="18"/>
          <w:shd w:val="clear" w:color="auto" w:fill="FFFFFF"/>
        </w:rPr>
        <w:t xml:space="preserve"> Er is </w:t>
      </w:r>
      <w:r w:rsidR="00FA3A3D">
        <w:rPr>
          <w:rFonts w:cs="Arial"/>
          <w:szCs w:val="18"/>
          <w:shd w:val="clear" w:color="auto" w:fill="FFFFFF"/>
        </w:rPr>
        <w:t xml:space="preserve">door het NA </w:t>
      </w:r>
      <w:r w:rsidR="00BA47F4">
        <w:rPr>
          <w:rFonts w:cs="Arial"/>
          <w:szCs w:val="18"/>
          <w:shd w:val="clear" w:color="auto" w:fill="FFFFFF"/>
        </w:rPr>
        <w:t xml:space="preserve">vooraf erkend dat </w:t>
      </w:r>
      <w:r w:rsidR="00BA47F4">
        <w:t xml:space="preserve">er mogelijk nog levende mensen kunnen voorkomen in het archief en dat die omwille van aard, omvang en ordening, op voorhand niet </w:t>
      </w:r>
      <w:r w:rsidR="00C11386">
        <w:t>allemaal</w:t>
      </w:r>
      <w:r w:rsidR="003E4E3B">
        <w:t xml:space="preserve"> </w:t>
      </w:r>
      <w:r w:rsidR="00BA47F4">
        <w:t xml:space="preserve">te identificeren en onzichtbaar te maken zijn. Daar is het </w:t>
      </w:r>
      <w:r w:rsidR="00FA3A3D">
        <w:t>NA</w:t>
      </w:r>
      <w:r w:rsidR="00BA47F4">
        <w:t xml:space="preserve"> open en transparant over geweest</w:t>
      </w:r>
      <w:r w:rsidR="003E4E3B">
        <w:t xml:space="preserve">. Vervolgens </w:t>
      </w:r>
      <w:r w:rsidR="00A96823">
        <w:t xml:space="preserve">heeft het </w:t>
      </w:r>
      <w:r w:rsidR="00FA3A3D">
        <w:t>NA</w:t>
      </w:r>
      <w:r w:rsidR="00A96823">
        <w:t xml:space="preserve"> verschillende onderzoeken laten uitvoeren naar deze</w:t>
      </w:r>
      <w:r w:rsidR="003877EE">
        <w:t xml:space="preserve"> privacy</w:t>
      </w:r>
      <w:r w:rsidR="00A96823">
        <w:t xml:space="preserve"> risico’s. Op basis van die onderzoeken zijn</w:t>
      </w:r>
      <w:r w:rsidR="00FA3A3D">
        <w:t xml:space="preserve"> door het consortium</w:t>
      </w:r>
      <w:r w:rsidR="003E4E3B">
        <w:t xml:space="preserve"> verschillende maatregelen genomen om de </w:t>
      </w:r>
      <w:r w:rsidR="00462F9A">
        <w:t xml:space="preserve">persoonsgegevens van </w:t>
      </w:r>
      <w:r w:rsidR="00A96823">
        <w:t xml:space="preserve">het geringe aantal </w:t>
      </w:r>
      <w:r w:rsidR="00462F9A">
        <w:t xml:space="preserve">nog levende personen </w:t>
      </w:r>
      <w:r w:rsidR="003E4E3B">
        <w:t xml:space="preserve">zoveel mogelijk </w:t>
      </w:r>
      <w:r w:rsidR="005E0762">
        <w:t>te beschermen</w:t>
      </w:r>
      <w:r w:rsidR="003E4E3B">
        <w:t>.</w:t>
      </w:r>
      <w:r w:rsidR="00BA47F4">
        <w:t xml:space="preserve"> </w:t>
      </w:r>
      <w:r w:rsidR="000936C2">
        <w:t xml:space="preserve">Zo </w:t>
      </w:r>
      <w:r w:rsidR="00772DC6">
        <w:t>zouden</w:t>
      </w:r>
      <w:r w:rsidR="000936C2">
        <w:t xml:space="preserve"> dossiers van verdachten alleen </w:t>
      </w:r>
      <w:r w:rsidR="004F715A">
        <w:t xml:space="preserve">online geplaatst </w:t>
      </w:r>
      <w:r w:rsidR="00772DC6">
        <w:t xml:space="preserve">worden </w:t>
      </w:r>
      <w:r w:rsidR="004F715A">
        <w:t>indien er bewijs is van overlijden via het overlijdensregister. D</w:t>
      </w:r>
      <w:r w:rsidR="00757EAE">
        <w:t>eze toets</w:t>
      </w:r>
      <w:r w:rsidR="004F715A">
        <w:t xml:space="preserve"> is</w:t>
      </w:r>
      <w:r w:rsidR="005E0762">
        <w:t xml:space="preserve"> vanwege de opbouw van het CABR</w:t>
      </w:r>
      <w:r w:rsidR="004F715A">
        <w:t xml:space="preserve"> niet mogelijk voor derden die in de dossiers voorkomen</w:t>
      </w:r>
      <w:r w:rsidR="00E807FD">
        <w:t xml:space="preserve">. </w:t>
      </w:r>
      <w:r w:rsidR="002229EB">
        <w:t xml:space="preserve">Om hun belangen te borgen </w:t>
      </w:r>
      <w:r w:rsidR="00772DC6">
        <w:t xml:space="preserve">zouden zij </w:t>
      </w:r>
      <w:r w:rsidR="004F715A">
        <w:t xml:space="preserve">op verzoek </w:t>
      </w:r>
      <w:r w:rsidR="005E0762">
        <w:t xml:space="preserve">bepaalde informatie </w:t>
      </w:r>
      <w:r w:rsidR="004F715A">
        <w:t xml:space="preserve">offline </w:t>
      </w:r>
      <w:r w:rsidR="00772DC6">
        <w:t xml:space="preserve">kunnen </w:t>
      </w:r>
      <w:r w:rsidR="005E0762">
        <w:t>laten halen</w:t>
      </w:r>
      <w:r w:rsidR="004F715A">
        <w:t>. Daarnaast</w:t>
      </w:r>
      <w:r w:rsidR="00E807FD">
        <w:t xml:space="preserve"> </w:t>
      </w:r>
      <w:r w:rsidR="00772DC6">
        <w:t>zou</w:t>
      </w:r>
      <w:r w:rsidR="00E807FD">
        <w:t xml:space="preserve"> het archief niet </w:t>
      </w:r>
      <w:proofErr w:type="spellStart"/>
      <w:r w:rsidR="00E807FD">
        <w:t>indexeerbaar</w:t>
      </w:r>
      <w:proofErr w:type="spellEnd"/>
      <w:r w:rsidR="00E807FD">
        <w:t xml:space="preserve"> voor zoekmachines </w:t>
      </w:r>
      <w:r w:rsidR="00772DC6">
        <w:t xml:space="preserve">worden gemaakt </w:t>
      </w:r>
      <w:r w:rsidR="00E807FD">
        <w:t xml:space="preserve">en </w:t>
      </w:r>
      <w:r w:rsidR="005E0762">
        <w:t>is</w:t>
      </w:r>
      <w:r w:rsidR="00E807FD">
        <w:t xml:space="preserve"> er context </w:t>
      </w:r>
      <w:r w:rsidR="00757EAE">
        <w:t xml:space="preserve">aan het archief </w:t>
      </w:r>
      <w:r w:rsidR="00E807FD">
        <w:t>toegevoegd.</w:t>
      </w:r>
    </w:p>
    <w:p w:rsidR="003E4E3B" w:rsidP="00F10EBB" w:rsidRDefault="003E4E3B" w14:paraId="2AC5E239" w14:textId="77777777">
      <w:pPr>
        <w:spacing w:line="276" w:lineRule="auto"/>
      </w:pPr>
    </w:p>
    <w:p w:rsidR="00BA47F4" w:rsidP="00F10EBB" w:rsidRDefault="003E4E3B" w14:paraId="5854CDE6" w14:textId="379D7015">
      <w:pPr>
        <w:spacing w:line="276" w:lineRule="auto"/>
        <w:rPr>
          <w:szCs w:val="18"/>
        </w:rPr>
      </w:pPr>
      <w:r>
        <w:t>Het consortium heeft</w:t>
      </w:r>
      <w:r w:rsidR="00BA47F4">
        <w:rPr>
          <w:rFonts w:cs="Arial"/>
          <w:szCs w:val="18"/>
          <w:shd w:val="clear" w:color="auto" w:fill="FFFFFF"/>
        </w:rPr>
        <w:t xml:space="preserve"> zich hierbij voortdurend laten adviseren door het zogeheten Ethisch Beraad, met daarin het Centraal Joods Overleg (CJO) vertegenwoordig</w:t>
      </w:r>
      <w:r w:rsidR="00426992">
        <w:rPr>
          <w:rFonts w:cs="Arial"/>
          <w:szCs w:val="18"/>
          <w:shd w:val="clear" w:color="auto" w:fill="FFFFFF"/>
        </w:rPr>
        <w:t>d</w:t>
      </w:r>
      <w:r w:rsidR="00BA47F4">
        <w:rPr>
          <w:rFonts w:cs="Arial"/>
          <w:szCs w:val="18"/>
          <w:shd w:val="clear" w:color="auto" w:fill="FFFFFF"/>
        </w:rPr>
        <w:t xml:space="preserve"> door Joods Maatschappelijk Werk (JMW), de Stichting Werkgroep Herkenning (SWH</w:t>
      </w:r>
      <w:r w:rsidR="00CE79C9">
        <w:rPr>
          <w:rFonts w:cs="Arial"/>
          <w:szCs w:val="18"/>
          <w:shd w:val="clear" w:color="auto" w:fill="FFFFFF"/>
        </w:rPr>
        <w:t xml:space="preserve">) </w:t>
      </w:r>
      <w:r w:rsidR="00BA47F4">
        <w:rPr>
          <w:rFonts w:cs="Arial"/>
          <w:szCs w:val="18"/>
          <w:shd w:val="clear" w:color="auto" w:fill="FFFFFF"/>
        </w:rPr>
        <w:t>voor nabestaanden van verdachten van collaboratie en</w:t>
      </w:r>
      <w:r w:rsidRPr="00BA47F4" w:rsidR="00BA47F4">
        <w:rPr>
          <w:szCs w:val="18"/>
        </w:rPr>
        <w:t xml:space="preserve"> </w:t>
      </w:r>
      <w:r w:rsidR="00BA47F4">
        <w:rPr>
          <w:szCs w:val="18"/>
        </w:rPr>
        <w:t xml:space="preserve">het </w:t>
      </w:r>
      <w:r w:rsidRPr="00D765C1" w:rsidR="00BA47F4">
        <w:rPr>
          <w:szCs w:val="18"/>
        </w:rPr>
        <w:t>Centraal Orgaan Verzetsdeelnemers en Vervolgingsslachtoffers (COVVS)</w:t>
      </w:r>
      <w:r w:rsidR="00BA47F4">
        <w:rPr>
          <w:szCs w:val="18"/>
        </w:rPr>
        <w:t xml:space="preserve">. Met hen </w:t>
      </w:r>
      <w:r w:rsidR="00BA47F4">
        <w:t>is gezamenlijk de afweging gemaakt hoe precies om te gaan met het individuele belang van een gering aantal mogelijk nog levende personen</w:t>
      </w:r>
      <w:r w:rsidR="0055248B">
        <w:t>, de gevoelens van nabestaanden</w:t>
      </w:r>
      <w:r w:rsidR="00BA47F4">
        <w:t xml:space="preserve"> en het bredere maatschappelijk belang. Er is consensus bereikt</w:t>
      </w:r>
      <w:r w:rsidR="00C11386">
        <w:rPr>
          <w:rStyle w:val="Voetnootmarkering"/>
          <w:szCs w:val="18"/>
        </w:rPr>
        <w:footnoteReference w:id="4"/>
      </w:r>
      <w:r w:rsidR="00BA47F4">
        <w:t xml:space="preserve"> </w:t>
      </w:r>
      <w:r w:rsidR="00462F9A">
        <w:t xml:space="preserve">over die afweging en </w:t>
      </w:r>
      <w:r w:rsidR="00BA47F4">
        <w:t>over de</w:t>
      </w:r>
      <w:r w:rsidR="00462F9A">
        <w:t xml:space="preserve"> genomen</w:t>
      </w:r>
      <w:r w:rsidR="00BA47F4">
        <w:t xml:space="preserve"> maatregelen</w:t>
      </w:r>
      <w:r w:rsidR="00462F9A">
        <w:t>. H</w:t>
      </w:r>
      <w:r w:rsidR="00BA47F4">
        <w:t xml:space="preserve">et project heeft </w:t>
      </w:r>
      <w:r w:rsidR="00462F9A">
        <w:t xml:space="preserve">daaromtrent ook </w:t>
      </w:r>
      <w:r w:rsidR="00BA47F4">
        <w:t>een uitgebreide communicatiecampagne en regioto</w:t>
      </w:r>
      <w:r w:rsidR="00426992">
        <w:t>u</w:t>
      </w:r>
      <w:r w:rsidR="00BA47F4">
        <w:t xml:space="preserve">r ingericht. Ik wil </w:t>
      </w:r>
      <w:r w:rsidR="00C11386">
        <w:t xml:space="preserve">dan </w:t>
      </w:r>
      <w:r w:rsidR="00BA47F4">
        <w:t>ook mijn grote waardering uitspreken voor de rol die CJO/JMW, COVVS en SWH spelen</w:t>
      </w:r>
      <w:r w:rsidR="00C11386">
        <w:t xml:space="preserve"> in </w:t>
      </w:r>
      <w:r w:rsidR="00462F9A">
        <w:t xml:space="preserve">het </w:t>
      </w:r>
      <w:r w:rsidR="00C11386">
        <w:t>project</w:t>
      </w:r>
      <w:r w:rsidR="00462F9A">
        <w:t xml:space="preserve"> Oorlog voor de Rechter</w:t>
      </w:r>
      <w:r w:rsidR="00C11386">
        <w:t>. Ze doen dit</w:t>
      </w:r>
      <w:r w:rsidR="00BA47F4">
        <w:t xml:space="preserve"> ieder vanuit een eigen invalshoek, </w:t>
      </w:r>
      <w:r w:rsidRPr="003E4E3B" w:rsidR="00BA47F4">
        <w:t>maar</w:t>
      </w:r>
      <w:r w:rsidRPr="003E4E3B">
        <w:t xml:space="preserve"> met oog voor elkaars vertrekpunt en </w:t>
      </w:r>
      <w:r w:rsidRPr="003E4E3B" w:rsidR="00BA47F4">
        <w:t>met het</w:t>
      </w:r>
      <w:r w:rsidRPr="003E4E3B">
        <w:t xml:space="preserve"> bredere</w:t>
      </w:r>
      <w:r w:rsidRPr="003E4E3B" w:rsidR="00BA47F4">
        <w:t xml:space="preserve"> belang </w:t>
      </w:r>
      <w:r w:rsidRPr="003E4E3B">
        <w:t xml:space="preserve">van de Nederlandse samenleving </w:t>
      </w:r>
      <w:r w:rsidRPr="003E4E3B" w:rsidR="00BA47F4">
        <w:t>voorop.</w:t>
      </w:r>
      <w:r w:rsidR="00BA47F4">
        <w:t xml:space="preserve"> </w:t>
      </w:r>
    </w:p>
    <w:p w:rsidR="00F64360" w:rsidP="00F10EBB" w:rsidRDefault="00F64360" w14:paraId="04DC64AB" w14:textId="77777777">
      <w:pPr>
        <w:spacing w:line="276" w:lineRule="auto"/>
        <w:rPr>
          <w:rFonts w:cs="Arial"/>
          <w:szCs w:val="18"/>
          <w:shd w:val="clear" w:color="auto" w:fill="FFFFFF"/>
        </w:rPr>
      </w:pPr>
    </w:p>
    <w:p w:rsidRPr="00B1784A" w:rsidR="00B1784A" w:rsidP="00F10EBB" w:rsidRDefault="00B1784A" w14:paraId="403A0323" w14:textId="6FEA0E16">
      <w:pPr>
        <w:spacing w:line="276" w:lineRule="auto"/>
        <w:rPr>
          <w:rFonts w:cs="Arial"/>
          <w:b/>
          <w:bCs/>
          <w:szCs w:val="18"/>
          <w:shd w:val="clear" w:color="auto" w:fill="FFFFFF"/>
        </w:rPr>
      </w:pPr>
      <w:r w:rsidRPr="00B1784A">
        <w:rPr>
          <w:rFonts w:cs="Arial"/>
          <w:b/>
          <w:bCs/>
          <w:szCs w:val="18"/>
          <w:shd w:val="clear" w:color="auto" w:fill="FFFFFF"/>
        </w:rPr>
        <w:t>Gevolgen voor Archiefsector</w:t>
      </w:r>
    </w:p>
    <w:p w:rsidR="00471DBD" w:rsidP="00F10EBB" w:rsidRDefault="005201B4" w14:paraId="5924D3A7" w14:textId="6134B7B7">
      <w:pPr>
        <w:spacing w:line="276" w:lineRule="auto"/>
        <w:rPr>
          <w:rFonts w:cs="Calibri"/>
          <w:szCs w:val="18"/>
        </w:rPr>
      </w:pPr>
      <w:r>
        <w:t>De</w:t>
      </w:r>
      <w:r w:rsidR="00471DBD">
        <w:t xml:space="preserve"> brief van de AP </w:t>
      </w:r>
      <w:r>
        <w:t xml:space="preserve">baart </w:t>
      </w:r>
      <w:r w:rsidR="00471DBD">
        <w:t xml:space="preserve">mij </w:t>
      </w:r>
      <w:r w:rsidR="00FE3C05">
        <w:t xml:space="preserve">tot slot </w:t>
      </w:r>
      <w:r w:rsidR="00471DBD">
        <w:t xml:space="preserve">ook </w:t>
      </w:r>
      <w:r w:rsidR="00DF725A">
        <w:t xml:space="preserve">grote </w:t>
      </w:r>
      <w:r w:rsidR="00471DBD">
        <w:t xml:space="preserve">zorgen vanwege de bredere implicaties die het oordeel van de AP </w:t>
      </w:r>
      <w:r w:rsidR="00C53596">
        <w:t>lijkt te hebben voor</w:t>
      </w:r>
      <w:r w:rsidR="00471DBD">
        <w:t xml:space="preserve"> de archiefsector in zijn algemeen. In archieven komen namelijk bijna altijd persoonsgegevens voor</w:t>
      </w:r>
      <w:r w:rsidR="00CF11C9">
        <w:t>, maar de mate waarin en de actualiteit ervan verschilt sterk</w:t>
      </w:r>
      <w:r w:rsidR="00471DBD">
        <w:t xml:space="preserve">. Ik vind </w:t>
      </w:r>
      <w:r w:rsidR="00CF11C9">
        <w:t xml:space="preserve">daarbij </w:t>
      </w:r>
      <w:r w:rsidR="00471DBD">
        <w:t xml:space="preserve">als minister van OCW </w:t>
      </w:r>
      <w:r w:rsidR="00C818DA">
        <w:t xml:space="preserve">het recht </w:t>
      </w:r>
      <w:r w:rsidR="009A4DBA">
        <w:t xml:space="preserve">op </w:t>
      </w:r>
      <w:r w:rsidR="00471DBD">
        <w:t xml:space="preserve">toegang voor burgers </w:t>
      </w:r>
      <w:r w:rsidRPr="00682283" w:rsidR="00471DBD">
        <w:rPr>
          <w:rFonts w:cs="Calibri"/>
          <w:szCs w:val="18"/>
        </w:rPr>
        <w:t>tot overheidsdocumentatie</w:t>
      </w:r>
      <w:r w:rsidR="00C818DA">
        <w:rPr>
          <w:rFonts w:cs="Calibri"/>
          <w:szCs w:val="18"/>
        </w:rPr>
        <w:t xml:space="preserve"> belangrijk</w:t>
      </w:r>
      <w:r w:rsidR="00C53596">
        <w:rPr>
          <w:rFonts w:cs="Calibri"/>
          <w:szCs w:val="18"/>
        </w:rPr>
        <w:t xml:space="preserve">, zoals </w:t>
      </w:r>
      <w:r w:rsidR="00C818DA">
        <w:rPr>
          <w:rFonts w:cs="Calibri"/>
          <w:szCs w:val="18"/>
        </w:rPr>
        <w:t xml:space="preserve">ook </w:t>
      </w:r>
      <w:r w:rsidR="00C53596">
        <w:rPr>
          <w:rFonts w:cs="Calibri"/>
          <w:szCs w:val="18"/>
        </w:rPr>
        <w:t>wettelijk is vastgelegd in de Archiefwet en de Wet Open Overheid (Woo)</w:t>
      </w:r>
      <w:r w:rsidR="00471DBD">
        <w:rPr>
          <w:rFonts w:cs="Calibri"/>
          <w:szCs w:val="18"/>
        </w:rPr>
        <w:t>. V</w:t>
      </w:r>
      <w:r w:rsidRPr="00682283" w:rsidR="00471DBD">
        <w:rPr>
          <w:rFonts w:cs="Calibri"/>
          <w:szCs w:val="18"/>
        </w:rPr>
        <w:t xml:space="preserve">rije meningsvorming </w:t>
      </w:r>
      <w:r w:rsidR="00471DBD">
        <w:rPr>
          <w:rFonts w:cs="Calibri"/>
          <w:szCs w:val="18"/>
        </w:rPr>
        <w:t>heeft</w:t>
      </w:r>
      <w:r w:rsidRPr="00682283" w:rsidR="00471DBD">
        <w:rPr>
          <w:rFonts w:cs="Calibri"/>
          <w:szCs w:val="18"/>
        </w:rPr>
        <w:t xml:space="preserve"> </w:t>
      </w:r>
      <w:r w:rsidR="00471DBD">
        <w:rPr>
          <w:rFonts w:cs="Calibri"/>
          <w:szCs w:val="18"/>
        </w:rPr>
        <w:t xml:space="preserve">namelijk </w:t>
      </w:r>
      <w:r w:rsidRPr="00682283" w:rsidR="00471DBD">
        <w:rPr>
          <w:rFonts w:cs="Calibri"/>
          <w:szCs w:val="18"/>
        </w:rPr>
        <w:t xml:space="preserve">belang bij </w:t>
      </w:r>
      <w:r w:rsidR="00471DBD">
        <w:rPr>
          <w:rFonts w:cs="Calibri"/>
          <w:szCs w:val="18"/>
        </w:rPr>
        <w:t xml:space="preserve">goede </w:t>
      </w:r>
      <w:r w:rsidRPr="00682283" w:rsidR="00471DBD">
        <w:rPr>
          <w:rFonts w:cs="Calibri"/>
          <w:szCs w:val="18"/>
        </w:rPr>
        <w:t xml:space="preserve">archivering en </w:t>
      </w:r>
      <w:r>
        <w:rPr>
          <w:rFonts w:cs="Calibri"/>
          <w:szCs w:val="18"/>
        </w:rPr>
        <w:t>laagdrempelige toegang tot die archieven.</w:t>
      </w:r>
      <w:r w:rsidR="00C11386">
        <w:rPr>
          <w:rFonts w:cs="Calibri"/>
          <w:szCs w:val="18"/>
        </w:rPr>
        <w:t xml:space="preserve"> </w:t>
      </w:r>
      <w:r w:rsidR="00CF11C9">
        <w:rPr>
          <w:rFonts w:cs="Calibri"/>
          <w:szCs w:val="18"/>
        </w:rPr>
        <w:t xml:space="preserve">Openbaarheid is </w:t>
      </w:r>
      <w:r w:rsidR="00757EAE">
        <w:rPr>
          <w:rFonts w:cs="Calibri"/>
          <w:szCs w:val="18"/>
        </w:rPr>
        <w:t xml:space="preserve">voor mij </w:t>
      </w:r>
      <w:r w:rsidR="00CF11C9">
        <w:rPr>
          <w:rFonts w:cs="Calibri"/>
          <w:szCs w:val="18"/>
        </w:rPr>
        <w:t xml:space="preserve">het uitgangspunt. </w:t>
      </w:r>
      <w:r w:rsidR="00C11386">
        <w:rPr>
          <w:rFonts w:cs="Calibri"/>
          <w:szCs w:val="18"/>
        </w:rPr>
        <w:t xml:space="preserve">Ik onderschrijf </w:t>
      </w:r>
      <w:r>
        <w:rPr>
          <w:rFonts w:cs="Calibri"/>
          <w:szCs w:val="18"/>
        </w:rPr>
        <w:t xml:space="preserve">ook </w:t>
      </w:r>
      <w:r w:rsidR="00C11386">
        <w:rPr>
          <w:rFonts w:cs="Calibri"/>
          <w:szCs w:val="18"/>
        </w:rPr>
        <w:t xml:space="preserve">het belang van de bescherming van persoonsgegevens, maar </w:t>
      </w:r>
      <w:r w:rsidR="00CF11C9">
        <w:rPr>
          <w:rFonts w:cs="Calibri"/>
          <w:szCs w:val="18"/>
        </w:rPr>
        <w:t>het kunnen maken van een belangenafweging hierin is noodzakelijk.</w:t>
      </w:r>
    </w:p>
    <w:p w:rsidR="00B1784A" w:rsidP="00F10EBB" w:rsidRDefault="00B1784A" w14:paraId="0B0FECC6" w14:textId="77777777">
      <w:pPr>
        <w:spacing w:line="276" w:lineRule="auto"/>
        <w:rPr>
          <w:rFonts w:cs="Calibri"/>
          <w:szCs w:val="18"/>
        </w:rPr>
      </w:pPr>
    </w:p>
    <w:p w:rsidR="00471DBD" w:rsidP="00F10EBB" w:rsidRDefault="00471DBD" w14:paraId="34BF8E4C" w14:textId="5D6B7B6B">
      <w:pPr>
        <w:spacing w:line="276" w:lineRule="auto"/>
        <w:rPr>
          <w:rFonts w:cs="Calibri"/>
          <w:szCs w:val="18"/>
        </w:rPr>
      </w:pPr>
      <w:r>
        <w:rPr>
          <w:rFonts w:cs="Calibri"/>
          <w:szCs w:val="18"/>
        </w:rPr>
        <w:t xml:space="preserve">Daarom kom ik op korte termijn met een </w:t>
      </w:r>
      <w:r w:rsidR="00961069">
        <w:rPr>
          <w:rFonts w:cs="Calibri"/>
          <w:szCs w:val="18"/>
        </w:rPr>
        <w:t xml:space="preserve">voorstel voor een </w:t>
      </w:r>
      <w:r>
        <w:rPr>
          <w:rFonts w:cs="Calibri"/>
          <w:szCs w:val="18"/>
        </w:rPr>
        <w:t xml:space="preserve">wetswijziging die de door de AP gemiste grondslag </w:t>
      </w:r>
      <w:r w:rsidR="00CF11C9">
        <w:rPr>
          <w:rFonts w:cs="Calibri"/>
          <w:szCs w:val="18"/>
        </w:rPr>
        <w:t xml:space="preserve">voor de </w:t>
      </w:r>
      <w:r w:rsidR="00730C77">
        <w:rPr>
          <w:rFonts w:cs="Calibri"/>
          <w:szCs w:val="18"/>
        </w:rPr>
        <w:t xml:space="preserve">verdere verwerking </w:t>
      </w:r>
      <w:r w:rsidR="00CF11C9">
        <w:rPr>
          <w:rFonts w:cs="Calibri"/>
          <w:szCs w:val="18"/>
        </w:rPr>
        <w:t>van bijzondere</w:t>
      </w:r>
      <w:r w:rsidR="00730C77">
        <w:rPr>
          <w:rFonts w:cs="Calibri"/>
          <w:szCs w:val="18"/>
        </w:rPr>
        <w:t>,</w:t>
      </w:r>
      <w:r w:rsidR="00CF11C9">
        <w:rPr>
          <w:rFonts w:cs="Calibri"/>
          <w:szCs w:val="18"/>
        </w:rPr>
        <w:t xml:space="preserve"> strafrechtelijke </w:t>
      </w:r>
      <w:r w:rsidR="00730C77">
        <w:rPr>
          <w:rFonts w:cs="Calibri"/>
          <w:szCs w:val="18"/>
        </w:rPr>
        <w:t xml:space="preserve">en gewone </w:t>
      </w:r>
      <w:r w:rsidR="00CF11C9">
        <w:rPr>
          <w:rFonts w:cs="Calibri"/>
          <w:szCs w:val="18"/>
        </w:rPr>
        <w:t>persoonsgegevens</w:t>
      </w:r>
      <w:r w:rsidR="00730C77">
        <w:rPr>
          <w:rFonts w:cs="Calibri"/>
          <w:szCs w:val="18"/>
        </w:rPr>
        <w:t>, die zijn bewaard voor archiveringsdoeleinden</w:t>
      </w:r>
      <w:r w:rsidR="00CF11C9">
        <w:rPr>
          <w:rFonts w:cs="Calibri"/>
          <w:szCs w:val="18"/>
        </w:rPr>
        <w:t xml:space="preserve"> </w:t>
      </w:r>
      <w:r>
        <w:rPr>
          <w:rFonts w:cs="Calibri"/>
          <w:szCs w:val="18"/>
        </w:rPr>
        <w:t>zal creëren</w:t>
      </w:r>
      <w:r w:rsidR="00D54114">
        <w:rPr>
          <w:rFonts w:cs="Calibri"/>
          <w:szCs w:val="18"/>
        </w:rPr>
        <w:t>.</w:t>
      </w:r>
      <w:r>
        <w:rPr>
          <w:rFonts w:cs="Calibri"/>
          <w:szCs w:val="18"/>
        </w:rPr>
        <w:t xml:space="preserve"> </w:t>
      </w:r>
      <w:r w:rsidR="00730C77">
        <w:rPr>
          <w:rFonts w:cs="Calibri"/>
          <w:szCs w:val="18"/>
        </w:rPr>
        <w:t xml:space="preserve">Het doel hiervan zal zijn om ruimte te bieden voor </w:t>
      </w:r>
      <w:r w:rsidR="00CF11C9">
        <w:rPr>
          <w:rFonts w:cs="Calibri"/>
          <w:szCs w:val="18"/>
        </w:rPr>
        <w:t>een belangenafweging tussen openbaarheid en privacy bij de (wijze van) verstrekking van (bijzondere en strafrechtelijke) persoonsgegevens door archiefdiensten.</w:t>
      </w:r>
      <w:r w:rsidR="00C11386">
        <w:rPr>
          <w:rFonts w:cs="Calibri"/>
          <w:szCs w:val="18"/>
        </w:rPr>
        <w:t xml:space="preserve"> </w:t>
      </w:r>
      <w:r w:rsidR="00CF11C9">
        <w:rPr>
          <w:rFonts w:cs="Calibri"/>
          <w:szCs w:val="18"/>
        </w:rPr>
        <w:t>Hierbij neem ik ook d</w:t>
      </w:r>
      <w:r w:rsidRPr="00CF11C9" w:rsidR="00CF11C9">
        <w:rPr>
          <w:rFonts w:cs="Calibri"/>
          <w:szCs w:val="18"/>
        </w:rPr>
        <w:t>e wijze</w:t>
      </w:r>
      <w:r w:rsidR="00CF11C9">
        <w:rPr>
          <w:rFonts w:cs="Calibri"/>
          <w:szCs w:val="18"/>
        </w:rPr>
        <w:t xml:space="preserve"> w</w:t>
      </w:r>
      <w:r w:rsidRPr="00CF11C9" w:rsidR="00CF11C9">
        <w:rPr>
          <w:rFonts w:cs="Calibri"/>
          <w:szCs w:val="18"/>
        </w:rPr>
        <w:t xml:space="preserve">aarop archieven digitaal en online raadpleegbaar </w:t>
      </w:r>
      <w:r w:rsidR="00757EAE">
        <w:rPr>
          <w:rFonts w:cs="Calibri"/>
          <w:szCs w:val="18"/>
        </w:rPr>
        <w:t xml:space="preserve">gemaakt kunnen worden </w:t>
      </w:r>
      <w:r w:rsidR="00CF11C9">
        <w:rPr>
          <w:rFonts w:cs="Calibri"/>
          <w:szCs w:val="18"/>
        </w:rPr>
        <w:t xml:space="preserve">mee, zodat </w:t>
      </w:r>
      <w:r w:rsidRPr="00CF11C9" w:rsidR="00CF11C9">
        <w:rPr>
          <w:rFonts w:cs="Calibri"/>
          <w:szCs w:val="18"/>
        </w:rPr>
        <w:t xml:space="preserve">archieven relevant </w:t>
      </w:r>
      <w:r w:rsidR="00CF11C9">
        <w:rPr>
          <w:rFonts w:cs="Calibri"/>
          <w:szCs w:val="18"/>
        </w:rPr>
        <w:t xml:space="preserve">blijven </w:t>
      </w:r>
      <w:r w:rsidRPr="00CF11C9" w:rsidR="00CF11C9">
        <w:rPr>
          <w:rFonts w:cs="Calibri"/>
          <w:szCs w:val="18"/>
        </w:rPr>
        <w:t>in het digitale tijdper</w:t>
      </w:r>
      <w:r w:rsidR="00CF11C9">
        <w:rPr>
          <w:rFonts w:cs="Calibri"/>
          <w:szCs w:val="18"/>
        </w:rPr>
        <w:t xml:space="preserve">k. </w:t>
      </w:r>
      <w:r>
        <w:rPr>
          <w:rFonts w:cs="Calibri"/>
          <w:szCs w:val="18"/>
        </w:rPr>
        <w:t xml:space="preserve">Ik zie deze wijziging nadrukkelijk als onderdeel van de bredere ambitie van het kabinet om onze democratische rechtsstaat te verstevigen. </w:t>
      </w:r>
    </w:p>
    <w:p w:rsidR="00471DBD" w:rsidP="00F10EBB" w:rsidRDefault="00471DBD" w14:paraId="3352DE52" w14:textId="77777777">
      <w:pPr>
        <w:spacing w:line="276" w:lineRule="auto"/>
      </w:pPr>
    </w:p>
    <w:p w:rsidR="003877EE" w:rsidP="00F10EBB" w:rsidRDefault="00843091" w14:paraId="4DC17B58" w14:textId="72828E2B">
      <w:pPr>
        <w:spacing w:line="276" w:lineRule="auto"/>
      </w:pPr>
      <w:r>
        <w:t xml:space="preserve">Mijn inzet is er op gericht om </w:t>
      </w:r>
      <w:r w:rsidR="00C11386">
        <w:t xml:space="preserve">deze wetswijziging </w:t>
      </w:r>
      <w:r>
        <w:t>zo spoedig mogelijk</w:t>
      </w:r>
      <w:r w:rsidR="00C11386">
        <w:t xml:space="preserve"> te kunnen realiseren</w:t>
      </w:r>
      <w:r w:rsidR="00730C77">
        <w:t>, maar uiteraard moet hierbij een zorgvuldig wetstraject worden gevolgd</w:t>
      </w:r>
      <w:r w:rsidR="00C11386">
        <w:t>.</w:t>
      </w:r>
      <w:r w:rsidR="00961069">
        <w:t xml:space="preserve"> Hiermee wil ik recht doen aan het maatschappelijke belang om </w:t>
      </w:r>
      <w:r w:rsidR="00A2745D">
        <w:t xml:space="preserve">deze </w:t>
      </w:r>
      <w:r w:rsidR="00961069">
        <w:t>archieven voor een breed publiek toegankelijk te maken.</w:t>
      </w:r>
      <w:r>
        <w:t xml:space="preserve"> </w:t>
      </w:r>
      <w:r w:rsidR="003877EE">
        <w:t xml:space="preserve">Het gaat om een </w:t>
      </w:r>
      <w:r w:rsidR="009A4DBA">
        <w:t>separaat</w:t>
      </w:r>
      <w:r w:rsidR="003877EE">
        <w:t xml:space="preserve"> wetsvoorstel, parallel aan het wetsvoorstel voor de bredere modernisering van de Archiefwet waarover uw Kamer binnenkort zal debatteren. De behandeling van die modernisering kan niet wachten op dit separate wetsvoorstel</w:t>
      </w:r>
      <w:r w:rsidR="009A4DBA">
        <w:t xml:space="preserve">. </w:t>
      </w:r>
    </w:p>
    <w:p w:rsidR="003877EE" w:rsidP="00F10EBB" w:rsidRDefault="003877EE" w14:paraId="783B40DE" w14:textId="77777777">
      <w:pPr>
        <w:spacing w:line="276" w:lineRule="auto"/>
      </w:pPr>
    </w:p>
    <w:p w:rsidR="00F64360" w:rsidP="00F10EBB" w:rsidRDefault="00961069" w14:paraId="36439366" w14:textId="176FAA78">
      <w:pPr>
        <w:spacing w:line="276" w:lineRule="auto"/>
      </w:pPr>
      <w:r>
        <w:t>In de tussentijd</w:t>
      </w:r>
      <w:r w:rsidR="00C11386">
        <w:t xml:space="preserve"> ga ik bezien</w:t>
      </w:r>
      <w:r w:rsidR="00F64360">
        <w:t xml:space="preserve"> op welke </w:t>
      </w:r>
      <w:r w:rsidR="00C11386">
        <w:t>wijze</w:t>
      </w:r>
      <w:r w:rsidR="00F64360">
        <w:t xml:space="preserve"> het NA </w:t>
      </w:r>
      <w:r w:rsidR="00C11386">
        <w:t>vanaf 2 januari</w:t>
      </w:r>
      <w:r w:rsidRPr="00C11386" w:rsidR="00C11386">
        <w:t xml:space="preserve"> </w:t>
      </w:r>
      <w:r w:rsidR="00652791">
        <w:t xml:space="preserve">wél </w:t>
      </w:r>
      <w:r w:rsidR="00C11386">
        <w:t xml:space="preserve">toegang </w:t>
      </w:r>
      <w:r w:rsidR="00F64360">
        <w:t>kan bi</w:t>
      </w:r>
      <w:r w:rsidR="00AA4BDC">
        <w:t>e</w:t>
      </w:r>
      <w:r w:rsidR="00F64360">
        <w:t xml:space="preserve">den tot het </w:t>
      </w:r>
      <w:r w:rsidR="009A4DBA">
        <w:t xml:space="preserve">gedigitaliseerde </w:t>
      </w:r>
      <w:r w:rsidR="00F64360">
        <w:t>CABR.</w:t>
      </w:r>
      <w:r w:rsidR="00471DBD">
        <w:t xml:space="preserve"> Ik ga in gesprek met de AP om dat op een evenwichtige manier in te vullen</w:t>
      </w:r>
      <w:r w:rsidR="00C11386">
        <w:t xml:space="preserve"> voor de periode</w:t>
      </w:r>
      <w:r w:rsidR="00471DBD">
        <w:t xml:space="preserve"> </w:t>
      </w:r>
      <w:r>
        <w:t>vanaf 2 januari tot</w:t>
      </w:r>
      <w:r w:rsidR="00471DBD">
        <w:t xml:space="preserve"> het moment dat </w:t>
      </w:r>
      <w:r w:rsidR="00BA47F4">
        <w:t>de wet gewijzigd is.</w:t>
      </w:r>
    </w:p>
    <w:p w:rsidR="00820DDA" w:rsidP="00F10EBB" w:rsidRDefault="00820DDA" w14:paraId="44377F7C" w14:textId="77777777">
      <w:pPr>
        <w:spacing w:line="276" w:lineRule="auto"/>
      </w:pPr>
    </w:p>
    <w:p w:rsidR="007851C4" w:rsidP="00F10EBB" w:rsidRDefault="00680B79" w14:paraId="690FC576" w14:textId="3AB6E02D">
      <w:pPr>
        <w:spacing w:line="276" w:lineRule="auto"/>
      </w:pPr>
      <w:r w:rsidRPr="007851C4">
        <w:t xml:space="preserve"> </w:t>
      </w:r>
    </w:p>
    <w:p w:rsidR="00820DDA" w:rsidP="00F10EBB" w:rsidRDefault="00680B79" w14:paraId="1D173D13" w14:textId="77777777">
      <w:pPr>
        <w:spacing w:line="276" w:lineRule="auto"/>
      </w:pPr>
      <w:r>
        <w:t>De minister van Onderwijs, Cultuur en Wetenschap,</w:t>
      </w:r>
    </w:p>
    <w:p w:rsidR="000F521E" w:rsidP="00F10EBB" w:rsidRDefault="000F521E" w14:paraId="1F8EC963" w14:textId="77777777">
      <w:pPr>
        <w:spacing w:line="276" w:lineRule="auto"/>
      </w:pPr>
    </w:p>
    <w:p w:rsidR="000F521E" w:rsidP="00F10EBB" w:rsidRDefault="000F521E" w14:paraId="43D09961" w14:textId="77777777">
      <w:pPr>
        <w:spacing w:line="276" w:lineRule="auto"/>
      </w:pPr>
    </w:p>
    <w:p w:rsidR="00BC4361" w:rsidP="00F10EBB" w:rsidRDefault="00BC4361" w14:paraId="28B4E2B6" w14:textId="77777777">
      <w:pPr>
        <w:spacing w:line="276" w:lineRule="auto"/>
      </w:pPr>
    </w:p>
    <w:p w:rsidR="000F521E" w:rsidP="00F10EBB" w:rsidRDefault="000F521E" w14:paraId="349903D8" w14:textId="77777777">
      <w:pPr>
        <w:spacing w:line="276" w:lineRule="auto"/>
      </w:pPr>
    </w:p>
    <w:p w:rsidR="00EF5BCD" w:rsidP="00F10EBB" w:rsidRDefault="00EF5BCD" w14:paraId="4E1BC14A" w14:textId="77777777">
      <w:pPr>
        <w:spacing w:line="276" w:lineRule="auto"/>
      </w:pPr>
    </w:p>
    <w:p w:rsidR="000F521E" w:rsidP="00F10EBB" w:rsidRDefault="000F521E" w14:paraId="6D3534A2" w14:textId="77777777">
      <w:pPr>
        <w:spacing w:line="276" w:lineRule="auto"/>
      </w:pPr>
    </w:p>
    <w:p w:rsidRPr="00820DDA" w:rsidR="00820DDA" w:rsidP="006642BF" w:rsidRDefault="00680B79" w14:paraId="32E96EB6" w14:textId="0D73E103">
      <w:pPr>
        <w:pStyle w:val="standaard-tekst"/>
        <w:spacing w:line="276" w:lineRule="auto"/>
      </w:pPr>
      <w:proofErr w:type="spellStart"/>
      <w:r>
        <w:t>Eppo</w:t>
      </w:r>
      <w:proofErr w:type="spellEnd"/>
      <w:r>
        <w:t xml:space="preserve"> Bruins</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6301" w14:textId="77777777" w:rsidR="00DC691C" w:rsidRDefault="00680B79">
      <w:r>
        <w:separator/>
      </w:r>
    </w:p>
    <w:p w14:paraId="0E88E66C" w14:textId="77777777" w:rsidR="00DC691C" w:rsidRDefault="00DC691C"/>
  </w:endnote>
  <w:endnote w:type="continuationSeparator" w:id="0">
    <w:p w14:paraId="540F6131" w14:textId="77777777" w:rsidR="00DC691C" w:rsidRDefault="00680B79">
      <w:r>
        <w:continuationSeparator/>
      </w:r>
    </w:p>
    <w:p w14:paraId="6D10823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altName w:val="Cambria"/>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53D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FE8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04317" w14:paraId="56909AC8" w14:textId="77777777" w:rsidTr="004C7E1D">
      <w:trPr>
        <w:trHeight w:hRule="exact" w:val="357"/>
      </w:trPr>
      <w:tc>
        <w:tcPr>
          <w:tcW w:w="7603" w:type="dxa"/>
          <w:shd w:val="clear" w:color="auto" w:fill="auto"/>
        </w:tcPr>
        <w:p w14:paraId="37D15257" w14:textId="77777777" w:rsidR="002F71BB" w:rsidRPr="004C7E1D" w:rsidRDefault="002F71BB" w:rsidP="004C7E1D">
          <w:pPr>
            <w:spacing w:line="180" w:lineRule="exact"/>
            <w:rPr>
              <w:sz w:val="13"/>
              <w:szCs w:val="13"/>
            </w:rPr>
          </w:pPr>
        </w:p>
      </w:tc>
      <w:tc>
        <w:tcPr>
          <w:tcW w:w="2172" w:type="dxa"/>
          <w:shd w:val="clear" w:color="auto" w:fill="auto"/>
        </w:tcPr>
        <w:p w14:paraId="7450B084" w14:textId="647760B2" w:rsidR="002F71BB" w:rsidRPr="004C7E1D" w:rsidRDefault="00680B7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41890">
            <w:rPr>
              <w:szCs w:val="13"/>
            </w:rPr>
            <w:t>4</w:t>
          </w:r>
          <w:r w:rsidRPr="004C7E1D">
            <w:rPr>
              <w:szCs w:val="13"/>
            </w:rPr>
            <w:fldChar w:fldCharType="end"/>
          </w:r>
        </w:p>
      </w:tc>
    </w:tr>
  </w:tbl>
  <w:p w14:paraId="048EDAF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04317" w14:paraId="0C38CAAE" w14:textId="77777777" w:rsidTr="004C7E1D">
      <w:trPr>
        <w:trHeight w:hRule="exact" w:val="357"/>
      </w:trPr>
      <w:tc>
        <w:tcPr>
          <w:tcW w:w="7709" w:type="dxa"/>
          <w:shd w:val="clear" w:color="auto" w:fill="auto"/>
        </w:tcPr>
        <w:p w14:paraId="65D673A1" w14:textId="77777777" w:rsidR="00D17084" w:rsidRPr="004C7E1D" w:rsidRDefault="00D17084" w:rsidP="004C7E1D">
          <w:pPr>
            <w:spacing w:line="180" w:lineRule="exact"/>
            <w:rPr>
              <w:sz w:val="13"/>
              <w:szCs w:val="13"/>
            </w:rPr>
          </w:pPr>
        </w:p>
      </w:tc>
      <w:tc>
        <w:tcPr>
          <w:tcW w:w="2060" w:type="dxa"/>
          <w:shd w:val="clear" w:color="auto" w:fill="auto"/>
        </w:tcPr>
        <w:p w14:paraId="6F1ED0AF" w14:textId="422E0FF3" w:rsidR="00D17084" w:rsidRPr="004C7E1D" w:rsidRDefault="00680B7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41890">
            <w:rPr>
              <w:szCs w:val="13"/>
            </w:rPr>
            <w:t>4</w:t>
          </w:r>
          <w:r w:rsidRPr="004C7E1D">
            <w:rPr>
              <w:szCs w:val="13"/>
            </w:rPr>
            <w:fldChar w:fldCharType="end"/>
          </w:r>
        </w:p>
      </w:tc>
    </w:tr>
  </w:tbl>
  <w:p w14:paraId="79C4277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1D26" w14:textId="77777777" w:rsidR="00DC691C" w:rsidRDefault="00680B79">
      <w:r>
        <w:separator/>
      </w:r>
    </w:p>
    <w:p w14:paraId="4FF01D43" w14:textId="77777777" w:rsidR="00DC691C" w:rsidRDefault="00DC691C"/>
  </w:footnote>
  <w:footnote w:type="continuationSeparator" w:id="0">
    <w:p w14:paraId="024F24DB" w14:textId="77777777" w:rsidR="00DC691C" w:rsidRDefault="00680B79">
      <w:r>
        <w:continuationSeparator/>
      </w:r>
    </w:p>
    <w:p w14:paraId="31459224" w14:textId="77777777" w:rsidR="00DC691C" w:rsidRDefault="00DC691C"/>
  </w:footnote>
  <w:footnote w:id="1">
    <w:p w14:paraId="5E3EFF8C" w14:textId="2DC2DF54" w:rsidR="00A54A81" w:rsidRDefault="00A54A81">
      <w:pPr>
        <w:pStyle w:val="Voetnoottekst"/>
      </w:pPr>
      <w:r>
        <w:rPr>
          <w:rStyle w:val="Voetnootmarkering"/>
        </w:rPr>
        <w:footnoteRef/>
      </w:r>
      <w:r>
        <w:t xml:space="preserve"> </w:t>
      </w:r>
      <w:r w:rsidRPr="00A54A81">
        <w:t xml:space="preserve">Kamerstukken II 2023-2024, 20454, </w:t>
      </w:r>
      <w:proofErr w:type="spellStart"/>
      <w:r w:rsidRPr="00A54A81">
        <w:t>nr</w:t>
      </w:r>
      <w:proofErr w:type="spellEnd"/>
      <w:r w:rsidRPr="00A54A81">
        <w:t xml:space="preserve"> 201</w:t>
      </w:r>
    </w:p>
  </w:footnote>
  <w:footnote w:id="2">
    <w:p w14:paraId="49AB60CD" w14:textId="0367875E" w:rsidR="00A54A81" w:rsidRDefault="00A54A81">
      <w:pPr>
        <w:pStyle w:val="Voetnoottekst"/>
      </w:pPr>
      <w:r>
        <w:rPr>
          <w:rStyle w:val="Voetnootmarkering"/>
        </w:rPr>
        <w:footnoteRef/>
      </w:r>
      <w:r>
        <w:t xml:space="preserve"> </w:t>
      </w:r>
      <w:r w:rsidRPr="00A54A81">
        <w:t xml:space="preserve">Kamerstukken II, 2022-2023, 20454, </w:t>
      </w:r>
      <w:proofErr w:type="spellStart"/>
      <w:r w:rsidRPr="00A54A81">
        <w:t>nr</w:t>
      </w:r>
      <w:proofErr w:type="spellEnd"/>
      <w:r w:rsidRPr="00A54A81">
        <w:t xml:space="preserve"> 178</w:t>
      </w:r>
    </w:p>
  </w:footnote>
  <w:footnote w:id="3">
    <w:p w14:paraId="0338A007" w14:textId="5F8AD5D3" w:rsidR="00A76BF5" w:rsidRDefault="00A76BF5">
      <w:pPr>
        <w:pStyle w:val="Voetnoottekst"/>
      </w:pPr>
      <w:r>
        <w:rPr>
          <w:rStyle w:val="Voetnootmarkering"/>
        </w:rPr>
        <w:footnoteRef/>
      </w:r>
      <w:r>
        <w:t xml:space="preserve"> Op 24 juni 2024 hebben de ministeries van OCW, SZW en VWS samen met de Nationaal Coördinator Antisemitismebestrijding (NCAB) het Nationale Plan Versterking Holocausteducatie naar de Tweede Kamer gestuurd (Kamerstuk 36 272, nr. 17). Daarin wordt geconstateerd dat de kennis van de Holocaust afneemt. Holocausteducatie kan een belangrijke bijdrage leveren aan het vergroten van de kennis over de Holocaust, het bewustmaken van de gevolgen van de vooroordelen en antisemitisme en het verminderen van de onwetendheid. Archieven spelen hierbij een belangrijke rol is het beschikbaar stellen van deze kennis.</w:t>
      </w:r>
    </w:p>
  </w:footnote>
  <w:footnote w:id="4">
    <w:p w14:paraId="7B197130" w14:textId="05D48863" w:rsidR="00C11386" w:rsidRDefault="00C11386" w:rsidP="00C11386">
      <w:pPr>
        <w:pStyle w:val="Voetnoottekst"/>
      </w:pPr>
      <w:r>
        <w:rPr>
          <w:rStyle w:val="Voetnootmarkering"/>
        </w:rPr>
        <w:footnoteRef/>
      </w:r>
      <w:r>
        <w:t xml:space="preserve"> </w:t>
      </w:r>
      <w:r w:rsidR="00EF5BCD">
        <w:rPr>
          <w:sz w:val="14"/>
          <w:szCs w:val="14"/>
        </w:rPr>
        <w:t xml:space="preserve">Het advies van </w:t>
      </w:r>
      <w:r>
        <w:rPr>
          <w:sz w:val="14"/>
          <w:szCs w:val="14"/>
        </w:rPr>
        <w:t>het Ethisch Beraad</w:t>
      </w:r>
      <w:r w:rsidR="00EF5BCD">
        <w:rPr>
          <w:sz w:val="14"/>
          <w:szCs w:val="14"/>
        </w:rPr>
        <w:t xml:space="preserve"> is te raadplegen via: </w:t>
      </w:r>
      <w:hyperlink r:id="rId1" w:history="1">
        <w:r w:rsidR="00EF5BCD" w:rsidRPr="00484174">
          <w:rPr>
            <w:rStyle w:val="Hyperlink"/>
            <w:sz w:val="14"/>
            <w:szCs w:val="14"/>
          </w:rPr>
          <w:t>https://oorlogvoorderechter.nl/wp-content/uploads/Advies-Ethisch-Beraad-1.pdf</w:t>
        </w:r>
      </w:hyperlink>
      <w:r w:rsidR="00EF5BCD">
        <w:rPr>
          <w:sz w:val="14"/>
          <w:szCs w:val="14"/>
        </w:rPr>
        <w:t xml:space="preserve"> </w:t>
      </w:r>
      <w:r>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752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04317" w14:paraId="11D9599F" w14:textId="77777777" w:rsidTr="006D2D53">
      <w:trPr>
        <w:trHeight w:hRule="exact" w:val="400"/>
      </w:trPr>
      <w:tc>
        <w:tcPr>
          <w:tcW w:w="7518" w:type="dxa"/>
          <w:shd w:val="clear" w:color="auto" w:fill="auto"/>
        </w:tcPr>
        <w:p w14:paraId="7E049BC9" w14:textId="77777777" w:rsidR="00527BD4" w:rsidRPr="00275984" w:rsidRDefault="00527BD4" w:rsidP="00BF4427">
          <w:pPr>
            <w:pStyle w:val="Huisstijl-Rubricering"/>
          </w:pPr>
        </w:p>
      </w:tc>
    </w:tr>
  </w:tbl>
  <w:p w14:paraId="5A4FD5F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04317" w14:paraId="0789C2F5" w14:textId="77777777" w:rsidTr="003B528D">
      <w:tc>
        <w:tcPr>
          <w:tcW w:w="2160" w:type="dxa"/>
          <w:shd w:val="clear" w:color="auto" w:fill="auto"/>
        </w:tcPr>
        <w:p w14:paraId="43CF6CB2" w14:textId="77777777" w:rsidR="002F71BB" w:rsidRPr="000407BB" w:rsidRDefault="00680B79" w:rsidP="005D283A">
          <w:pPr>
            <w:pStyle w:val="Colofonkop"/>
            <w:framePr w:hSpace="0" w:wrap="auto" w:vAnchor="margin" w:hAnchor="text" w:xAlign="left" w:yAlign="inline"/>
          </w:pPr>
          <w:r>
            <w:t>Onze referentie</w:t>
          </w:r>
        </w:p>
      </w:tc>
    </w:tr>
    <w:tr w:rsidR="00704317" w14:paraId="2E7CFC81" w14:textId="77777777" w:rsidTr="002F71BB">
      <w:trPr>
        <w:trHeight w:val="259"/>
      </w:trPr>
      <w:tc>
        <w:tcPr>
          <w:tcW w:w="2160" w:type="dxa"/>
          <w:shd w:val="clear" w:color="auto" w:fill="auto"/>
        </w:tcPr>
        <w:p w14:paraId="4B08DFC2" w14:textId="77777777" w:rsidR="00E35CF4" w:rsidRPr="005D283A" w:rsidRDefault="00680B79" w:rsidP="0049501A">
          <w:pPr>
            <w:spacing w:line="180" w:lineRule="exact"/>
            <w:rPr>
              <w:sz w:val="13"/>
              <w:szCs w:val="13"/>
            </w:rPr>
          </w:pPr>
          <w:r>
            <w:rPr>
              <w:sz w:val="13"/>
              <w:szCs w:val="13"/>
            </w:rPr>
            <w:t>49402884</w:t>
          </w:r>
        </w:p>
      </w:tc>
    </w:tr>
  </w:tbl>
  <w:p w14:paraId="0BEFB15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317" w14:paraId="0143F468" w14:textId="77777777" w:rsidTr="001377D4">
      <w:trPr>
        <w:trHeight w:val="2636"/>
      </w:trPr>
      <w:tc>
        <w:tcPr>
          <w:tcW w:w="737" w:type="dxa"/>
          <w:shd w:val="clear" w:color="auto" w:fill="auto"/>
        </w:tcPr>
        <w:p w14:paraId="2143AEC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C9546FC" w14:textId="77777777" w:rsidR="00704845" w:rsidRDefault="00680B79" w:rsidP="0047126E">
          <w:pPr>
            <w:framePr w:w="3873" w:h="2625" w:hRule="exact" w:wrap="around" w:vAnchor="page" w:hAnchor="page" w:x="6323" w:y="1"/>
          </w:pPr>
          <w:r>
            <w:rPr>
              <w:noProof/>
              <w:lang w:val="en-US" w:eastAsia="en-US"/>
            </w:rPr>
            <w:drawing>
              <wp:inline distT="0" distB="0" distL="0" distR="0" wp14:anchorId="0B1C439D" wp14:editId="565A942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5D115F3" w14:textId="77777777" w:rsidR="00483ECA" w:rsidRDefault="00483ECA" w:rsidP="00D037A9"/>
      </w:tc>
    </w:tr>
  </w:tbl>
  <w:p w14:paraId="2703E73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04317" w14:paraId="480A1A0D" w14:textId="77777777" w:rsidTr="0008539E">
      <w:trPr>
        <w:trHeight w:hRule="exact" w:val="572"/>
      </w:trPr>
      <w:tc>
        <w:tcPr>
          <w:tcW w:w="7520" w:type="dxa"/>
          <w:shd w:val="clear" w:color="auto" w:fill="auto"/>
        </w:tcPr>
        <w:p w14:paraId="5BC8F920" w14:textId="77777777" w:rsidR="00527BD4" w:rsidRPr="00963440" w:rsidRDefault="00680B79" w:rsidP="00210BA3">
          <w:pPr>
            <w:pStyle w:val="Huisstijl-Adres"/>
            <w:spacing w:after="0"/>
          </w:pPr>
          <w:r w:rsidRPr="009E3B07">
            <w:t>&gt;Retouradres </w:t>
          </w:r>
          <w:r>
            <w:t>Postbus 16375 2500 BJ Den Haag</w:t>
          </w:r>
          <w:r w:rsidRPr="009E3B07">
            <w:t xml:space="preserve"> </w:t>
          </w:r>
        </w:p>
      </w:tc>
    </w:tr>
    <w:tr w:rsidR="00704317" w14:paraId="0E9178FA" w14:textId="77777777" w:rsidTr="00E776C6">
      <w:trPr>
        <w:cantSplit/>
        <w:trHeight w:hRule="exact" w:val="238"/>
      </w:trPr>
      <w:tc>
        <w:tcPr>
          <w:tcW w:w="7520" w:type="dxa"/>
          <w:shd w:val="clear" w:color="auto" w:fill="auto"/>
        </w:tcPr>
        <w:p w14:paraId="46964993" w14:textId="77777777" w:rsidR="00093ABC" w:rsidRPr="00963440" w:rsidRDefault="00093ABC" w:rsidP="00963440"/>
      </w:tc>
    </w:tr>
    <w:tr w:rsidR="00704317" w14:paraId="4D7F0238" w14:textId="77777777" w:rsidTr="00E776C6">
      <w:trPr>
        <w:cantSplit/>
        <w:trHeight w:hRule="exact" w:val="1520"/>
      </w:trPr>
      <w:tc>
        <w:tcPr>
          <w:tcW w:w="7520" w:type="dxa"/>
          <w:shd w:val="clear" w:color="auto" w:fill="auto"/>
        </w:tcPr>
        <w:p w14:paraId="7DDAC9DC" w14:textId="77777777" w:rsidR="00A604D3" w:rsidRPr="00963440" w:rsidRDefault="00A604D3" w:rsidP="00963440"/>
      </w:tc>
    </w:tr>
    <w:tr w:rsidR="00704317" w14:paraId="3500EB70" w14:textId="77777777" w:rsidTr="00E776C6">
      <w:trPr>
        <w:trHeight w:hRule="exact" w:val="1077"/>
      </w:trPr>
      <w:tc>
        <w:tcPr>
          <w:tcW w:w="7520" w:type="dxa"/>
          <w:shd w:val="clear" w:color="auto" w:fill="auto"/>
        </w:tcPr>
        <w:p w14:paraId="1C84FD95" w14:textId="77777777" w:rsidR="00892BA5" w:rsidRPr="00035E67" w:rsidRDefault="00892BA5" w:rsidP="00892BA5">
          <w:pPr>
            <w:tabs>
              <w:tab w:val="left" w:pos="740"/>
            </w:tabs>
            <w:autoSpaceDE w:val="0"/>
            <w:autoSpaceDN w:val="0"/>
            <w:adjustRightInd w:val="0"/>
            <w:rPr>
              <w:rFonts w:cs="Verdana"/>
              <w:szCs w:val="18"/>
            </w:rPr>
          </w:pPr>
        </w:p>
      </w:tc>
    </w:tr>
  </w:tbl>
  <w:p w14:paraId="7F54E4E6" w14:textId="77777777" w:rsidR="006F273B" w:rsidRDefault="006F273B" w:rsidP="00BC4AE3">
    <w:pPr>
      <w:pStyle w:val="Koptekst"/>
    </w:pPr>
  </w:p>
  <w:p w14:paraId="76DE5B1D" w14:textId="77777777" w:rsidR="00153BD0" w:rsidRDefault="00153BD0" w:rsidP="00BC4AE3">
    <w:pPr>
      <w:pStyle w:val="Koptekst"/>
    </w:pPr>
  </w:p>
  <w:p w14:paraId="4B5A68A3" w14:textId="77777777" w:rsidR="0044605E" w:rsidRDefault="0044605E" w:rsidP="00BC4AE3">
    <w:pPr>
      <w:pStyle w:val="Koptekst"/>
    </w:pPr>
  </w:p>
  <w:p w14:paraId="666D0DDA" w14:textId="77777777" w:rsidR="0044605E" w:rsidRDefault="0044605E" w:rsidP="00BC4AE3">
    <w:pPr>
      <w:pStyle w:val="Koptekst"/>
    </w:pPr>
  </w:p>
  <w:p w14:paraId="00B95FD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CCD668">
      <w:start w:val="1"/>
      <w:numFmt w:val="bullet"/>
      <w:pStyle w:val="Lijstopsomteken"/>
      <w:lvlText w:val="•"/>
      <w:lvlJc w:val="left"/>
      <w:pPr>
        <w:tabs>
          <w:tab w:val="num" w:pos="227"/>
        </w:tabs>
        <w:ind w:left="227" w:hanging="227"/>
      </w:pPr>
      <w:rPr>
        <w:rFonts w:ascii="Verdana" w:hAnsi="Verdana" w:hint="default"/>
        <w:sz w:val="18"/>
        <w:szCs w:val="18"/>
      </w:rPr>
    </w:lvl>
    <w:lvl w:ilvl="1" w:tplc="06BE05DC" w:tentative="1">
      <w:start w:val="1"/>
      <w:numFmt w:val="bullet"/>
      <w:lvlText w:val="o"/>
      <w:lvlJc w:val="left"/>
      <w:pPr>
        <w:tabs>
          <w:tab w:val="num" w:pos="1440"/>
        </w:tabs>
        <w:ind w:left="1440" w:hanging="360"/>
      </w:pPr>
      <w:rPr>
        <w:rFonts w:ascii="Courier New" w:hAnsi="Courier New" w:cs="Courier New" w:hint="default"/>
      </w:rPr>
    </w:lvl>
    <w:lvl w:ilvl="2" w:tplc="05E6C148" w:tentative="1">
      <w:start w:val="1"/>
      <w:numFmt w:val="bullet"/>
      <w:lvlText w:val=""/>
      <w:lvlJc w:val="left"/>
      <w:pPr>
        <w:tabs>
          <w:tab w:val="num" w:pos="2160"/>
        </w:tabs>
        <w:ind w:left="2160" w:hanging="360"/>
      </w:pPr>
      <w:rPr>
        <w:rFonts w:ascii="Wingdings" w:hAnsi="Wingdings" w:hint="default"/>
      </w:rPr>
    </w:lvl>
    <w:lvl w:ilvl="3" w:tplc="99026E94" w:tentative="1">
      <w:start w:val="1"/>
      <w:numFmt w:val="bullet"/>
      <w:lvlText w:val=""/>
      <w:lvlJc w:val="left"/>
      <w:pPr>
        <w:tabs>
          <w:tab w:val="num" w:pos="2880"/>
        </w:tabs>
        <w:ind w:left="2880" w:hanging="360"/>
      </w:pPr>
      <w:rPr>
        <w:rFonts w:ascii="Symbol" w:hAnsi="Symbol" w:hint="default"/>
      </w:rPr>
    </w:lvl>
    <w:lvl w:ilvl="4" w:tplc="7D98D804" w:tentative="1">
      <w:start w:val="1"/>
      <w:numFmt w:val="bullet"/>
      <w:lvlText w:val="o"/>
      <w:lvlJc w:val="left"/>
      <w:pPr>
        <w:tabs>
          <w:tab w:val="num" w:pos="3600"/>
        </w:tabs>
        <w:ind w:left="3600" w:hanging="360"/>
      </w:pPr>
      <w:rPr>
        <w:rFonts w:ascii="Courier New" w:hAnsi="Courier New" w:cs="Courier New" w:hint="default"/>
      </w:rPr>
    </w:lvl>
    <w:lvl w:ilvl="5" w:tplc="AD7A93A8" w:tentative="1">
      <w:start w:val="1"/>
      <w:numFmt w:val="bullet"/>
      <w:lvlText w:val=""/>
      <w:lvlJc w:val="left"/>
      <w:pPr>
        <w:tabs>
          <w:tab w:val="num" w:pos="4320"/>
        </w:tabs>
        <w:ind w:left="4320" w:hanging="360"/>
      </w:pPr>
      <w:rPr>
        <w:rFonts w:ascii="Wingdings" w:hAnsi="Wingdings" w:hint="default"/>
      </w:rPr>
    </w:lvl>
    <w:lvl w:ilvl="6" w:tplc="10F6EACC" w:tentative="1">
      <w:start w:val="1"/>
      <w:numFmt w:val="bullet"/>
      <w:lvlText w:val=""/>
      <w:lvlJc w:val="left"/>
      <w:pPr>
        <w:tabs>
          <w:tab w:val="num" w:pos="5040"/>
        </w:tabs>
        <w:ind w:left="5040" w:hanging="360"/>
      </w:pPr>
      <w:rPr>
        <w:rFonts w:ascii="Symbol" w:hAnsi="Symbol" w:hint="default"/>
      </w:rPr>
    </w:lvl>
    <w:lvl w:ilvl="7" w:tplc="4C94487A" w:tentative="1">
      <w:start w:val="1"/>
      <w:numFmt w:val="bullet"/>
      <w:lvlText w:val="o"/>
      <w:lvlJc w:val="left"/>
      <w:pPr>
        <w:tabs>
          <w:tab w:val="num" w:pos="5760"/>
        </w:tabs>
        <w:ind w:left="5760" w:hanging="360"/>
      </w:pPr>
      <w:rPr>
        <w:rFonts w:ascii="Courier New" w:hAnsi="Courier New" w:cs="Courier New" w:hint="default"/>
      </w:rPr>
    </w:lvl>
    <w:lvl w:ilvl="8" w:tplc="003AF5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A10A1C2">
      <w:start w:val="1"/>
      <w:numFmt w:val="bullet"/>
      <w:pStyle w:val="Lijstopsomteken2"/>
      <w:lvlText w:val="–"/>
      <w:lvlJc w:val="left"/>
      <w:pPr>
        <w:tabs>
          <w:tab w:val="num" w:pos="227"/>
        </w:tabs>
        <w:ind w:left="227" w:firstLine="0"/>
      </w:pPr>
      <w:rPr>
        <w:rFonts w:ascii="Verdana" w:hAnsi="Verdana" w:hint="default"/>
      </w:rPr>
    </w:lvl>
    <w:lvl w:ilvl="1" w:tplc="1550FB54" w:tentative="1">
      <w:start w:val="1"/>
      <w:numFmt w:val="bullet"/>
      <w:lvlText w:val="o"/>
      <w:lvlJc w:val="left"/>
      <w:pPr>
        <w:tabs>
          <w:tab w:val="num" w:pos="1440"/>
        </w:tabs>
        <w:ind w:left="1440" w:hanging="360"/>
      </w:pPr>
      <w:rPr>
        <w:rFonts w:ascii="Courier New" w:hAnsi="Courier New" w:cs="Courier New" w:hint="default"/>
      </w:rPr>
    </w:lvl>
    <w:lvl w:ilvl="2" w:tplc="7640F36E" w:tentative="1">
      <w:start w:val="1"/>
      <w:numFmt w:val="bullet"/>
      <w:lvlText w:val=""/>
      <w:lvlJc w:val="left"/>
      <w:pPr>
        <w:tabs>
          <w:tab w:val="num" w:pos="2160"/>
        </w:tabs>
        <w:ind w:left="2160" w:hanging="360"/>
      </w:pPr>
      <w:rPr>
        <w:rFonts w:ascii="Wingdings" w:hAnsi="Wingdings" w:hint="default"/>
      </w:rPr>
    </w:lvl>
    <w:lvl w:ilvl="3" w:tplc="52B424BA" w:tentative="1">
      <w:start w:val="1"/>
      <w:numFmt w:val="bullet"/>
      <w:lvlText w:val=""/>
      <w:lvlJc w:val="left"/>
      <w:pPr>
        <w:tabs>
          <w:tab w:val="num" w:pos="2880"/>
        </w:tabs>
        <w:ind w:left="2880" w:hanging="360"/>
      </w:pPr>
      <w:rPr>
        <w:rFonts w:ascii="Symbol" w:hAnsi="Symbol" w:hint="default"/>
      </w:rPr>
    </w:lvl>
    <w:lvl w:ilvl="4" w:tplc="38ACAA4C" w:tentative="1">
      <w:start w:val="1"/>
      <w:numFmt w:val="bullet"/>
      <w:lvlText w:val="o"/>
      <w:lvlJc w:val="left"/>
      <w:pPr>
        <w:tabs>
          <w:tab w:val="num" w:pos="3600"/>
        </w:tabs>
        <w:ind w:left="3600" w:hanging="360"/>
      </w:pPr>
      <w:rPr>
        <w:rFonts w:ascii="Courier New" w:hAnsi="Courier New" w:cs="Courier New" w:hint="default"/>
      </w:rPr>
    </w:lvl>
    <w:lvl w:ilvl="5" w:tplc="A0A6A324" w:tentative="1">
      <w:start w:val="1"/>
      <w:numFmt w:val="bullet"/>
      <w:lvlText w:val=""/>
      <w:lvlJc w:val="left"/>
      <w:pPr>
        <w:tabs>
          <w:tab w:val="num" w:pos="4320"/>
        </w:tabs>
        <w:ind w:left="4320" w:hanging="360"/>
      </w:pPr>
      <w:rPr>
        <w:rFonts w:ascii="Wingdings" w:hAnsi="Wingdings" w:hint="default"/>
      </w:rPr>
    </w:lvl>
    <w:lvl w:ilvl="6" w:tplc="1416FDE4" w:tentative="1">
      <w:start w:val="1"/>
      <w:numFmt w:val="bullet"/>
      <w:lvlText w:val=""/>
      <w:lvlJc w:val="left"/>
      <w:pPr>
        <w:tabs>
          <w:tab w:val="num" w:pos="5040"/>
        </w:tabs>
        <w:ind w:left="5040" w:hanging="360"/>
      </w:pPr>
      <w:rPr>
        <w:rFonts w:ascii="Symbol" w:hAnsi="Symbol" w:hint="default"/>
      </w:rPr>
    </w:lvl>
    <w:lvl w:ilvl="7" w:tplc="BBF05506" w:tentative="1">
      <w:start w:val="1"/>
      <w:numFmt w:val="bullet"/>
      <w:lvlText w:val="o"/>
      <w:lvlJc w:val="left"/>
      <w:pPr>
        <w:tabs>
          <w:tab w:val="num" w:pos="5760"/>
        </w:tabs>
        <w:ind w:left="5760" w:hanging="360"/>
      </w:pPr>
      <w:rPr>
        <w:rFonts w:ascii="Courier New" w:hAnsi="Courier New" w:cs="Courier New" w:hint="default"/>
      </w:rPr>
    </w:lvl>
    <w:lvl w:ilvl="8" w:tplc="5E16E2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C3F4B"/>
    <w:multiLevelType w:val="multilevel"/>
    <w:tmpl w:val="D348088A"/>
    <w:lvl w:ilvl="0">
      <w:start w:val="250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4F009F"/>
    <w:multiLevelType w:val="hybridMultilevel"/>
    <w:tmpl w:val="16620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B47BA2"/>
    <w:multiLevelType w:val="multilevel"/>
    <w:tmpl w:val="D3447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12922"/>
    <w:multiLevelType w:val="hybridMultilevel"/>
    <w:tmpl w:val="4FC6B6D6"/>
    <w:lvl w:ilvl="0" w:tplc="EE64FD26">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9A7C4F"/>
    <w:multiLevelType w:val="multilevel"/>
    <w:tmpl w:val="799A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5E1D18"/>
    <w:multiLevelType w:val="hybridMultilevel"/>
    <w:tmpl w:val="2DBAA79C"/>
    <w:lvl w:ilvl="0" w:tplc="1FB8288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7C617296"/>
    <w:multiLevelType w:val="hybridMultilevel"/>
    <w:tmpl w:val="83082DAE"/>
    <w:lvl w:ilvl="0" w:tplc="EE64FD2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3595631">
    <w:abstractNumId w:val="10"/>
  </w:num>
  <w:num w:numId="2" w16cid:durableId="1614359316">
    <w:abstractNumId w:val="7"/>
  </w:num>
  <w:num w:numId="3" w16cid:durableId="803544942">
    <w:abstractNumId w:val="6"/>
  </w:num>
  <w:num w:numId="4" w16cid:durableId="2113164354">
    <w:abstractNumId w:val="5"/>
  </w:num>
  <w:num w:numId="5" w16cid:durableId="562524749">
    <w:abstractNumId w:val="4"/>
  </w:num>
  <w:num w:numId="6" w16cid:durableId="1813595179">
    <w:abstractNumId w:val="8"/>
  </w:num>
  <w:num w:numId="7" w16cid:durableId="1715885583">
    <w:abstractNumId w:val="3"/>
  </w:num>
  <w:num w:numId="8" w16cid:durableId="226844247">
    <w:abstractNumId w:val="2"/>
  </w:num>
  <w:num w:numId="9" w16cid:durableId="691882259">
    <w:abstractNumId w:val="1"/>
  </w:num>
  <w:num w:numId="10" w16cid:durableId="1426924334">
    <w:abstractNumId w:val="0"/>
  </w:num>
  <w:num w:numId="11" w16cid:durableId="242226275">
    <w:abstractNumId w:val="9"/>
  </w:num>
  <w:num w:numId="12" w16cid:durableId="61175670">
    <w:abstractNumId w:val="11"/>
  </w:num>
  <w:num w:numId="13" w16cid:durableId="856650828">
    <w:abstractNumId w:val="16"/>
  </w:num>
  <w:num w:numId="14" w16cid:durableId="614289500">
    <w:abstractNumId w:val="12"/>
  </w:num>
  <w:num w:numId="15" w16cid:durableId="757361739">
    <w:abstractNumId w:val="20"/>
  </w:num>
  <w:num w:numId="16" w16cid:durableId="991250882">
    <w:abstractNumId w:val="15"/>
  </w:num>
  <w:num w:numId="17" w16cid:durableId="1872569144">
    <w:abstractNumId w:val="14"/>
  </w:num>
  <w:num w:numId="18" w16cid:durableId="1255631571">
    <w:abstractNumId w:val="13"/>
  </w:num>
  <w:num w:numId="19" w16cid:durableId="2048796200">
    <w:abstractNumId w:val="17"/>
  </w:num>
  <w:num w:numId="20" w16cid:durableId="2144618665">
    <w:abstractNumId w:val="18"/>
  </w:num>
  <w:num w:numId="21" w16cid:durableId="138911180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457"/>
    <w:rsid w:val="00002C8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6C2"/>
    <w:rsid w:val="00093ABC"/>
    <w:rsid w:val="00096680"/>
    <w:rsid w:val="000A0F36"/>
    <w:rsid w:val="000A174A"/>
    <w:rsid w:val="000A3E0A"/>
    <w:rsid w:val="000A65AC"/>
    <w:rsid w:val="000B08F4"/>
    <w:rsid w:val="000B7281"/>
    <w:rsid w:val="000B7FAB"/>
    <w:rsid w:val="000C1BA1"/>
    <w:rsid w:val="000C3EA9"/>
    <w:rsid w:val="000C4A32"/>
    <w:rsid w:val="000C65BB"/>
    <w:rsid w:val="000C7119"/>
    <w:rsid w:val="000D0225"/>
    <w:rsid w:val="000D249E"/>
    <w:rsid w:val="000D6399"/>
    <w:rsid w:val="000D7990"/>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B6C58"/>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9EB"/>
    <w:rsid w:val="00222D66"/>
    <w:rsid w:val="0022441A"/>
    <w:rsid w:val="00224A8A"/>
    <w:rsid w:val="002309A8"/>
    <w:rsid w:val="00236CFE"/>
    <w:rsid w:val="00237CFD"/>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877EE"/>
    <w:rsid w:val="00393696"/>
    <w:rsid w:val="00393963"/>
    <w:rsid w:val="00395575"/>
    <w:rsid w:val="00395672"/>
    <w:rsid w:val="00396F6E"/>
    <w:rsid w:val="003A06C8"/>
    <w:rsid w:val="003A0D7C"/>
    <w:rsid w:val="003A7160"/>
    <w:rsid w:val="003B0155"/>
    <w:rsid w:val="003B09DB"/>
    <w:rsid w:val="003B4551"/>
    <w:rsid w:val="003B528D"/>
    <w:rsid w:val="003B7EE7"/>
    <w:rsid w:val="003C2CCB"/>
    <w:rsid w:val="003C4A1C"/>
    <w:rsid w:val="003C5BCB"/>
    <w:rsid w:val="003C5C6C"/>
    <w:rsid w:val="003D39EC"/>
    <w:rsid w:val="003D40EA"/>
    <w:rsid w:val="003E3DD5"/>
    <w:rsid w:val="003E4E3B"/>
    <w:rsid w:val="003F07C6"/>
    <w:rsid w:val="003F1F6B"/>
    <w:rsid w:val="003F3757"/>
    <w:rsid w:val="003F44B7"/>
    <w:rsid w:val="004008E9"/>
    <w:rsid w:val="00407991"/>
    <w:rsid w:val="0041019E"/>
    <w:rsid w:val="00413D48"/>
    <w:rsid w:val="004165AB"/>
    <w:rsid w:val="00424A60"/>
    <w:rsid w:val="00426992"/>
    <w:rsid w:val="00434042"/>
    <w:rsid w:val="00434500"/>
    <w:rsid w:val="00441AC2"/>
    <w:rsid w:val="0044249B"/>
    <w:rsid w:val="004425A7"/>
    <w:rsid w:val="0044605E"/>
    <w:rsid w:val="0045023C"/>
    <w:rsid w:val="00451A5B"/>
    <w:rsid w:val="00452BCD"/>
    <w:rsid w:val="00452CEA"/>
    <w:rsid w:val="00462F9A"/>
    <w:rsid w:val="00463A63"/>
    <w:rsid w:val="004657D5"/>
    <w:rsid w:val="00465B52"/>
    <w:rsid w:val="0046708E"/>
    <w:rsid w:val="00467D61"/>
    <w:rsid w:val="0047126E"/>
    <w:rsid w:val="00471DBD"/>
    <w:rsid w:val="004722BE"/>
    <w:rsid w:val="00472A65"/>
    <w:rsid w:val="00474463"/>
    <w:rsid w:val="00474B75"/>
    <w:rsid w:val="00483ECA"/>
    <w:rsid w:val="00483F0B"/>
    <w:rsid w:val="0049501A"/>
    <w:rsid w:val="00496319"/>
    <w:rsid w:val="0049657E"/>
    <w:rsid w:val="0049688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4EA2"/>
    <w:rsid w:val="004D505E"/>
    <w:rsid w:val="004D67E8"/>
    <w:rsid w:val="004D72CA"/>
    <w:rsid w:val="004E2242"/>
    <w:rsid w:val="004F0F6D"/>
    <w:rsid w:val="004F2483"/>
    <w:rsid w:val="004F42FF"/>
    <w:rsid w:val="004F44C2"/>
    <w:rsid w:val="004F715A"/>
    <w:rsid w:val="00505262"/>
    <w:rsid w:val="005107B1"/>
    <w:rsid w:val="00511066"/>
    <w:rsid w:val="00516022"/>
    <w:rsid w:val="00516058"/>
    <w:rsid w:val="005178C5"/>
    <w:rsid w:val="005201B4"/>
    <w:rsid w:val="00521CEE"/>
    <w:rsid w:val="00527BD4"/>
    <w:rsid w:val="00533061"/>
    <w:rsid w:val="00533FA1"/>
    <w:rsid w:val="00534C77"/>
    <w:rsid w:val="005403C8"/>
    <w:rsid w:val="00541AD9"/>
    <w:rsid w:val="005429DC"/>
    <w:rsid w:val="0055248B"/>
    <w:rsid w:val="00552523"/>
    <w:rsid w:val="005565F9"/>
    <w:rsid w:val="00562E10"/>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4F7F"/>
    <w:rsid w:val="005A7512"/>
    <w:rsid w:val="005B3441"/>
    <w:rsid w:val="005B463E"/>
    <w:rsid w:val="005B4FAC"/>
    <w:rsid w:val="005B5D8B"/>
    <w:rsid w:val="005C25FE"/>
    <w:rsid w:val="005C34E1"/>
    <w:rsid w:val="005C3FE0"/>
    <w:rsid w:val="005C4C82"/>
    <w:rsid w:val="005C740C"/>
    <w:rsid w:val="005D283A"/>
    <w:rsid w:val="005D625B"/>
    <w:rsid w:val="005D7733"/>
    <w:rsid w:val="005E0762"/>
    <w:rsid w:val="005E3322"/>
    <w:rsid w:val="005E436C"/>
    <w:rsid w:val="005E64E2"/>
    <w:rsid w:val="005F46C5"/>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2791"/>
    <w:rsid w:val="006534D0"/>
    <w:rsid w:val="00653606"/>
    <w:rsid w:val="006610E9"/>
    <w:rsid w:val="00661591"/>
    <w:rsid w:val="00662A78"/>
    <w:rsid w:val="00663187"/>
    <w:rsid w:val="006642BF"/>
    <w:rsid w:val="0066632F"/>
    <w:rsid w:val="00674A89"/>
    <w:rsid w:val="00674F3D"/>
    <w:rsid w:val="00680B79"/>
    <w:rsid w:val="00682E02"/>
    <w:rsid w:val="00685545"/>
    <w:rsid w:val="006864B3"/>
    <w:rsid w:val="00686AED"/>
    <w:rsid w:val="00687511"/>
    <w:rsid w:val="00687780"/>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1A29"/>
    <w:rsid w:val="006F273B"/>
    <w:rsid w:val="006F31F2"/>
    <w:rsid w:val="00704317"/>
    <w:rsid w:val="00704845"/>
    <w:rsid w:val="00706AB3"/>
    <w:rsid w:val="00714DC5"/>
    <w:rsid w:val="00715237"/>
    <w:rsid w:val="007174F4"/>
    <w:rsid w:val="00721D2E"/>
    <w:rsid w:val="007242CC"/>
    <w:rsid w:val="00724A8B"/>
    <w:rsid w:val="007254A5"/>
    <w:rsid w:val="007256CB"/>
    <w:rsid w:val="00725748"/>
    <w:rsid w:val="00727AAC"/>
    <w:rsid w:val="00730C77"/>
    <w:rsid w:val="00735D88"/>
    <w:rsid w:val="0073720D"/>
    <w:rsid w:val="00737507"/>
    <w:rsid w:val="00740712"/>
    <w:rsid w:val="00741309"/>
    <w:rsid w:val="00742AB9"/>
    <w:rsid w:val="00751A6A"/>
    <w:rsid w:val="00754787"/>
    <w:rsid w:val="00754AD6"/>
    <w:rsid w:val="00754FBF"/>
    <w:rsid w:val="00757EAE"/>
    <w:rsid w:val="007615AC"/>
    <w:rsid w:val="00764585"/>
    <w:rsid w:val="00767FEF"/>
    <w:rsid w:val="007709EF"/>
    <w:rsid w:val="00772DC6"/>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5402"/>
    <w:rsid w:val="007C7573"/>
    <w:rsid w:val="007D40AC"/>
    <w:rsid w:val="007E14E4"/>
    <w:rsid w:val="007E2B20"/>
    <w:rsid w:val="007F5331"/>
    <w:rsid w:val="00800CCA"/>
    <w:rsid w:val="00801A16"/>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091"/>
    <w:rsid w:val="008431FA"/>
    <w:rsid w:val="008547BA"/>
    <w:rsid w:val="008553C7"/>
    <w:rsid w:val="00857FEB"/>
    <w:rsid w:val="008601AF"/>
    <w:rsid w:val="00863A34"/>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1069"/>
    <w:rsid w:val="00962F2A"/>
    <w:rsid w:val="00963440"/>
    <w:rsid w:val="009716D8"/>
    <w:rsid w:val="009718F9"/>
    <w:rsid w:val="009724E4"/>
    <w:rsid w:val="00972FB9"/>
    <w:rsid w:val="00973879"/>
    <w:rsid w:val="00975112"/>
    <w:rsid w:val="009812EB"/>
    <w:rsid w:val="00981768"/>
    <w:rsid w:val="00983644"/>
    <w:rsid w:val="009838BB"/>
    <w:rsid w:val="00983E8F"/>
    <w:rsid w:val="00992338"/>
    <w:rsid w:val="00994FDA"/>
    <w:rsid w:val="00997D15"/>
    <w:rsid w:val="009A31BF"/>
    <w:rsid w:val="009A3B71"/>
    <w:rsid w:val="009A4DBA"/>
    <w:rsid w:val="009A5914"/>
    <w:rsid w:val="009A61BC"/>
    <w:rsid w:val="009B0138"/>
    <w:rsid w:val="009B0FE9"/>
    <w:rsid w:val="009B173A"/>
    <w:rsid w:val="009B2F3C"/>
    <w:rsid w:val="009B5846"/>
    <w:rsid w:val="009B601B"/>
    <w:rsid w:val="009B64AA"/>
    <w:rsid w:val="009C3F20"/>
    <w:rsid w:val="009C64FB"/>
    <w:rsid w:val="009C7CA1"/>
    <w:rsid w:val="009D043D"/>
    <w:rsid w:val="009D716F"/>
    <w:rsid w:val="009E3B07"/>
    <w:rsid w:val="009F3259"/>
    <w:rsid w:val="009F541F"/>
    <w:rsid w:val="00A056DE"/>
    <w:rsid w:val="00A0678A"/>
    <w:rsid w:val="00A1289E"/>
    <w:rsid w:val="00A128AD"/>
    <w:rsid w:val="00A13091"/>
    <w:rsid w:val="00A20730"/>
    <w:rsid w:val="00A21E76"/>
    <w:rsid w:val="00A23BC8"/>
    <w:rsid w:val="00A2531F"/>
    <w:rsid w:val="00A2745D"/>
    <w:rsid w:val="00A30E68"/>
    <w:rsid w:val="00A31933"/>
    <w:rsid w:val="00A32073"/>
    <w:rsid w:val="00A34AA0"/>
    <w:rsid w:val="00A41FE2"/>
    <w:rsid w:val="00A421A1"/>
    <w:rsid w:val="00A46FEF"/>
    <w:rsid w:val="00A47948"/>
    <w:rsid w:val="00A50CF6"/>
    <w:rsid w:val="00A51C81"/>
    <w:rsid w:val="00A54A81"/>
    <w:rsid w:val="00A56850"/>
    <w:rsid w:val="00A56946"/>
    <w:rsid w:val="00A604D3"/>
    <w:rsid w:val="00A60B58"/>
    <w:rsid w:val="00A6170E"/>
    <w:rsid w:val="00A63B8C"/>
    <w:rsid w:val="00A67AC7"/>
    <w:rsid w:val="00A715F8"/>
    <w:rsid w:val="00A741BA"/>
    <w:rsid w:val="00A76BF5"/>
    <w:rsid w:val="00A773CC"/>
    <w:rsid w:val="00A77F6F"/>
    <w:rsid w:val="00A831FD"/>
    <w:rsid w:val="00A83352"/>
    <w:rsid w:val="00A850A2"/>
    <w:rsid w:val="00A91FA3"/>
    <w:rsid w:val="00A927D3"/>
    <w:rsid w:val="00A9429A"/>
    <w:rsid w:val="00A96823"/>
    <w:rsid w:val="00AA32E7"/>
    <w:rsid w:val="00AA4BDC"/>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4904"/>
    <w:rsid w:val="00B0690C"/>
    <w:rsid w:val="00B070CB"/>
    <w:rsid w:val="00B12456"/>
    <w:rsid w:val="00B132B0"/>
    <w:rsid w:val="00B173C6"/>
    <w:rsid w:val="00B1784A"/>
    <w:rsid w:val="00B20109"/>
    <w:rsid w:val="00B21FF9"/>
    <w:rsid w:val="00B220A5"/>
    <w:rsid w:val="00B2317A"/>
    <w:rsid w:val="00B259C8"/>
    <w:rsid w:val="00B26416"/>
    <w:rsid w:val="00B26CCF"/>
    <w:rsid w:val="00B30FC2"/>
    <w:rsid w:val="00B31BA0"/>
    <w:rsid w:val="00B331A2"/>
    <w:rsid w:val="00B33CF2"/>
    <w:rsid w:val="00B350A2"/>
    <w:rsid w:val="00B425F0"/>
    <w:rsid w:val="00B42DFA"/>
    <w:rsid w:val="00B50571"/>
    <w:rsid w:val="00B531DD"/>
    <w:rsid w:val="00B55014"/>
    <w:rsid w:val="00B62232"/>
    <w:rsid w:val="00B626DD"/>
    <w:rsid w:val="00B65E43"/>
    <w:rsid w:val="00B66E74"/>
    <w:rsid w:val="00B70BF3"/>
    <w:rsid w:val="00B70D24"/>
    <w:rsid w:val="00B70E51"/>
    <w:rsid w:val="00B71DC2"/>
    <w:rsid w:val="00B80DB6"/>
    <w:rsid w:val="00B81AD2"/>
    <w:rsid w:val="00B81AEC"/>
    <w:rsid w:val="00B85A66"/>
    <w:rsid w:val="00B85ED4"/>
    <w:rsid w:val="00B85F07"/>
    <w:rsid w:val="00B91CFC"/>
    <w:rsid w:val="00B93893"/>
    <w:rsid w:val="00BA439D"/>
    <w:rsid w:val="00BA47F4"/>
    <w:rsid w:val="00BA7E0A"/>
    <w:rsid w:val="00BB61B0"/>
    <w:rsid w:val="00BC05DE"/>
    <w:rsid w:val="00BC0D9E"/>
    <w:rsid w:val="00BC3B53"/>
    <w:rsid w:val="00BC3B96"/>
    <w:rsid w:val="00BC4361"/>
    <w:rsid w:val="00BC4AE3"/>
    <w:rsid w:val="00BC5B28"/>
    <w:rsid w:val="00BC7264"/>
    <w:rsid w:val="00BE17D4"/>
    <w:rsid w:val="00BE2863"/>
    <w:rsid w:val="00BE3F88"/>
    <w:rsid w:val="00BE4756"/>
    <w:rsid w:val="00BE5ED9"/>
    <w:rsid w:val="00BE5EE4"/>
    <w:rsid w:val="00BE709C"/>
    <w:rsid w:val="00BE7B41"/>
    <w:rsid w:val="00BF3099"/>
    <w:rsid w:val="00BF4427"/>
    <w:rsid w:val="00BF46B6"/>
    <w:rsid w:val="00BF5675"/>
    <w:rsid w:val="00C11386"/>
    <w:rsid w:val="00C15A91"/>
    <w:rsid w:val="00C206F1"/>
    <w:rsid w:val="00C2159D"/>
    <w:rsid w:val="00C217E1"/>
    <w:rsid w:val="00C219B1"/>
    <w:rsid w:val="00C231E2"/>
    <w:rsid w:val="00C23336"/>
    <w:rsid w:val="00C2703D"/>
    <w:rsid w:val="00C352B6"/>
    <w:rsid w:val="00C4015B"/>
    <w:rsid w:val="00C4044E"/>
    <w:rsid w:val="00C40C60"/>
    <w:rsid w:val="00C44487"/>
    <w:rsid w:val="00C47F04"/>
    <w:rsid w:val="00C50E87"/>
    <w:rsid w:val="00C5258E"/>
    <w:rsid w:val="00C5333A"/>
    <w:rsid w:val="00C53596"/>
    <w:rsid w:val="00C53BD7"/>
    <w:rsid w:val="00C55923"/>
    <w:rsid w:val="00C619A7"/>
    <w:rsid w:val="00C64E34"/>
    <w:rsid w:val="00C6545E"/>
    <w:rsid w:val="00C7097A"/>
    <w:rsid w:val="00C736E8"/>
    <w:rsid w:val="00C73D5F"/>
    <w:rsid w:val="00C818DA"/>
    <w:rsid w:val="00C965EF"/>
    <w:rsid w:val="00C97C80"/>
    <w:rsid w:val="00CA1D00"/>
    <w:rsid w:val="00CA35E4"/>
    <w:rsid w:val="00CA47D3"/>
    <w:rsid w:val="00CA6533"/>
    <w:rsid w:val="00CA6A25"/>
    <w:rsid w:val="00CA6A3F"/>
    <w:rsid w:val="00CA7C99"/>
    <w:rsid w:val="00CC15DE"/>
    <w:rsid w:val="00CC6290"/>
    <w:rsid w:val="00CD233D"/>
    <w:rsid w:val="00CD362D"/>
    <w:rsid w:val="00CD5F62"/>
    <w:rsid w:val="00CE101D"/>
    <w:rsid w:val="00CE1C84"/>
    <w:rsid w:val="00CE4E63"/>
    <w:rsid w:val="00CE5055"/>
    <w:rsid w:val="00CE6426"/>
    <w:rsid w:val="00CE79C9"/>
    <w:rsid w:val="00CF053F"/>
    <w:rsid w:val="00CF11C9"/>
    <w:rsid w:val="00CF1A17"/>
    <w:rsid w:val="00D0140D"/>
    <w:rsid w:val="00D01C92"/>
    <w:rsid w:val="00D030AB"/>
    <w:rsid w:val="00D037A9"/>
    <w:rsid w:val="00D0609E"/>
    <w:rsid w:val="00D078E1"/>
    <w:rsid w:val="00D100E9"/>
    <w:rsid w:val="00D1399C"/>
    <w:rsid w:val="00D15FDE"/>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114"/>
    <w:rsid w:val="00D5423B"/>
    <w:rsid w:val="00D54F4E"/>
    <w:rsid w:val="00D604B3"/>
    <w:rsid w:val="00D60BA4"/>
    <w:rsid w:val="00D62419"/>
    <w:rsid w:val="00D62AD8"/>
    <w:rsid w:val="00D65336"/>
    <w:rsid w:val="00D66074"/>
    <w:rsid w:val="00D74F66"/>
    <w:rsid w:val="00D75B3F"/>
    <w:rsid w:val="00D77870"/>
    <w:rsid w:val="00D80977"/>
    <w:rsid w:val="00D80CCE"/>
    <w:rsid w:val="00D81ACF"/>
    <w:rsid w:val="00D849AF"/>
    <w:rsid w:val="00D86CC6"/>
    <w:rsid w:val="00D86EEA"/>
    <w:rsid w:val="00D87D03"/>
    <w:rsid w:val="00D93170"/>
    <w:rsid w:val="00D9561B"/>
    <w:rsid w:val="00D95C88"/>
    <w:rsid w:val="00D97B2E"/>
    <w:rsid w:val="00DA1BA1"/>
    <w:rsid w:val="00DA241E"/>
    <w:rsid w:val="00DA51B5"/>
    <w:rsid w:val="00DA616A"/>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5A"/>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6542"/>
    <w:rsid w:val="00E307D1"/>
    <w:rsid w:val="00E35710"/>
    <w:rsid w:val="00E35CF4"/>
    <w:rsid w:val="00E3731D"/>
    <w:rsid w:val="00E37811"/>
    <w:rsid w:val="00E468E4"/>
    <w:rsid w:val="00E51469"/>
    <w:rsid w:val="00E54114"/>
    <w:rsid w:val="00E62709"/>
    <w:rsid w:val="00E634E3"/>
    <w:rsid w:val="00E70C97"/>
    <w:rsid w:val="00E717C4"/>
    <w:rsid w:val="00E74D10"/>
    <w:rsid w:val="00E776C6"/>
    <w:rsid w:val="00E77F89"/>
    <w:rsid w:val="00E807FD"/>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CD"/>
    <w:rsid w:val="00EF60DC"/>
    <w:rsid w:val="00EF7E20"/>
    <w:rsid w:val="00F00CCE"/>
    <w:rsid w:val="00F00F54"/>
    <w:rsid w:val="00F01557"/>
    <w:rsid w:val="00F03963"/>
    <w:rsid w:val="00F05507"/>
    <w:rsid w:val="00F0733A"/>
    <w:rsid w:val="00F10807"/>
    <w:rsid w:val="00F10EBB"/>
    <w:rsid w:val="00F11068"/>
    <w:rsid w:val="00F115FD"/>
    <w:rsid w:val="00F1256D"/>
    <w:rsid w:val="00F13404"/>
    <w:rsid w:val="00F13A4E"/>
    <w:rsid w:val="00F1454F"/>
    <w:rsid w:val="00F172BB"/>
    <w:rsid w:val="00F17B10"/>
    <w:rsid w:val="00F17BFE"/>
    <w:rsid w:val="00F20147"/>
    <w:rsid w:val="00F21BEF"/>
    <w:rsid w:val="00F2315B"/>
    <w:rsid w:val="00F31111"/>
    <w:rsid w:val="00F40F11"/>
    <w:rsid w:val="00F41890"/>
    <w:rsid w:val="00F41A6F"/>
    <w:rsid w:val="00F45A25"/>
    <w:rsid w:val="00F50F86"/>
    <w:rsid w:val="00F51A76"/>
    <w:rsid w:val="00F53862"/>
    <w:rsid w:val="00F53C9D"/>
    <w:rsid w:val="00F53F91"/>
    <w:rsid w:val="00F54B9F"/>
    <w:rsid w:val="00F61569"/>
    <w:rsid w:val="00F61A72"/>
    <w:rsid w:val="00F62B67"/>
    <w:rsid w:val="00F64360"/>
    <w:rsid w:val="00F66F13"/>
    <w:rsid w:val="00F7145D"/>
    <w:rsid w:val="00F71B5E"/>
    <w:rsid w:val="00F74073"/>
    <w:rsid w:val="00F75603"/>
    <w:rsid w:val="00F77BE5"/>
    <w:rsid w:val="00F845B4"/>
    <w:rsid w:val="00F8713B"/>
    <w:rsid w:val="00F904FB"/>
    <w:rsid w:val="00F93F9E"/>
    <w:rsid w:val="00F950BC"/>
    <w:rsid w:val="00FA2CD7"/>
    <w:rsid w:val="00FA3A3D"/>
    <w:rsid w:val="00FA5AD5"/>
    <w:rsid w:val="00FA7882"/>
    <w:rsid w:val="00FB06ED"/>
    <w:rsid w:val="00FB55EE"/>
    <w:rsid w:val="00FC08A4"/>
    <w:rsid w:val="00FC202F"/>
    <w:rsid w:val="00FC3165"/>
    <w:rsid w:val="00FC36AB"/>
    <w:rsid w:val="00FC4300"/>
    <w:rsid w:val="00FC7F66"/>
    <w:rsid w:val="00FD5776"/>
    <w:rsid w:val="00FD6A55"/>
    <w:rsid w:val="00FD6CF9"/>
    <w:rsid w:val="00FE1CB6"/>
    <w:rsid w:val="00FE3C05"/>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BFDE7"/>
  <w15:docId w15:val="{8693B31E-1F0E-4A7E-B179-CC2D7F79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0D7990"/>
    <w:pPr>
      <w:ind w:left="720"/>
      <w:contextualSpacing/>
    </w:pPr>
  </w:style>
  <w:style w:type="paragraph" w:styleId="Normaalweb">
    <w:name w:val="Normal (Web)"/>
    <w:basedOn w:val="Standaard"/>
    <w:uiPriority w:val="99"/>
    <w:unhideWhenUsed/>
    <w:rsid w:val="004D4EA2"/>
    <w:pPr>
      <w:spacing w:before="100" w:beforeAutospacing="1" w:after="100" w:afterAutospacing="1" w:line="240" w:lineRule="auto"/>
    </w:pPr>
    <w:rPr>
      <w:rFonts w:ascii="Times New Roman" w:hAnsi="Times New Roman"/>
      <w:sz w:val="24"/>
    </w:rPr>
  </w:style>
  <w:style w:type="character" w:customStyle="1" w:styleId="VoetnoottekstChar">
    <w:name w:val="Voetnoottekst Char"/>
    <w:basedOn w:val="Standaardalinea-lettertype"/>
    <w:link w:val="Voetnoottekst"/>
    <w:uiPriority w:val="99"/>
    <w:semiHidden/>
    <w:rsid w:val="004D4EA2"/>
    <w:rPr>
      <w:rFonts w:ascii="Verdana" w:hAnsi="Verdana"/>
      <w:sz w:val="13"/>
      <w:lang w:val="nl-NL" w:eastAsia="nl-NL"/>
    </w:rPr>
  </w:style>
  <w:style w:type="character" w:styleId="Voetnootmarkering">
    <w:name w:val="footnote reference"/>
    <w:basedOn w:val="Standaardalinea-lettertype"/>
    <w:uiPriority w:val="99"/>
    <w:unhideWhenUsed/>
    <w:rsid w:val="004D4EA2"/>
    <w:rPr>
      <w:vertAlign w:val="superscript"/>
    </w:rPr>
  </w:style>
  <w:style w:type="character" w:styleId="Verwijzingopmerking">
    <w:name w:val="annotation reference"/>
    <w:basedOn w:val="Standaardalinea-lettertype"/>
    <w:rsid w:val="00002C89"/>
    <w:rPr>
      <w:sz w:val="16"/>
      <w:szCs w:val="16"/>
    </w:rPr>
  </w:style>
  <w:style w:type="paragraph" w:styleId="Tekstopmerking">
    <w:name w:val="annotation text"/>
    <w:basedOn w:val="Standaard"/>
    <w:link w:val="TekstopmerkingChar"/>
    <w:rsid w:val="00002C89"/>
    <w:pPr>
      <w:spacing w:line="240" w:lineRule="auto"/>
    </w:pPr>
    <w:rPr>
      <w:sz w:val="20"/>
      <w:szCs w:val="20"/>
    </w:rPr>
  </w:style>
  <w:style w:type="character" w:customStyle="1" w:styleId="TekstopmerkingChar">
    <w:name w:val="Tekst opmerking Char"/>
    <w:basedOn w:val="Standaardalinea-lettertype"/>
    <w:link w:val="Tekstopmerking"/>
    <w:rsid w:val="00002C89"/>
    <w:rPr>
      <w:rFonts w:ascii="Verdana" w:hAnsi="Verdana"/>
      <w:lang w:val="nl-NL" w:eastAsia="nl-NL"/>
    </w:rPr>
  </w:style>
  <w:style w:type="paragraph" w:styleId="Onderwerpvanopmerking">
    <w:name w:val="annotation subject"/>
    <w:basedOn w:val="Tekstopmerking"/>
    <w:next w:val="Tekstopmerking"/>
    <w:link w:val="OnderwerpvanopmerkingChar"/>
    <w:rsid w:val="00002C89"/>
    <w:rPr>
      <w:b/>
      <w:bCs/>
    </w:rPr>
  </w:style>
  <w:style w:type="character" w:customStyle="1" w:styleId="OnderwerpvanopmerkingChar">
    <w:name w:val="Onderwerp van opmerking Char"/>
    <w:basedOn w:val="TekstopmerkingChar"/>
    <w:link w:val="Onderwerpvanopmerking"/>
    <w:rsid w:val="00002C89"/>
    <w:rPr>
      <w:rFonts w:ascii="Verdana" w:hAnsi="Verdana"/>
      <w:b/>
      <w:bCs/>
      <w:lang w:val="nl-NL" w:eastAsia="nl-NL"/>
    </w:rPr>
  </w:style>
  <w:style w:type="character" w:styleId="Onopgelostemelding">
    <w:name w:val="Unresolved Mention"/>
    <w:basedOn w:val="Standaardalinea-lettertype"/>
    <w:uiPriority w:val="99"/>
    <w:semiHidden/>
    <w:unhideWhenUsed/>
    <w:rsid w:val="00EF5BCD"/>
    <w:rPr>
      <w:color w:val="605E5C"/>
      <w:shd w:val="clear" w:color="auto" w:fill="E1DFDD"/>
    </w:rPr>
  </w:style>
  <w:style w:type="paragraph" w:styleId="Revisie">
    <w:name w:val="Revision"/>
    <w:hidden/>
    <w:uiPriority w:val="99"/>
    <w:semiHidden/>
    <w:rsid w:val="0065279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5470">
      <w:bodyDiv w:val="1"/>
      <w:marLeft w:val="0"/>
      <w:marRight w:val="0"/>
      <w:marTop w:val="0"/>
      <w:marBottom w:val="0"/>
      <w:divBdr>
        <w:top w:val="none" w:sz="0" w:space="0" w:color="auto"/>
        <w:left w:val="none" w:sz="0" w:space="0" w:color="auto"/>
        <w:bottom w:val="none" w:sz="0" w:space="0" w:color="auto"/>
        <w:right w:val="none" w:sz="0" w:space="0" w:color="auto"/>
      </w:divBdr>
    </w:div>
    <w:div w:id="598217017">
      <w:bodyDiv w:val="1"/>
      <w:marLeft w:val="0"/>
      <w:marRight w:val="0"/>
      <w:marTop w:val="0"/>
      <w:marBottom w:val="0"/>
      <w:divBdr>
        <w:top w:val="none" w:sz="0" w:space="0" w:color="auto"/>
        <w:left w:val="none" w:sz="0" w:space="0" w:color="auto"/>
        <w:bottom w:val="none" w:sz="0" w:space="0" w:color="auto"/>
        <w:right w:val="none" w:sz="0" w:space="0" w:color="auto"/>
      </w:divBdr>
    </w:div>
    <w:div w:id="8386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orlogvoorderechter.nl/wp-content/uploads/Advies-Ethisch-Beraad-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1609</ap:Words>
  <ap:Characters>8854</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2024-12-06T10:58:00.0000000Z</dcterms:created>
  <dcterms:modified xsi:type="dcterms:W3CDTF">2024-12-06T10:58:00.0000000Z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O203ELF</vt:lpwstr>
  </property>
  <property fmtid="{D5CDD505-2E9C-101B-9397-08002B2CF9AE}" pid="3" name="Author">
    <vt:lpwstr>O203ELF</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waarschuwingsbrief Autoriteit Persoonsgegevens (AP) t.a.v. online toegankelijkheid CABR </vt:lpwstr>
  </property>
  <property fmtid="{D5CDD505-2E9C-101B-9397-08002B2CF9AE}" pid="9" name="ocw_directie">
    <vt:lpwstr>MENC/IB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O203ELF</vt:lpwstr>
  </property>
</Properties>
</file>