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4171" w:rsidP="004C5976" w:rsidRDefault="00514171" w14:paraId="0FC4A26F" w14:textId="77777777">
      <w:pPr>
        <w:rPr>
          <w:rFonts w:eastAsia="Times New Roman" w:asciiTheme="minorHAnsi" w:hAnsiTheme="minorHAnsi"/>
          <w:b/>
          <w:bCs/>
          <w:sz w:val="24"/>
          <w:szCs w:val="24"/>
          <w:lang w:val="en-US" w:eastAsia="en-US"/>
        </w:rPr>
      </w:pPr>
      <w:r w:rsidRPr="00CC7691">
        <w:rPr>
          <w:rFonts w:eastAsia="Times New Roman" w:asciiTheme="minorHAnsi" w:hAnsiTheme="minorHAnsi"/>
          <w:b/>
          <w:bCs/>
          <w:sz w:val="24"/>
          <w:szCs w:val="24"/>
          <w:lang w:val="en-US" w:eastAsia="en-US"/>
        </w:rPr>
        <w:t>Position paper prof. mr. P.A.M. Mevis</w:t>
      </w:r>
    </w:p>
    <w:p w:rsidRPr="00587A2C" w:rsidR="00CC7691" w:rsidP="004C5976" w:rsidRDefault="00DD634F" w14:paraId="330E55D5" w14:textId="64D642DD">
      <w:pPr>
        <w:rPr>
          <w:rFonts w:eastAsia="Times New Roman" w:asciiTheme="minorHAnsi" w:hAnsiTheme="minorHAnsi"/>
          <w:b/>
          <w:bCs/>
          <w:sz w:val="24"/>
          <w:szCs w:val="24"/>
          <w:lang w:eastAsia="en-US"/>
        </w:rPr>
      </w:pPr>
      <w:r w:rsidRPr="00587A2C">
        <w:rPr>
          <w:rFonts w:eastAsia="Times New Roman" w:asciiTheme="minorHAnsi" w:hAnsiTheme="minorHAnsi"/>
          <w:b/>
          <w:bCs/>
          <w:sz w:val="24"/>
          <w:szCs w:val="24"/>
          <w:lang w:eastAsia="en-US"/>
        </w:rPr>
        <w:t xml:space="preserve">t.b.v. </w:t>
      </w:r>
      <w:r w:rsidRPr="00587A2C" w:rsidR="00C32266">
        <w:rPr>
          <w:rFonts w:eastAsia="Times New Roman" w:asciiTheme="minorHAnsi" w:hAnsiTheme="minorHAnsi"/>
          <w:b/>
          <w:bCs/>
          <w:sz w:val="24"/>
          <w:szCs w:val="24"/>
          <w:lang w:eastAsia="en-US"/>
        </w:rPr>
        <w:t xml:space="preserve">Rondetafel-gesprek Tweede Kamer 9 </w:t>
      </w:r>
      <w:r w:rsidRPr="00587A2C" w:rsidR="00CC7691">
        <w:rPr>
          <w:rFonts w:eastAsia="Times New Roman" w:asciiTheme="minorHAnsi" w:hAnsiTheme="minorHAnsi"/>
          <w:b/>
          <w:bCs/>
          <w:sz w:val="24"/>
          <w:szCs w:val="24"/>
          <w:lang w:eastAsia="en-US"/>
        </w:rPr>
        <w:t>December 2024</w:t>
      </w:r>
    </w:p>
    <w:p w:rsidRPr="00587A2C" w:rsidR="005C2F05" w:rsidP="004C5976" w:rsidRDefault="005C2F05" w14:paraId="5210673D" w14:textId="77777777">
      <w:pPr>
        <w:rPr>
          <w:rFonts w:eastAsia="Times New Roman" w:asciiTheme="minorHAnsi" w:hAnsiTheme="minorHAnsi"/>
          <w:sz w:val="24"/>
          <w:szCs w:val="24"/>
          <w:lang w:eastAsia="en-US"/>
        </w:rPr>
      </w:pPr>
    </w:p>
    <w:p w:rsidR="00DA1BC2" w:rsidP="004C5976" w:rsidRDefault="00CD3A75" w14:paraId="51019A53" w14:textId="42F45501">
      <w:pPr>
        <w:rPr>
          <w:rFonts w:asciiTheme="minorHAnsi" w:hAnsiTheme="minorHAnsi"/>
          <w:sz w:val="24"/>
          <w:szCs w:val="24"/>
        </w:rPr>
      </w:pPr>
      <w:r w:rsidRPr="004C5976">
        <w:rPr>
          <w:rFonts w:asciiTheme="minorHAnsi" w:hAnsiTheme="minorHAnsi"/>
          <w:sz w:val="24"/>
          <w:szCs w:val="24"/>
        </w:rPr>
        <w:t xml:space="preserve">De strafbaarstelling van </w:t>
      </w:r>
      <w:r w:rsidR="00511D7D">
        <w:rPr>
          <w:rFonts w:asciiTheme="minorHAnsi" w:hAnsiTheme="minorHAnsi"/>
          <w:sz w:val="24"/>
          <w:szCs w:val="24"/>
        </w:rPr>
        <w:t xml:space="preserve">– kortweg – hulp bij zelfdoding van </w:t>
      </w:r>
      <w:r w:rsidRPr="004C5976">
        <w:rPr>
          <w:rFonts w:asciiTheme="minorHAnsi" w:hAnsiTheme="minorHAnsi"/>
          <w:sz w:val="24"/>
          <w:szCs w:val="24"/>
        </w:rPr>
        <w:t xml:space="preserve">art. 294 lid 2 Sr </w:t>
      </w:r>
      <w:r w:rsidR="00511D7D">
        <w:rPr>
          <w:rFonts w:asciiTheme="minorHAnsi" w:hAnsiTheme="minorHAnsi"/>
          <w:sz w:val="24"/>
          <w:szCs w:val="24"/>
        </w:rPr>
        <w:t xml:space="preserve">is </w:t>
      </w:r>
      <w:r w:rsidRPr="004C5976">
        <w:rPr>
          <w:rFonts w:asciiTheme="minorHAnsi" w:hAnsiTheme="minorHAnsi"/>
          <w:sz w:val="24"/>
          <w:szCs w:val="24"/>
        </w:rPr>
        <w:t xml:space="preserve">gericht op </w:t>
      </w:r>
      <w:r w:rsidR="00B6718F">
        <w:rPr>
          <w:rFonts w:asciiTheme="minorHAnsi" w:hAnsiTheme="minorHAnsi"/>
          <w:sz w:val="24"/>
          <w:szCs w:val="24"/>
        </w:rPr>
        <w:t xml:space="preserve">het uitdrukken </w:t>
      </w:r>
      <w:r w:rsidR="007E5823">
        <w:rPr>
          <w:rFonts w:asciiTheme="minorHAnsi" w:hAnsiTheme="minorHAnsi"/>
          <w:sz w:val="24"/>
          <w:szCs w:val="24"/>
        </w:rPr>
        <w:t xml:space="preserve">en beschermen </w:t>
      </w:r>
      <w:r w:rsidR="00B6718F">
        <w:rPr>
          <w:rFonts w:asciiTheme="minorHAnsi" w:hAnsiTheme="minorHAnsi"/>
          <w:sz w:val="24"/>
          <w:szCs w:val="24"/>
        </w:rPr>
        <w:t xml:space="preserve">van de eerbied voor het leven als </w:t>
      </w:r>
      <w:r w:rsidR="00930691">
        <w:rPr>
          <w:rFonts w:asciiTheme="minorHAnsi" w:hAnsiTheme="minorHAnsi"/>
          <w:sz w:val="24"/>
          <w:szCs w:val="24"/>
        </w:rPr>
        <w:t xml:space="preserve">een belangrijk </w:t>
      </w:r>
      <w:r w:rsidR="00B6718F">
        <w:rPr>
          <w:rFonts w:asciiTheme="minorHAnsi" w:hAnsiTheme="minorHAnsi"/>
          <w:sz w:val="24"/>
          <w:szCs w:val="24"/>
        </w:rPr>
        <w:t>algemeen rechtsgoed</w:t>
      </w:r>
      <w:r w:rsidR="00F141E6">
        <w:rPr>
          <w:rFonts w:asciiTheme="minorHAnsi" w:hAnsiTheme="minorHAnsi"/>
          <w:sz w:val="24"/>
          <w:szCs w:val="24"/>
        </w:rPr>
        <w:t xml:space="preserve">. En in dat kader </w:t>
      </w:r>
      <w:r w:rsidR="003C3276">
        <w:rPr>
          <w:rFonts w:asciiTheme="minorHAnsi" w:hAnsiTheme="minorHAnsi"/>
          <w:sz w:val="24"/>
          <w:szCs w:val="24"/>
        </w:rPr>
        <w:t xml:space="preserve">ook, maar niet alleen, op </w:t>
      </w:r>
      <w:r w:rsidRPr="004C5976">
        <w:rPr>
          <w:rFonts w:asciiTheme="minorHAnsi" w:hAnsiTheme="minorHAnsi"/>
          <w:sz w:val="24"/>
          <w:szCs w:val="24"/>
        </w:rPr>
        <w:t xml:space="preserve">bescherming van het leven tegen </w:t>
      </w:r>
      <w:r w:rsidR="003C3276">
        <w:rPr>
          <w:rFonts w:asciiTheme="minorHAnsi" w:hAnsiTheme="minorHAnsi"/>
          <w:sz w:val="24"/>
          <w:szCs w:val="24"/>
        </w:rPr>
        <w:t xml:space="preserve">een </w:t>
      </w:r>
      <w:r w:rsidRPr="004C5976">
        <w:rPr>
          <w:rFonts w:asciiTheme="minorHAnsi" w:hAnsiTheme="minorHAnsi"/>
          <w:sz w:val="24"/>
          <w:szCs w:val="24"/>
        </w:rPr>
        <w:t xml:space="preserve">te </w:t>
      </w:r>
      <w:r w:rsidR="00011A78">
        <w:rPr>
          <w:rFonts w:asciiTheme="minorHAnsi" w:hAnsiTheme="minorHAnsi"/>
          <w:sz w:val="24"/>
          <w:szCs w:val="24"/>
        </w:rPr>
        <w:t>‘</w:t>
      </w:r>
      <w:r w:rsidRPr="004C5976">
        <w:rPr>
          <w:rFonts w:asciiTheme="minorHAnsi" w:hAnsiTheme="minorHAnsi"/>
          <w:sz w:val="24"/>
          <w:szCs w:val="24"/>
        </w:rPr>
        <w:t>gemakkelijke</w:t>
      </w:r>
      <w:r w:rsidR="00011A78">
        <w:rPr>
          <w:rFonts w:asciiTheme="minorHAnsi" w:hAnsiTheme="minorHAnsi"/>
          <w:sz w:val="24"/>
          <w:szCs w:val="24"/>
        </w:rPr>
        <w:t>’</w:t>
      </w:r>
      <w:r w:rsidR="003C3276">
        <w:rPr>
          <w:rFonts w:asciiTheme="minorHAnsi" w:hAnsiTheme="minorHAnsi"/>
          <w:sz w:val="24"/>
          <w:szCs w:val="24"/>
        </w:rPr>
        <w:t xml:space="preserve"> of</w:t>
      </w:r>
      <w:r w:rsidR="00011A78">
        <w:rPr>
          <w:rFonts w:asciiTheme="minorHAnsi" w:hAnsiTheme="minorHAnsi"/>
          <w:sz w:val="24"/>
          <w:szCs w:val="24"/>
        </w:rPr>
        <w:t xml:space="preserve"> onzorgvuldige bijdrage </w:t>
      </w:r>
      <w:r w:rsidR="00A4040B">
        <w:rPr>
          <w:rFonts w:asciiTheme="minorHAnsi" w:hAnsiTheme="minorHAnsi"/>
          <w:sz w:val="24"/>
          <w:szCs w:val="24"/>
        </w:rPr>
        <w:t xml:space="preserve">van een ‘derde’ </w:t>
      </w:r>
      <w:r w:rsidR="00011A78">
        <w:rPr>
          <w:rFonts w:asciiTheme="minorHAnsi" w:hAnsiTheme="minorHAnsi"/>
          <w:sz w:val="24"/>
          <w:szCs w:val="24"/>
        </w:rPr>
        <w:t xml:space="preserve">aan een </w:t>
      </w:r>
      <w:r w:rsidR="00F141E6">
        <w:rPr>
          <w:rFonts w:asciiTheme="minorHAnsi" w:hAnsiTheme="minorHAnsi"/>
          <w:sz w:val="24"/>
          <w:szCs w:val="24"/>
        </w:rPr>
        <w:t xml:space="preserve">besluit tot </w:t>
      </w:r>
      <w:r w:rsidR="00011A78">
        <w:rPr>
          <w:rFonts w:asciiTheme="minorHAnsi" w:hAnsiTheme="minorHAnsi"/>
          <w:sz w:val="24"/>
          <w:szCs w:val="24"/>
        </w:rPr>
        <w:t>dergelijke levensbeëindiging</w:t>
      </w:r>
      <w:r w:rsidR="00D1562F">
        <w:rPr>
          <w:rFonts w:asciiTheme="minorHAnsi" w:hAnsiTheme="minorHAnsi"/>
          <w:sz w:val="24"/>
          <w:szCs w:val="24"/>
        </w:rPr>
        <w:t>.</w:t>
      </w:r>
      <w:r w:rsidR="00462947">
        <w:rPr>
          <w:rFonts w:asciiTheme="minorHAnsi" w:hAnsiTheme="minorHAnsi"/>
          <w:sz w:val="24"/>
          <w:szCs w:val="24"/>
        </w:rPr>
        <w:t xml:space="preserve"> </w:t>
      </w:r>
      <w:r w:rsidR="00D465F1">
        <w:rPr>
          <w:rFonts w:asciiTheme="minorHAnsi" w:hAnsiTheme="minorHAnsi"/>
          <w:sz w:val="24"/>
          <w:szCs w:val="24"/>
        </w:rPr>
        <w:t xml:space="preserve">Het enkele verzoek om hulp bij de levensbeëindiging is in dat kader niet voldoende. </w:t>
      </w:r>
      <w:r w:rsidR="00DA1BC2">
        <w:rPr>
          <w:rFonts w:asciiTheme="minorHAnsi" w:hAnsiTheme="minorHAnsi"/>
          <w:sz w:val="24"/>
          <w:szCs w:val="24"/>
        </w:rPr>
        <w:t>Daarin komt tot uitdrukking dat hulp bij zelfdoding, net als levensbeëindiging op verzoek</w:t>
      </w:r>
      <w:r w:rsidR="00E509D1">
        <w:rPr>
          <w:rFonts w:asciiTheme="minorHAnsi" w:hAnsiTheme="minorHAnsi"/>
          <w:sz w:val="24"/>
          <w:szCs w:val="24"/>
        </w:rPr>
        <w:t xml:space="preserve">, onderwerpen zijn die grote zorgvuldigheid vereisen, inclusief het adequaat bewaken van grenzen. </w:t>
      </w:r>
    </w:p>
    <w:p w:rsidR="00DA1BC2" w:rsidP="004C5976" w:rsidRDefault="00DA1BC2" w14:paraId="6171A4DC" w14:textId="77777777">
      <w:pPr>
        <w:rPr>
          <w:rFonts w:asciiTheme="minorHAnsi" w:hAnsiTheme="minorHAnsi"/>
          <w:sz w:val="24"/>
          <w:szCs w:val="24"/>
        </w:rPr>
      </w:pPr>
    </w:p>
    <w:p w:rsidRPr="004C5976" w:rsidR="00CD3A75" w:rsidP="004C5976" w:rsidRDefault="00CD3A75" w14:paraId="54A03CB4" w14:textId="28AC53FF">
      <w:pPr>
        <w:rPr>
          <w:rFonts w:asciiTheme="minorHAnsi" w:hAnsiTheme="minorHAnsi"/>
          <w:sz w:val="24"/>
          <w:szCs w:val="24"/>
        </w:rPr>
      </w:pPr>
      <w:r w:rsidRPr="004C5976">
        <w:rPr>
          <w:rFonts w:asciiTheme="minorHAnsi" w:hAnsiTheme="minorHAnsi"/>
          <w:sz w:val="24"/>
          <w:szCs w:val="24"/>
        </w:rPr>
        <w:t>Strafrechtelijke rechtshandhaving is daarmee niet in de eerste plaats gericht op onnodige of inmiddels overbodige of anderszins negatief-stigmatiserende ‘criminalisering’</w:t>
      </w:r>
      <w:r w:rsidR="0044698C">
        <w:rPr>
          <w:rFonts w:asciiTheme="minorHAnsi" w:hAnsiTheme="minorHAnsi"/>
          <w:sz w:val="24"/>
          <w:szCs w:val="24"/>
        </w:rPr>
        <w:t xml:space="preserve">, </w:t>
      </w:r>
      <w:r w:rsidRPr="004C5976">
        <w:rPr>
          <w:rFonts w:asciiTheme="minorHAnsi" w:hAnsiTheme="minorHAnsi"/>
          <w:sz w:val="24"/>
          <w:szCs w:val="24"/>
        </w:rPr>
        <w:t>maar op rechtshandhaving in het algemeen belang</w:t>
      </w:r>
      <w:r w:rsidR="0044698C">
        <w:rPr>
          <w:rFonts w:asciiTheme="minorHAnsi" w:hAnsiTheme="minorHAnsi"/>
          <w:sz w:val="24"/>
          <w:szCs w:val="24"/>
        </w:rPr>
        <w:t xml:space="preserve"> van die </w:t>
      </w:r>
      <w:r w:rsidR="00A76329">
        <w:rPr>
          <w:rFonts w:asciiTheme="minorHAnsi" w:hAnsiTheme="minorHAnsi"/>
          <w:sz w:val="24"/>
          <w:szCs w:val="24"/>
        </w:rPr>
        <w:t xml:space="preserve">vereiste </w:t>
      </w:r>
      <w:r w:rsidR="0044698C">
        <w:rPr>
          <w:rFonts w:asciiTheme="minorHAnsi" w:hAnsiTheme="minorHAnsi"/>
          <w:sz w:val="24"/>
          <w:szCs w:val="24"/>
        </w:rPr>
        <w:t>zorgvuldigheid met betrekking tot hulp bij zelfdoding</w:t>
      </w:r>
      <w:r w:rsidRPr="004C5976">
        <w:rPr>
          <w:rFonts w:asciiTheme="minorHAnsi" w:hAnsiTheme="minorHAnsi"/>
          <w:sz w:val="24"/>
          <w:szCs w:val="24"/>
        </w:rPr>
        <w:t xml:space="preserve">. Het is aan de wetgever daarin de basisverhoudingen aan te geven. </w:t>
      </w:r>
      <w:r w:rsidR="00A76329">
        <w:rPr>
          <w:rFonts w:asciiTheme="minorHAnsi" w:hAnsiTheme="minorHAnsi"/>
          <w:sz w:val="24"/>
          <w:szCs w:val="24"/>
        </w:rPr>
        <w:t>B</w:t>
      </w:r>
      <w:r w:rsidRPr="004C5976">
        <w:rPr>
          <w:rFonts w:asciiTheme="minorHAnsi" w:hAnsiTheme="minorHAnsi"/>
          <w:sz w:val="24"/>
          <w:szCs w:val="24"/>
        </w:rPr>
        <w:t xml:space="preserve">innen </w:t>
      </w:r>
      <w:r w:rsidR="00A76329">
        <w:rPr>
          <w:rFonts w:asciiTheme="minorHAnsi" w:hAnsiTheme="minorHAnsi"/>
          <w:sz w:val="24"/>
          <w:szCs w:val="24"/>
        </w:rPr>
        <w:t xml:space="preserve">het kader van de strafbaarstelling </w:t>
      </w:r>
      <w:r w:rsidRPr="004C5976">
        <w:rPr>
          <w:rFonts w:asciiTheme="minorHAnsi" w:hAnsiTheme="minorHAnsi"/>
          <w:sz w:val="24"/>
          <w:szCs w:val="24"/>
        </w:rPr>
        <w:t>past een prudent beleid ten aanzien van strafrechtelijke rechtshandhaving door opsporing, vervolging en bestraffing. Niet gezegd kan worden dat van dat laatste geen sprake is.</w:t>
      </w:r>
    </w:p>
    <w:p w:rsidRPr="004C5976" w:rsidR="00CD3A75" w:rsidP="004C5976" w:rsidRDefault="00CD3A75" w14:paraId="68E98590" w14:textId="77777777">
      <w:pPr>
        <w:rPr>
          <w:rFonts w:asciiTheme="minorHAnsi" w:hAnsiTheme="minorHAnsi"/>
          <w:sz w:val="24"/>
          <w:szCs w:val="24"/>
        </w:rPr>
      </w:pPr>
    </w:p>
    <w:p w:rsidRPr="00140069" w:rsidR="00514171" w:rsidP="004C5976" w:rsidRDefault="00502352" w14:paraId="6B1AA2AD" w14:textId="38DF3A38">
      <w:pPr>
        <w:rPr>
          <w:rFonts w:asciiTheme="minorHAnsi" w:hAnsiTheme="minorHAnsi"/>
          <w:sz w:val="24"/>
          <w:szCs w:val="24"/>
        </w:rPr>
      </w:pPr>
      <w:r w:rsidRPr="004C5976">
        <w:rPr>
          <w:rFonts w:asciiTheme="minorHAnsi" w:hAnsiTheme="minorHAnsi"/>
          <w:sz w:val="24"/>
          <w:szCs w:val="24"/>
        </w:rPr>
        <w:t xml:space="preserve">De wetgever heeft die basisverhoudingen </w:t>
      </w:r>
      <w:r w:rsidR="007E25FD">
        <w:rPr>
          <w:rFonts w:asciiTheme="minorHAnsi" w:hAnsiTheme="minorHAnsi"/>
          <w:sz w:val="24"/>
          <w:szCs w:val="24"/>
        </w:rPr>
        <w:t xml:space="preserve">in 2002 </w:t>
      </w:r>
      <w:r w:rsidRPr="004C5976">
        <w:rPr>
          <w:rFonts w:asciiTheme="minorHAnsi" w:hAnsiTheme="minorHAnsi"/>
          <w:sz w:val="24"/>
          <w:szCs w:val="24"/>
        </w:rPr>
        <w:t xml:space="preserve">met de </w:t>
      </w:r>
      <w:r w:rsidRPr="004C5976" w:rsidR="00034005">
        <w:rPr>
          <w:rFonts w:asciiTheme="minorHAnsi" w:hAnsiTheme="minorHAnsi"/>
          <w:sz w:val="24"/>
          <w:szCs w:val="24"/>
        </w:rPr>
        <w:t>Wet toetsing levensbeëindiging op verzoek en hulp bij zelfdoding (hierna Wtl)</w:t>
      </w:r>
      <w:r w:rsidR="00B7779A">
        <w:rPr>
          <w:rFonts w:asciiTheme="minorHAnsi" w:hAnsiTheme="minorHAnsi"/>
          <w:sz w:val="24"/>
          <w:szCs w:val="24"/>
        </w:rPr>
        <w:t>,</w:t>
      </w:r>
      <w:r w:rsidRPr="004C5976" w:rsidR="00034005">
        <w:rPr>
          <w:rFonts w:asciiTheme="minorHAnsi" w:hAnsiTheme="minorHAnsi"/>
          <w:sz w:val="24"/>
          <w:szCs w:val="24"/>
        </w:rPr>
        <w:t xml:space="preserve"> </w:t>
      </w:r>
      <w:r w:rsidRPr="004C5976">
        <w:rPr>
          <w:rFonts w:asciiTheme="minorHAnsi" w:hAnsiTheme="minorHAnsi"/>
          <w:sz w:val="24"/>
          <w:szCs w:val="24"/>
        </w:rPr>
        <w:t xml:space="preserve">nader </w:t>
      </w:r>
      <w:r w:rsidR="00140069">
        <w:rPr>
          <w:rFonts w:asciiTheme="minorHAnsi" w:hAnsiTheme="minorHAnsi"/>
          <w:sz w:val="24"/>
          <w:szCs w:val="24"/>
        </w:rPr>
        <w:t>bepaald</w:t>
      </w:r>
      <w:r w:rsidRPr="004C5976">
        <w:rPr>
          <w:rFonts w:asciiTheme="minorHAnsi" w:hAnsiTheme="minorHAnsi"/>
          <w:sz w:val="24"/>
          <w:szCs w:val="24"/>
        </w:rPr>
        <w:t xml:space="preserve">. </w:t>
      </w:r>
      <w:r w:rsidR="00827203">
        <w:rPr>
          <w:rFonts w:asciiTheme="minorHAnsi" w:hAnsiTheme="minorHAnsi"/>
          <w:sz w:val="24"/>
          <w:szCs w:val="24"/>
        </w:rPr>
        <w:t xml:space="preserve">Sindsdien </w:t>
      </w:r>
      <w:r w:rsidR="00342C57">
        <w:rPr>
          <w:rFonts w:asciiTheme="minorHAnsi" w:hAnsiTheme="minorHAnsi"/>
          <w:sz w:val="24"/>
          <w:szCs w:val="24"/>
        </w:rPr>
        <w:t xml:space="preserve">voorziet </w:t>
      </w:r>
      <w:r w:rsidRPr="004C5976" w:rsidR="00CD3A75">
        <w:rPr>
          <w:rFonts w:asciiTheme="minorHAnsi" w:hAnsiTheme="minorHAnsi"/>
          <w:sz w:val="24"/>
          <w:szCs w:val="24"/>
        </w:rPr>
        <w:t xml:space="preserve">art. 294 lid 2 Sr </w:t>
      </w:r>
      <w:r w:rsidR="0066449D">
        <w:rPr>
          <w:rFonts w:asciiTheme="minorHAnsi" w:hAnsiTheme="minorHAnsi"/>
          <w:sz w:val="24"/>
          <w:szCs w:val="24"/>
        </w:rPr>
        <w:t xml:space="preserve">in een uitzondering op strafbaarheid </w:t>
      </w:r>
      <w:r w:rsidR="00342C57">
        <w:rPr>
          <w:rFonts w:asciiTheme="minorHAnsi" w:hAnsiTheme="minorHAnsi"/>
          <w:sz w:val="24"/>
          <w:szCs w:val="24"/>
        </w:rPr>
        <w:t xml:space="preserve">onder de voorwaarden van art. 293 lid 2 Sr </w:t>
      </w:r>
      <w:r w:rsidR="006769E5">
        <w:rPr>
          <w:rFonts w:asciiTheme="minorHAnsi" w:hAnsiTheme="minorHAnsi"/>
          <w:sz w:val="24"/>
          <w:szCs w:val="24"/>
        </w:rPr>
        <w:t xml:space="preserve">in zake </w:t>
      </w:r>
      <w:r w:rsidR="00342C57">
        <w:rPr>
          <w:rFonts w:asciiTheme="minorHAnsi" w:hAnsiTheme="minorHAnsi"/>
          <w:sz w:val="24"/>
          <w:szCs w:val="24"/>
        </w:rPr>
        <w:t>euthanasie</w:t>
      </w:r>
      <w:r w:rsidR="006769E5">
        <w:rPr>
          <w:rFonts w:asciiTheme="minorHAnsi" w:hAnsiTheme="minorHAnsi"/>
          <w:sz w:val="24"/>
          <w:szCs w:val="24"/>
        </w:rPr>
        <w:t xml:space="preserve">, in verbinding met </w:t>
      </w:r>
      <w:r w:rsidRPr="004C5976" w:rsidR="006769E5">
        <w:rPr>
          <w:rFonts w:asciiTheme="minorHAnsi" w:hAnsiTheme="minorHAnsi"/>
          <w:sz w:val="24"/>
          <w:szCs w:val="24"/>
        </w:rPr>
        <w:t>Wet op de lijkbezorging en</w:t>
      </w:r>
      <w:r w:rsidR="006769E5">
        <w:rPr>
          <w:rFonts w:asciiTheme="minorHAnsi" w:hAnsiTheme="minorHAnsi"/>
          <w:sz w:val="24"/>
          <w:szCs w:val="24"/>
        </w:rPr>
        <w:t xml:space="preserve"> de Wtl</w:t>
      </w:r>
      <w:r w:rsidR="00827203">
        <w:rPr>
          <w:rFonts w:asciiTheme="minorHAnsi" w:hAnsiTheme="minorHAnsi"/>
          <w:sz w:val="24"/>
          <w:szCs w:val="24"/>
        </w:rPr>
        <w:t xml:space="preserve">; hulp bij zelfdoding is, </w:t>
      </w:r>
      <w:r w:rsidRPr="004C5976" w:rsidR="00CD3A75">
        <w:rPr>
          <w:rFonts w:asciiTheme="minorHAnsi" w:hAnsiTheme="minorHAnsi"/>
          <w:sz w:val="24"/>
          <w:szCs w:val="24"/>
        </w:rPr>
        <w:t xml:space="preserve">mits </w:t>
      </w:r>
      <w:r w:rsidR="00320FB1">
        <w:rPr>
          <w:rFonts w:asciiTheme="minorHAnsi" w:hAnsiTheme="minorHAnsi"/>
          <w:sz w:val="24"/>
          <w:szCs w:val="24"/>
        </w:rPr>
        <w:t xml:space="preserve">gemeld en </w:t>
      </w:r>
      <w:r w:rsidRPr="004C5976" w:rsidR="00CD3A75">
        <w:rPr>
          <w:rFonts w:asciiTheme="minorHAnsi" w:hAnsiTheme="minorHAnsi"/>
          <w:sz w:val="24"/>
          <w:szCs w:val="24"/>
        </w:rPr>
        <w:t>verricht door een arts en binnen de genoemde kaders</w:t>
      </w:r>
      <w:r w:rsidR="009434B9">
        <w:rPr>
          <w:rFonts w:asciiTheme="minorHAnsi" w:hAnsiTheme="minorHAnsi"/>
          <w:sz w:val="24"/>
          <w:szCs w:val="24"/>
        </w:rPr>
        <w:t>,</w:t>
      </w:r>
      <w:r w:rsidRPr="004C5976" w:rsidR="00CD3A75">
        <w:rPr>
          <w:rFonts w:asciiTheme="minorHAnsi" w:hAnsiTheme="minorHAnsi"/>
          <w:sz w:val="24"/>
          <w:szCs w:val="24"/>
        </w:rPr>
        <w:t xml:space="preserve"> niet strafbaar. </w:t>
      </w:r>
      <w:r w:rsidRPr="004C5976">
        <w:rPr>
          <w:rFonts w:asciiTheme="minorHAnsi" w:hAnsiTheme="minorHAnsi"/>
          <w:sz w:val="24"/>
          <w:szCs w:val="24"/>
        </w:rPr>
        <w:t xml:space="preserve">De Wtl heeft zich in een bestendige ontwikkeling en algemeen geaccepteerde praktijk mogen verheugen en is in feite in zijn </w:t>
      </w:r>
      <w:r w:rsidR="00B42E87">
        <w:rPr>
          <w:rFonts w:asciiTheme="minorHAnsi" w:hAnsiTheme="minorHAnsi"/>
          <w:sz w:val="24"/>
          <w:szCs w:val="24"/>
        </w:rPr>
        <w:t xml:space="preserve">reikwijdte en </w:t>
      </w:r>
      <w:r w:rsidRPr="004C5976">
        <w:rPr>
          <w:rFonts w:asciiTheme="minorHAnsi" w:hAnsiTheme="minorHAnsi"/>
          <w:sz w:val="24"/>
          <w:szCs w:val="24"/>
        </w:rPr>
        <w:t>toepassing nog steeds in ontwikkeling.</w:t>
      </w:r>
      <w:r w:rsidRPr="004C5976" w:rsidR="00354F1E">
        <w:rPr>
          <w:rFonts w:asciiTheme="minorHAnsi" w:hAnsiTheme="minorHAnsi"/>
          <w:sz w:val="24"/>
          <w:szCs w:val="24"/>
        </w:rPr>
        <w:t xml:space="preserve"> De overheid is daarmee aan de vraag naar adequate regeling van toegelaten en tegelijk verantwoord</w:t>
      </w:r>
      <w:r w:rsidR="00764C76">
        <w:rPr>
          <w:rFonts w:asciiTheme="minorHAnsi" w:hAnsiTheme="minorHAnsi"/>
          <w:sz w:val="24"/>
          <w:szCs w:val="24"/>
        </w:rPr>
        <w:t xml:space="preserve"> geregelde</w:t>
      </w:r>
      <w:r w:rsidRPr="004C5976" w:rsidR="00354F1E">
        <w:rPr>
          <w:rFonts w:asciiTheme="minorHAnsi" w:hAnsiTheme="minorHAnsi"/>
          <w:sz w:val="24"/>
          <w:szCs w:val="24"/>
        </w:rPr>
        <w:t xml:space="preserve"> levensbeëindiging</w:t>
      </w:r>
      <w:r w:rsidR="00EF04D4">
        <w:rPr>
          <w:rFonts w:asciiTheme="minorHAnsi" w:hAnsiTheme="minorHAnsi"/>
          <w:sz w:val="24"/>
          <w:szCs w:val="24"/>
        </w:rPr>
        <w:t xml:space="preserve">, zowel door </w:t>
      </w:r>
      <w:r w:rsidR="007F515A">
        <w:rPr>
          <w:rFonts w:asciiTheme="minorHAnsi" w:hAnsiTheme="minorHAnsi"/>
          <w:sz w:val="24"/>
          <w:szCs w:val="24"/>
        </w:rPr>
        <w:t>hulp bij zelfdoding als door euthanasie,</w:t>
      </w:r>
      <w:r w:rsidRPr="004C5976" w:rsidR="00354F1E">
        <w:rPr>
          <w:rFonts w:asciiTheme="minorHAnsi" w:hAnsiTheme="minorHAnsi"/>
          <w:sz w:val="24"/>
          <w:szCs w:val="24"/>
        </w:rPr>
        <w:t xml:space="preserve"> tegemoetgekomen. </w:t>
      </w:r>
    </w:p>
    <w:p w:rsidRPr="004C5976" w:rsidR="00BC416F" w:rsidP="004C5976" w:rsidRDefault="00BC416F" w14:paraId="078EE823" w14:textId="77777777">
      <w:pPr>
        <w:rPr>
          <w:rFonts w:eastAsia="Times New Roman" w:asciiTheme="minorHAnsi" w:hAnsiTheme="minorHAnsi"/>
          <w:sz w:val="24"/>
          <w:szCs w:val="24"/>
          <w:lang w:eastAsia="en-US"/>
        </w:rPr>
      </w:pPr>
    </w:p>
    <w:p w:rsidRPr="004C5976" w:rsidR="00BC416F" w:rsidP="004C5976" w:rsidRDefault="00BC416F" w14:paraId="52CBC2B2" w14:textId="1B0F03CE">
      <w:pPr>
        <w:rPr>
          <w:rFonts w:eastAsia="Times New Roman" w:asciiTheme="minorHAnsi" w:hAnsiTheme="minorHAnsi"/>
          <w:sz w:val="24"/>
          <w:szCs w:val="24"/>
          <w:lang w:eastAsia="en-US"/>
        </w:rPr>
      </w:pPr>
      <w:r w:rsidRPr="004C5976">
        <w:rPr>
          <w:rFonts w:eastAsia="Times New Roman" w:asciiTheme="minorHAnsi" w:hAnsiTheme="minorHAnsi"/>
          <w:sz w:val="24"/>
          <w:szCs w:val="24"/>
          <w:lang w:eastAsia="en-US"/>
        </w:rPr>
        <w:t xml:space="preserve">Het wetsvoorstel </w:t>
      </w:r>
      <w:r w:rsidRPr="004C5976" w:rsidR="00EC1355">
        <w:rPr>
          <w:rFonts w:eastAsia="Times New Roman" w:asciiTheme="minorHAnsi" w:hAnsiTheme="minorHAnsi"/>
          <w:sz w:val="24"/>
          <w:szCs w:val="24"/>
          <w:lang w:eastAsia="en-US"/>
        </w:rPr>
        <w:t xml:space="preserve">voor de Wet </w:t>
      </w:r>
      <w:r w:rsidRPr="004C5976" w:rsidR="00CD3A75">
        <w:rPr>
          <w:rFonts w:asciiTheme="minorHAnsi" w:hAnsiTheme="minorHAnsi"/>
          <w:sz w:val="24"/>
          <w:szCs w:val="24"/>
        </w:rPr>
        <w:t xml:space="preserve">toetsing levenseindebegeleiding van ouderen op verzoek </w:t>
      </w:r>
      <w:r w:rsidRPr="004C5976" w:rsidR="00502352">
        <w:rPr>
          <w:rFonts w:asciiTheme="minorHAnsi" w:hAnsiTheme="minorHAnsi"/>
          <w:sz w:val="24"/>
          <w:szCs w:val="24"/>
        </w:rPr>
        <w:t xml:space="preserve">(hierna: Wtlo) </w:t>
      </w:r>
      <w:r w:rsidRPr="004C5976" w:rsidR="00EC1355">
        <w:rPr>
          <w:rFonts w:eastAsia="Times New Roman" w:asciiTheme="minorHAnsi" w:hAnsiTheme="minorHAnsi"/>
          <w:sz w:val="24"/>
          <w:szCs w:val="24"/>
          <w:lang w:eastAsia="en-US"/>
        </w:rPr>
        <w:t xml:space="preserve">staat </w:t>
      </w:r>
      <w:r w:rsidRPr="004C5976" w:rsidR="00502352">
        <w:rPr>
          <w:rFonts w:eastAsia="Times New Roman" w:asciiTheme="minorHAnsi" w:hAnsiTheme="minorHAnsi"/>
          <w:sz w:val="24"/>
          <w:szCs w:val="24"/>
          <w:lang w:eastAsia="en-US"/>
        </w:rPr>
        <w:t xml:space="preserve">daardoor </w:t>
      </w:r>
      <w:r w:rsidRPr="004C5976" w:rsidR="00EC1355">
        <w:rPr>
          <w:rFonts w:eastAsia="Times New Roman" w:asciiTheme="minorHAnsi" w:hAnsiTheme="minorHAnsi"/>
          <w:sz w:val="24"/>
          <w:szCs w:val="24"/>
          <w:lang w:eastAsia="en-US"/>
        </w:rPr>
        <w:t xml:space="preserve">niet op zichzelf. </w:t>
      </w:r>
      <w:r w:rsidRPr="00396A46" w:rsidR="00EC1355">
        <w:rPr>
          <w:rFonts w:eastAsia="Times New Roman" w:asciiTheme="minorHAnsi" w:hAnsiTheme="minorHAnsi"/>
          <w:color w:val="000000" w:themeColor="text1"/>
          <w:sz w:val="24"/>
          <w:szCs w:val="24"/>
          <w:lang w:eastAsia="en-US"/>
        </w:rPr>
        <w:t xml:space="preserve">Het </w:t>
      </w:r>
      <w:r w:rsidRPr="00396A46">
        <w:rPr>
          <w:rFonts w:eastAsia="Times New Roman" w:asciiTheme="minorHAnsi" w:hAnsiTheme="minorHAnsi"/>
          <w:color w:val="000000" w:themeColor="text1"/>
          <w:sz w:val="24"/>
          <w:szCs w:val="24"/>
          <w:lang w:eastAsia="en-US"/>
        </w:rPr>
        <w:t>kan niet worden bezien zonder de relatie met de</w:t>
      </w:r>
      <w:r w:rsidRPr="00396A46" w:rsidR="00502352">
        <w:rPr>
          <w:rFonts w:eastAsia="Times New Roman" w:asciiTheme="minorHAnsi" w:hAnsiTheme="minorHAnsi"/>
          <w:color w:val="000000" w:themeColor="text1"/>
          <w:sz w:val="24"/>
          <w:szCs w:val="24"/>
          <w:lang w:eastAsia="en-US"/>
        </w:rPr>
        <w:t xml:space="preserve"> bestaande praktijk en regeling op basis van de</w:t>
      </w:r>
      <w:r w:rsidRPr="00396A46">
        <w:rPr>
          <w:rFonts w:eastAsia="Times New Roman" w:asciiTheme="minorHAnsi" w:hAnsiTheme="minorHAnsi"/>
          <w:color w:val="000000" w:themeColor="text1"/>
          <w:sz w:val="24"/>
          <w:szCs w:val="24"/>
          <w:lang w:eastAsia="en-US"/>
        </w:rPr>
        <w:t xml:space="preserve"> </w:t>
      </w:r>
      <w:r w:rsidRPr="004C5976">
        <w:rPr>
          <w:rFonts w:eastAsia="Times New Roman" w:asciiTheme="minorHAnsi" w:hAnsiTheme="minorHAnsi"/>
          <w:sz w:val="24"/>
          <w:szCs w:val="24"/>
          <w:lang w:eastAsia="en-US"/>
        </w:rPr>
        <w:t xml:space="preserve">Wtl in de beschouwingen te betrekken. </w:t>
      </w:r>
      <w:r w:rsidRPr="004C5976" w:rsidR="00502352">
        <w:rPr>
          <w:rFonts w:eastAsia="Times New Roman" w:asciiTheme="minorHAnsi" w:hAnsiTheme="minorHAnsi"/>
          <w:sz w:val="24"/>
          <w:szCs w:val="24"/>
          <w:lang w:eastAsia="en-US"/>
        </w:rPr>
        <w:t xml:space="preserve">Met het oog daarop is aan de verhouding van het wetsvoorstel Wtlo met de Wtl in de </w:t>
      </w:r>
      <w:r w:rsidR="001773AE">
        <w:rPr>
          <w:rFonts w:eastAsia="Times New Roman" w:asciiTheme="minorHAnsi" w:hAnsiTheme="minorHAnsi"/>
          <w:sz w:val="24"/>
          <w:szCs w:val="24"/>
          <w:lang w:eastAsia="en-US"/>
        </w:rPr>
        <w:t xml:space="preserve">vierde </w:t>
      </w:r>
      <w:r w:rsidRPr="004C5976" w:rsidR="00502352">
        <w:rPr>
          <w:rFonts w:eastAsia="Times New Roman" w:asciiTheme="minorHAnsi" w:hAnsiTheme="minorHAnsi"/>
          <w:sz w:val="24"/>
          <w:szCs w:val="24"/>
          <w:lang w:eastAsia="en-US"/>
        </w:rPr>
        <w:t>evaluatie van de Wtl uit mei 2023 betrekkelijk uitvoerig aandacht besteed.</w:t>
      </w:r>
    </w:p>
    <w:p w:rsidRPr="004C5976" w:rsidR="00CD3A75" w:rsidP="004C5976" w:rsidRDefault="00CD3A75" w14:paraId="077329A3" w14:textId="77777777">
      <w:pPr>
        <w:rPr>
          <w:rFonts w:asciiTheme="minorHAnsi" w:hAnsiTheme="minorHAnsi"/>
          <w:sz w:val="24"/>
          <w:szCs w:val="24"/>
        </w:rPr>
      </w:pPr>
    </w:p>
    <w:p w:rsidRPr="004C5976" w:rsidR="00BC416F" w:rsidP="004C5976" w:rsidRDefault="00BC416F" w14:paraId="65C51F84" w14:textId="7EDF0582">
      <w:pPr>
        <w:rPr>
          <w:rFonts w:eastAsia="Times New Roman" w:asciiTheme="minorHAnsi" w:hAnsiTheme="minorHAnsi"/>
          <w:sz w:val="24"/>
          <w:szCs w:val="24"/>
          <w:lang w:eastAsia="en-US"/>
        </w:rPr>
      </w:pPr>
      <w:r w:rsidRPr="004C5976">
        <w:rPr>
          <w:rFonts w:eastAsia="Times New Roman" w:asciiTheme="minorHAnsi" w:hAnsiTheme="minorHAnsi"/>
          <w:sz w:val="24"/>
          <w:szCs w:val="24"/>
          <w:lang w:eastAsia="en-US"/>
        </w:rPr>
        <w:t>Zoals in d</w:t>
      </w:r>
      <w:r w:rsidR="00DC3C5B">
        <w:rPr>
          <w:rFonts w:eastAsia="Times New Roman" w:asciiTheme="minorHAnsi" w:hAnsiTheme="minorHAnsi"/>
          <w:sz w:val="24"/>
          <w:szCs w:val="24"/>
          <w:lang w:eastAsia="en-US"/>
        </w:rPr>
        <w:t>i</w:t>
      </w:r>
      <w:r w:rsidRPr="004C5976">
        <w:rPr>
          <w:rFonts w:eastAsia="Times New Roman" w:asciiTheme="minorHAnsi" w:hAnsiTheme="minorHAnsi"/>
          <w:sz w:val="24"/>
          <w:szCs w:val="24"/>
          <w:lang w:eastAsia="en-US"/>
        </w:rPr>
        <w:t xml:space="preserve">e </w:t>
      </w:r>
      <w:r w:rsidR="001773AE">
        <w:rPr>
          <w:rFonts w:eastAsia="Times New Roman" w:asciiTheme="minorHAnsi" w:hAnsiTheme="minorHAnsi"/>
          <w:sz w:val="24"/>
          <w:szCs w:val="24"/>
          <w:lang w:eastAsia="en-US"/>
        </w:rPr>
        <w:t xml:space="preserve">vierde </w:t>
      </w:r>
      <w:r w:rsidRPr="004C5976">
        <w:rPr>
          <w:rFonts w:eastAsia="Times New Roman" w:asciiTheme="minorHAnsi" w:hAnsiTheme="minorHAnsi"/>
          <w:sz w:val="24"/>
          <w:szCs w:val="24"/>
          <w:lang w:eastAsia="en-US"/>
        </w:rPr>
        <w:t xml:space="preserve">evaluatie van de Wtl beschreven, </w:t>
      </w:r>
      <w:r w:rsidR="00215964">
        <w:rPr>
          <w:rFonts w:eastAsia="Times New Roman" w:asciiTheme="minorHAnsi" w:hAnsiTheme="minorHAnsi"/>
          <w:sz w:val="24"/>
          <w:szCs w:val="24"/>
          <w:lang w:eastAsia="en-US"/>
        </w:rPr>
        <w:t>is de vraag of een Wtlo naast de Wtl nodig en wenselijk is. Er is gewezen</w:t>
      </w:r>
      <w:r w:rsidR="005C7E06">
        <w:rPr>
          <w:rFonts w:eastAsia="Times New Roman" w:asciiTheme="minorHAnsi" w:hAnsiTheme="minorHAnsi"/>
          <w:sz w:val="24"/>
          <w:szCs w:val="24"/>
          <w:lang w:eastAsia="en-US"/>
        </w:rPr>
        <w:t xml:space="preserve"> op </w:t>
      </w:r>
      <w:r w:rsidRPr="004C5976">
        <w:rPr>
          <w:rFonts w:eastAsia="Times New Roman" w:asciiTheme="minorHAnsi" w:hAnsiTheme="minorHAnsi"/>
          <w:sz w:val="24"/>
          <w:szCs w:val="24"/>
          <w:lang w:eastAsia="en-US"/>
        </w:rPr>
        <w:t xml:space="preserve">het gevaar dat met </w:t>
      </w:r>
      <w:r w:rsidR="00DC3C5B">
        <w:rPr>
          <w:rFonts w:eastAsia="Times New Roman" w:asciiTheme="minorHAnsi" w:hAnsiTheme="minorHAnsi"/>
          <w:sz w:val="24"/>
          <w:szCs w:val="24"/>
          <w:lang w:eastAsia="en-US"/>
        </w:rPr>
        <w:t xml:space="preserve">de Wtlo </w:t>
      </w:r>
      <w:r w:rsidR="005C7E06">
        <w:rPr>
          <w:rFonts w:eastAsia="Times New Roman" w:asciiTheme="minorHAnsi" w:hAnsiTheme="minorHAnsi"/>
          <w:sz w:val="24"/>
          <w:szCs w:val="24"/>
          <w:lang w:eastAsia="en-US"/>
        </w:rPr>
        <w:t xml:space="preserve">wordt </w:t>
      </w:r>
      <w:r w:rsidRPr="004C5976">
        <w:rPr>
          <w:rFonts w:eastAsia="Times New Roman" w:asciiTheme="minorHAnsi" w:hAnsiTheme="minorHAnsi"/>
          <w:sz w:val="24"/>
          <w:szCs w:val="24"/>
          <w:lang w:eastAsia="en-US"/>
        </w:rPr>
        <w:t xml:space="preserve">uitgehold of </w:t>
      </w:r>
      <w:r w:rsidR="005C7E06">
        <w:rPr>
          <w:rFonts w:eastAsia="Times New Roman" w:asciiTheme="minorHAnsi" w:hAnsiTheme="minorHAnsi"/>
          <w:sz w:val="24"/>
          <w:szCs w:val="24"/>
          <w:lang w:eastAsia="en-US"/>
        </w:rPr>
        <w:t xml:space="preserve">gepasseerd. </w:t>
      </w:r>
      <w:r w:rsidRPr="004C5976">
        <w:rPr>
          <w:rFonts w:eastAsia="Times New Roman" w:asciiTheme="minorHAnsi" w:hAnsiTheme="minorHAnsi"/>
          <w:sz w:val="24"/>
          <w:szCs w:val="24"/>
          <w:lang w:eastAsia="en-US"/>
        </w:rPr>
        <w:t>Dan zijn er immers twee wettelijke regelingen voor hulp bij zelfdoding. Dat lijkt sowieso onwenselijk. De Wtl heeft dan een hogere drempel</w:t>
      </w:r>
      <w:r w:rsidR="003C74F2">
        <w:rPr>
          <w:rFonts w:eastAsia="Times New Roman" w:asciiTheme="minorHAnsi" w:hAnsiTheme="minorHAnsi"/>
          <w:sz w:val="24"/>
          <w:szCs w:val="24"/>
          <w:lang w:eastAsia="en-US"/>
        </w:rPr>
        <w:t>;</w:t>
      </w:r>
      <w:r w:rsidRPr="004C5976">
        <w:rPr>
          <w:rFonts w:eastAsia="Times New Roman" w:asciiTheme="minorHAnsi" w:hAnsiTheme="minorHAnsi"/>
          <w:sz w:val="24"/>
          <w:szCs w:val="24"/>
          <w:lang w:eastAsia="en-US"/>
        </w:rPr>
        <w:t xml:space="preserve"> bij een ‘levenseindebegeleider’ krijgt men binnen </w:t>
      </w:r>
      <w:r w:rsidR="003C74F2">
        <w:rPr>
          <w:rFonts w:eastAsia="Times New Roman" w:asciiTheme="minorHAnsi" w:hAnsiTheme="minorHAnsi"/>
          <w:sz w:val="24"/>
          <w:szCs w:val="24"/>
          <w:lang w:eastAsia="en-US"/>
        </w:rPr>
        <w:t xml:space="preserve">het voorstel voor de Wtlo </w:t>
      </w:r>
      <w:r w:rsidRPr="004C5976">
        <w:rPr>
          <w:rFonts w:eastAsia="Times New Roman" w:asciiTheme="minorHAnsi" w:hAnsiTheme="minorHAnsi"/>
          <w:sz w:val="24"/>
          <w:szCs w:val="24"/>
          <w:lang w:eastAsia="en-US"/>
        </w:rPr>
        <w:t xml:space="preserve">immers reeds louter naar de criteria in de wet </w:t>
      </w:r>
      <w:r w:rsidR="003C74F2">
        <w:rPr>
          <w:rFonts w:eastAsia="Times New Roman" w:asciiTheme="minorHAnsi" w:hAnsiTheme="minorHAnsi"/>
          <w:sz w:val="24"/>
          <w:szCs w:val="24"/>
          <w:lang w:eastAsia="en-US"/>
        </w:rPr>
        <w:t>‘</w:t>
      </w:r>
      <w:r w:rsidRPr="004C5976">
        <w:rPr>
          <w:rFonts w:eastAsia="Times New Roman" w:asciiTheme="minorHAnsi" w:hAnsiTheme="minorHAnsi"/>
          <w:sz w:val="24"/>
          <w:szCs w:val="24"/>
          <w:lang w:eastAsia="en-US"/>
        </w:rPr>
        <w:t xml:space="preserve">eerder z’n zin’, dan </w:t>
      </w:r>
      <w:r w:rsidR="00AB1CA8">
        <w:rPr>
          <w:rFonts w:eastAsia="Times New Roman" w:asciiTheme="minorHAnsi" w:hAnsiTheme="minorHAnsi"/>
          <w:sz w:val="24"/>
          <w:szCs w:val="24"/>
          <w:lang w:eastAsia="en-US"/>
        </w:rPr>
        <w:t>bij</w:t>
      </w:r>
      <w:r w:rsidRPr="004C5976">
        <w:rPr>
          <w:rFonts w:eastAsia="Times New Roman" w:asciiTheme="minorHAnsi" w:hAnsiTheme="minorHAnsi"/>
          <w:sz w:val="24"/>
          <w:szCs w:val="24"/>
          <w:lang w:eastAsia="en-US"/>
        </w:rPr>
        <w:t xml:space="preserve"> een arts onder de Wtl. Dat kan tot het omzeilen van de Wtl aanleiding geven. </w:t>
      </w:r>
    </w:p>
    <w:p w:rsidRPr="004C5976" w:rsidR="00BC416F" w:rsidP="004C5976" w:rsidRDefault="00BC416F" w14:paraId="742A71C1" w14:textId="41D1A6BA">
      <w:pPr>
        <w:rPr>
          <w:rFonts w:eastAsia="Times New Roman" w:asciiTheme="minorHAnsi" w:hAnsiTheme="minorHAnsi"/>
          <w:sz w:val="24"/>
          <w:szCs w:val="24"/>
          <w:lang w:eastAsia="en-US"/>
        </w:rPr>
      </w:pPr>
    </w:p>
    <w:p w:rsidRPr="004C5976" w:rsidR="00BC416F" w:rsidP="004C5976" w:rsidRDefault="00BC416F" w14:paraId="54CFC73E" w14:textId="4FB6FB44">
      <w:pPr>
        <w:rPr>
          <w:rFonts w:eastAsia="Times New Roman" w:asciiTheme="minorHAnsi" w:hAnsiTheme="minorHAnsi"/>
          <w:sz w:val="24"/>
          <w:szCs w:val="24"/>
          <w:lang w:eastAsia="en-US"/>
        </w:rPr>
      </w:pPr>
      <w:r w:rsidRPr="004C5976">
        <w:rPr>
          <w:rFonts w:eastAsia="Times New Roman" w:asciiTheme="minorHAnsi" w:hAnsiTheme="minorHAnsi"/>
          <w:sz w:val="24"/>
          <w:szCs w:val="24"/>
          <w:lang w:eastAsia="en-US"/>
        </w:rPr>
        <w:lastRenderedPageBreak/>
        <w:t xml:space="preserve">Met de Wtl in 2002 kon een daaraan voorafgaande, jarenlange ontwikkeling </w:t>
      </w:r>
      <w:r w:rsidR="00F415E7">
        <w:rPr>
          <w:rFonts w:eastAsia="Times New Roman" w:asciiTheme="minorHAnsi" w:hAnsiTheme="minorHAnsi"/>
          <w:sz w:val="24"/>
          <w:szCs w:val="24"/>
          <w:lang w:eastAsia="en-US"/>
        </w:rPr>
        <w:t>op basis van</w:t>
      </w:r>
      <w:r w:rsidRPr="004C5976">
        <w:rPr>
          <w:rFonts w:eastAsia="Times New Roman" w:asciiTheme="minorHAnsi" w:hAnsiTheme="minorHAnsi"/>
          <w:sz w:val="24"/>
          <w:szCs w:val="24"/>
          <w:lang w:eastAsia="en-US"/>
        </w:rPr>
        <w:t xml:space="preserve"> steeds verfijndere jurisprudentie van </w:t>
      </w:r>
      <w:r w:rsidR="00F415E7">
        <w:rPr>
          <w:rFonts w:eastAsia="Times New Roman" w:asciiTheme="minorHAnsi" w:hAnsiTheme="minorHAnsi"/>
          <w:sz w:val="24"/>
          <w:szCs w:val="24"/>
          <w:lang w:eastAsia="en-US"/>
        </w:rPr>
        <w:t>(</w:t>
      </w:r>
      <w:r w:rsidRPr="004C5976">
        <w:rPr>
          <w:rFonts w:eastAsia="Times New Roman" w:asciiTheme="minorHAnsi" w:hAnsiTheme="minorHAnsi"/>
          <w:sz w:val="24"/>
          <w:szCs w:val="24"/>
          <w:lang w:eastAsia="en-US"/>
        </w:rPr>
        <w:t xml:space="preserve">de </w:t>
      </w:r>
      <w:r w:rsidR="00F415E7">
        <w:rPr>
          <w:rFonts w:eastAsia="Times New Roman" w:asciiTheme="minorHAnsi" w:hAnsiTheme="minorHAnsi"/>
          <w:sz w:val="24"/>
          <w:szCs w:val="24"/>
          <w:lang w:eastAsia="en-US"/>
        </w:rPr>
        <w:t xml:space="preserve">strafkamer van) de </w:t>
      </w:r>
      <w:r w:rsidRPr="004C5976">
        <w:rPr>
          <w:rFonts w:eastAsia="Times New Roman" w:asciiTheme="minorHAnsi" w:hAnsiTheme="minorHAnsi"/>
          <w:sz w:val="24"/>
          <w:szCs w:val="24"/>
          <w:lang w:eastAsia="en-US"/>
        </w:rPr>
        <w:t xml:space="preserve">Hoge Raad, waar artsen mee konden leven en werken, worden gecodificeerd. </w:t>
      </w:r>
      <w:r w:rsidRPr="004C5976" w:rsidR="00502352">
        <w:rPr>
          <w:rFonts w:eastAsia="Times New Roman" w:asciiTheme="minorHAnsi" w:hAnsiTheme="minorHAnsi"/>
          <w:sz w:val="24"/>
          <w:szCs w:val="24"/>
          <w:lang w:eastAsia="en-US"/>
        </w:rPr>
        <w:t xml:space="preserve">Het wetsvoorstel voor een Wtlo </w:t>
      </w:r>
      <w:r w:rsidRPr="004C5976">
        <w:rPr>
          <w:rFonts w:eastAsia="Times New Roman" w:asciiTheme="minorHAnsi" w:hAnsiTheme="minorHAnsi"/>
          <w:sz w:val="24"/>
          <w:szCs w:val="24"/>
          <w:lang w:eastAsia="en-US"/>
        </w:rPr>
        <w:t>kan niet steunen op een dergelijk, langzaamaan gegroeid en ingevuld fundament in een bestendige praktijk</w:t>
      </w:r>
      <w:r w:rsidRPr="004C5976" w:rsidR="00502352">
        <w:rPr>
          <w:rFonts w:eastAsia="Times New Roman" w:asciiTheme="minorHAnsi" w:hAnsiTheme="minorHAnsi"/>
          <w:sz w:val="24"/>
          <w:szCs w:val="24"/>
          <w:lang w:eastAsia="en-US"/>
        </w:rPr>
        <w:t xml:space="preserve"> van ervaring, </w:t>
      </w:r>
      <w:r w:rsidRPr="004C5976" w:rsidR="00502352">
        <w:rPr>
          <w:rFonts w:eastAsia="Times New Roman" w:asciiTheme="minorHAnsi" w:hAnsiTheme="minorHAnsi"/>
          <w:i/>
          <w:iCs/>
          <w:sz w:val="24"/>
          <w:szCs w:val="24"/>
          <w:lang w:eastAsia="en-US"/>
        </w:rPr>
        <w:t>best practices</w:t>
      </w:r>
      <w:r w:rsidRPr="004C5976" w:rsidR="00502352">
        <w:rPr>
          <w:rFonts w:eastAsia="Times New Roman" w:asciiTheme="minorHAnsi" w:hAnsiTheme="minorHAnsi"/>
          <w:sz w:val="24"/>
          <w:szCs w:val="24"/>
          <w:lang w:eastAsia="en-US"/>
        </w:rPr>
        <w:t xml:space="preserve"> en aan </w:t>
      </w:r>
      <w:r w:rsidRPr="004C5976">
        <w:rPr>
          <w:rFonts w:eastAsia="Times New Roman" w:asciiTheme="minorHAnsi" w:hAnsiTheme="minorHAnsi"/>
          <w:sz w:val="24"/>
          <w:szCs w:val="24"/>
          <w:lang w:eastAsia="en-US"/>
        </w:rPr>
        <w:t>jurisprudentie</w:t>
      </w:r>
      <w:r w:rsidRPr="004C5976" w:rsidR="00502352">
        <w:rPr>
          <w:rFonts w:eastAsia="Times New Roman" w:asciiTheme="minorHAnsi" w:hAnsiTheme="minorHAnsi"/>
          <w:sz w:val="24"/>
          <w:szCs w:val="24"/>
          <w:lang w:eastAsia="en-US"/>
        </w:rPr>
        <w:t xml:space="preserve"> ontleende criteria en grenzen.</w:t>
      </w:r>
    </w:p>
    <w:p w:rsidRPr="004C5976" w:rsidR="00BC416F" w:rsidP="004C5976" w:rsidRDefault="00BC416F" w14:paraId="250F9AA1" w14:textId="77777777">
      <w:pPr>
        <w:rPr>
          <w:rFonts w:eastAsia="Times New Roman" w:asciiTheme="minorHAnsi" w:hAnsiTheme="minorHAnsi"/>
          <w:sz w:val="24"/>
          <w:szCs w:val="24"/>
          <w:lang w:eastAsia="en-US"/>
        </w:rPr>
      </w:pPr>
    </w:p>
    <w:p w:rsidRPr="00E777E8" w:rsidR="00694A9A" w:rsidP="004C5976" w:rsidRDefault="00BC416F" w14:paraId="64039C11" w14:textId="1E8D4577">
      <w:pPr>
        <w:rPr>
          <w:rFonts w:eastAsia="Times New Roman" w:asciiTheme="minorHAnsi" w:hAnsiTheme="minorHAnsi"/>
          <w:b/>
          <w:bCs/>
          <w:sz w:val="24"/>
          <w:szCs w:val="24"/>
          <w:lang w:eastAsia="en-US"/>
        </w:rPr>
      </w:pPr>
      <w:r w:rsidRPr="004C5976">
        <w:rPr>
          <w:rFonts w:eastAsia="Times New Roman" w:asciiTheme="minorHAnsi" w:hAnsiTheme="minorHAnsi"/>
          <w:sz w:val="24"/>
          <w:szCs w:val="24"/>
          <w:lang w:eastAsia="en-US"/>
        </w:rPr>
        <w:t xml:space="preserve">In </w:t>
      </w:r>
      <w:r w:rsidR="0043034B">
        <w:rPr>
          <w:rFonts w:eastAsia="Times New Roman" w:asciiTheme="minorHAnsi" w:hAnsiTheme="minorHAnsi"/>
          <w:sz w:val="24"/>
          <w:szCs w:val="24"/>
          <w:lang w:eastAsia="en-US"/>
        </w:rPr>
        <w:t xml:space="preserve">die </w:t>
      </w:r>
      <w:r w:rsidRPr="004C5976">
        <w:rPr>
          <w:rFonts w:eastAsia="Times New Roman" w:asciiTheme="minorHAnsi" w:hAnsiTheme="minorHAnsi"/>
          <w:sz w:val="24"/>
          <w:szCs w:val="24"/>
          <w:lang w:eastAsia="en-US"/>
        </w:rPr>
        <w:t>vergelijking met de Wtl is in het bijzonder nog het volgende van belan</w:t>
      </w:r>
      <w:r w:rsidRPr="004C5976" w:rsidR="00502352">
        <w:rPr>
          <w:rFonts w:eastAsia="Times New Roman" w:asciiTheme="minorHAnsi" w:hAnsiTheme="minorHAnsi"/>
          <w:sz w:val="24"/>
          <w:szCs w:val="24"/>
          <w:lang w:eastAsia="en-US"/>
        </w:rPr>
        <w:t>g</w:t>
      </w:r>
      <w:r w:rsidRPr="004C5976">
        <w:rPr>
          <w:rFonts w:eastAsia="Times New Roman" w:asciiTheme="minorHAnsi" w:hAnsiTheme="minorHAnsi"/>
          <w:sz w:val="24"/>
          <w:szCs w:val="24"/>
          <w:lang w:eastAsia="en-US"/>
        </w:rPr>
        <w:t xml:space="preserve">. De Wtl-arts is een </w:t>
      </w:r>
      <w:r w:rsidRPr="004C5976" w:rsidR="00502352">
        <w:rPr>
          <w:rFonts w:eastAsia="Times New Roman" w:asciiTheme="minorHAnsi" w:hAnsiTheme="minorHAnsi"/>
          <w:sz w:val="24"/>
          <w:szCs w:val="24"/>
          <w:lang w:eastAsia="en-US"/>
        </w:rPr>
        <w:t>medisch geschoolde en ‘</w:t>
      </w:r>
      <w:r w:rsidRPr="004C5976">
        <w:rPr>
          <w:rFonts w:eastAsia="Times New Roman" w:asciiTheme="minorHAnsi" w:hAnsiTheme="minorHAnsi"/>
          <w:sz w:val="24"/>
          <w:szCs w:val="24"/>
          <w:lang w:eastAsia="en-US"/>
        </w:rPr>
        <w:t>getrainde</w:t>
      </w:r>
      <w:r w:rsidRPr="004C5976" w:rsidR="00502352">
        <w:rPr>
          <w:rFonts w:eastAsia="Times New Roman" w:asciiTheme="minorHAnsi" w:hAnsiTheme="minorHAnsi"/>
          <w:sz w:val="24"/>
          <w:szCs w:val="24"/>
          <w:lang w:eastAsia="en-US"/>
        </w:rPr>
        <w:t>’</w:t>
      </w:r>
      <w:r w:rsidRPr="004C5976">
        <w:rPr>
          <w:rFonts w:eastAsia="Times New Roman" w:asciiTheme="minorHAnsi" w:hAnsiTheme="minorHAnsi"/>
          <w:sz w:val="24"/>
          <w:szCs w:val="24"/>
          <w:lang w:eastAsia="en-US"/>
        </w:rPr>
        <w:t>, zorgvuldige beslisser, die handelt in een breed beroepsmatig kader waarin ‘genezen’ voorop staat en niet levensbeëindiging, tenzij echt niet anders mogelijk. Een ‘nee, tenzij…</w:t>
      </w:r>
      <w:r w:rsidRPr="004C5976" w:rsidR="00694A9A">
        <w:rPr>
          <w:rFonts w:eastAsia="Times New Roman" w:asciiTheme="minorHAnsi" w:hAnsiTheme="minorHAnsi"/>
          <w:sz w:val="24"/>
          <w:szCs w:val="24"/>
          <w:lang w:eastAsia="en-US"/>
        </w:rPr>
        <w:t>’-attitude waarin de ‘normale’ medische beroepsuitoefening remmend werkt</w:t>
      </w:r>
      <w:r w:rsidR="008C5D87">
        <w:rPr>
          <w:rFonts w:eastAsia="Times New Roman" w:asciiTheme="minorHAnsi" w:hAnsiTheme="minorHAnsi"/>
          <w:sz w:val="24"/>
          <w:szCs w:val="24"/>
          <w:lang w:eastAsia="en-US"/>
        </w:rPr>
        <w:t>, ook als bijdrage aan zorgvuldigheid en terughoudendheid</w:t>
      </w:r>
      <w:r w:rsidRPr="004C5976" w:rsidR="00694A9A">
        <w:rPr>
          <w:rFonts w:eastAsia="Times New Roman" w:asciiTheme="minorHAnsi" w:hAnsiTheme="minorHAnsi"/>
          <w:sz w:val="24"/>
          <w:szCs w:val="24"/>
          <w:lang w:eastAsia="en-US"/>
        </w:rPr>
        <w:t>.</w:t>
      </w:r>
      <w:r w:rsidR="00A86540">
        <w:rPr>
          <w:rFonts w:eastAsia="Times New Roman" w:asciiTheme="minorHAnsi" w:hAnsiTheme="minorHAnsi"/>
          <w:sz w:val="24"/>
          <w:szCs w:val="24"/>
          <w:lang w:eastAsia="en-US"/>
        </w:rPr>
        <w:t xml:space="preserve"> </w:t>
      </w:r>
      <w:r w:rsidRPr="004C5976">
        <w:rPr>
          <w:rFonts w:eastAsia="Times New Roman" w:asciiTheme="minorHAnsi" w:hAnsiTheme="minorHAnsi"/>
          <w:sz w:val="24"/>
          <w:szCs w:val="24"/>
          <w:lang w:eastAsia="en-US"/>
        </w:rPr>
        <w:t xml:space="preserve">In </w:t>
      </w:r>
      <w:r w:rsidRPr="004C5976" w:rsidR="00502352">
        <w:rPr>
          <w:rFonts w:eastAsia="Times New Roman" w:asciiTheme="minorHAnsi" w:hAnsiTheme="minorHAnsi"/>
          <w:sz w:val="24"/>
          <w:szCs w:val="24"/>
          <w:lang w:eastAsia="en-US"/>
        </w:rPr>
        <w:t xml:space="preserve">het wetsvoorstel voor de Wtlo </w:t>
      </w:r>
      <w:r w:rsidRPr="004C5976">
        <w:rPr>
          <w:rFonts w:eastAsia="Times New Roman" w:asciiTheme="minorHAnsi" w:hAnsiTheme="minorHAnsi"/>
          <w:sz w:val="24"/>
          <w:szCs w:val="24"/>
          <w:lang w:eastAsia="en-US"/>
        </w:rPr>
        <w:t>treedt in de plaats van de arts de ‘levenseindebegeleider’</w:t>
      </w:r>
      <w:r w:rsidRPr="004C5976" w:rsidR="00EC1355">
        <w:rPr>
          <w:rFonts w:eastAsia="Times New Roman" w:asciiTheme="minorHAnsi" w:hAnsiTheme="minorHAnsi"/>
          <w:sz w:val="24"/>
          <w:szCs w:val="24"/>
          <w:lang w:eastAsia="en-US"/>
        </w:rPr>
        <w:t>,</w:t>
      </w:r>
      <w:r w:rsidRPr="004C5976">
        <w:rPr>
          <w:rFonts w:eastAsia="Times New Roman" w:asciiTheme="minorHAnsi" w:hAnsiTheme="minorHAnsi"/>
          <w:sz w:val="24"/>
          <w:szCs w:val="24"/>
          <w:lang w:eastAsia="en-US"/>
        </w:rPr>
        <w:t xml:space="preserve"> wiens werkzaamheid </w:t>
      </w:r>
      <w:r w:rsidRPr="004C5976" w:rsidR="00EC1355">
        <w:rPr>
          <w:rFonts w:eastAsia="Times New Roman" w:asciiTheme="minorHAnsi" w:hAnsiTheme="minorHAnsi"/>
          <w:sz w:val="24"/>
          <w:szCs w:val="24"/>
          <w:lang w:eastAsia="en-US"/>
        </w:rPr>
        <w:t xml:space="preserve">en zelfstandige oriëntatie </w:t>
      </w:r>
      <w:r w:rsidRPr="004C5976" w:rsidR="00694A9A">
        <w:rPr>
          <w:rFonts w:eastAsia="Times New Roman" w:asciiTheme="minorHAnsi" w:hAnsiTheme="minorHAnsi"/>
          <w:sz w:val="24"/>
          <w:szCs w:val="24"/>
          <w:lang w:eastAsia="en-US"/>
        </w:rPr>
        <w:t xml:space="preserve">enkel </w:t>
      </w:r>
      <w:r w:rsidRPr="004C5976" w:rsidR="00EC1355">
        <w:rPr>
          <w:rFonts w:eastAsia="Times New Roman" w:asciiTheme="minorHAnsi" w:hAnsiTheme="minorHAnsi"/>
          <w:sz w:val="24"/>
          <w:szCs w:val="24"/>
          <w:lang w:eastAsia="en-US"/>
        </w:rPr>
        <w:t xml:space="preserve">de </w:t>
      </w:r>
      <w:r w:rsidRPr="004C5976">
        <w:rPr>
          <w:rFonts w:eastAsia="Times New Roman" w:asciiTheme="minorHAnsi" w:hAnsiTheme="minorHAnsi"/>
          <w:sz w:val="24"/>
          <w:szCs w:val="24"/>
          <w:lang w:eastAsia="en-US"/>
        </w:rPr>
        <w:t>levenseindebegeleiding</w:t>
      </w:r>
      <w:r w:rsidR="006E32B1">
        <w:rPr>
          <w:rFonts w:eastAsia="Times New Roman" w:asciiTheme="minorHAnsi" w:hAnsiTheme="minorHAnsi"/>
          <w:sz w:val="24"/>
          <w:szCs w:val="24"/>
          <w:lang w:eastAsia="en-US"/>
        </w:rPr>
        <w:t xml:space="preserve"> en de wens daartoe van de betreffende burger</w:t>
      </w:r>
      <w:r w:rsidRPr="004C5976">
        <w:rPr>
          <w:rFonts w:eastAsia="Times New Roman" w:asciiTheme="minorHAnsi" w:hAnsiTheme="minorHAnsi"/>
          <w:sz w:val="24"/>
          <w:szCs w:val="24"/>
          <w:lang w:eastAsia="en-US"/>
        </w:rPr>
        <w:t xml:space="preserve"> </w:t>
      </w:r>
      <w:r w:rsidRPr="004C5976" w:rsidR="00EC1355">
        <w:rPr>
          <w:rFonts w:eastAsia="Times New Roman" w:asciiTheme="minorHAnsi" w:hAnsiTheme="minorHAnsi"/>
          <w:sz w:val="24"/>
          <w:szCs w:val="24"/>
          <w:lang w:eastAsia="en-US"/>
        </w:rPr>
        <w:t>is. De vraag is welk</w:t>
      </w:r>
      <w:r w:rsidRPr="004C5976" w:rsidR="00694A9A">
        <w:rPr>
          <w:rFonts w:eastAsia="Times New Roman" w:asciiTheme="minorHAnsi" w:hAnsiTheme="minorHAnsi"/>
          <w:sz w:val="24"/>
          <w:szCs w:val="24"/>
          <w:lang w:eastAsia="en-US"/>
        </w:rPr>
        <w:t xml:space="preserve">e bredere </w:t>
      </w:r>
      <w:r w:rsidRPr="004C5976" w:rsidR="00EC1355">
        <w:rPr>
          <w:rFonts w:eastAsia="Times New Roman" w:asciiTheme="minorHAnsi" w:hAnsiTheme="minorHAnsi"/>
          <w:sz w:val="24"/>
          <w:szCs w:val="24"/>
          <w:lang w:eastAsia="en-US"/>
        </w:rPr>
        <w:t xml:space="preserve">oriëntatie er dan bestaat om </w:t>
      </w:r>
      <w:r w:rsidRPr="004C5976" w:rsidR="00694A9A">
        <w:rPr>
          <w:rFonts w:eastAsia="Times New Roman" w:asciiTheme="minorHAnsi" w:hAnsiTheme="minorHAnsi"/>
          <w:sz w:val="24"/>
          <w:szCs w:val="24"/>
          <w:lang w:eastAsia="en-US"/>
        </w:rPr>
        <w:t>terughoudend te zijn</w:t>
      </w:r>
      <w:r w:rsidR="001B531D">
        <w:rPr>
          <w:rFonts w:eastAsia="Times New Roman" w:asciiTheme="minorHAnsi" w:hAnsiTheme="minorHAnsi"/>
          <w:sz w:val="24"/>
          <w:szCs w:val="24"/>
          <w:lang w:eastAsia="en-US"/>
        </w:rPr>
        <w:t xml:space="preserve"> in het </w:t>
      </w:r>
      <w:r w:rsidRPr="00B30A8A" w:rsidR="001B531D">
        <w:rPr>
          <w:rFonts w:eastAsia="Times New Roman" w:asciiTheme="minorHAnsi" w:hAnsiTheme="minorHAnsi"/>
          <w:i/>
          <w:iCs/>
          <w:sz w:val="24"/>
          <w:szCs w:val="24"/>
          <w:lang w:eastAsia="en-US"/>
        </w:rPr>
        <w:t xml:space="preserve">algemeen </w:t>
      </w:r>
      <w:r w:rsidR="001B531D">
        <w:rPr>
          <w:rFonts w:eastAsia="Times New Roman" w:asciiTheme="minorHAnsi" w:hAnsiTheme="minorHAnsi"/>
          <w:sz w:val="24"/>
          <w:szCs w:val="24"/>
          <w:lang w:eastAsia="en-US"/>
        </w:rPr>
        <w:t>belang van zorgvuldigheid</w:t>
      </w:r>
      <w:r w:rsidR="000C7DFB">
        <w:rPr>
          <w:rFonts w:eastAsia="Times New Roman" w:asciiTheme="minorHAnsi" w:hAnsiTheme="minorHAnsi"/>
          <w:sz w:val="24"/>
          <w:szCs w:val="24"/>
          <w:lang w:eastAsia="en-US"/>
        </w:rPr>
        <w:t>.</w:t>
      </w:r>
      <w:r w:rsidR="008E10A2">
        <w:rPr>
          <w:rFonts w:eastAsia="Times New Roman" w:asciiTheme="minorHAnsi" w:hAnsiTheme="minorHAnsi"/>
          <w:sz w:val="24"/>
          <w:szCs w:val="24"/>
          <w:lang w:eastAsia="en-US"/>
        </w:rPr>
        <w:t xml:space="preserve"> Er zal geen sprake </w:t>
      </w:r>
      <w:r w:rsidR="00F13D36">
        <w:rPr>
          <w:rFonts w:eastAsia="Times New Roman" w:asciiTheme="minorHAnsi" w:hAnsiTheme="minorHAnsi"/>
          <w:sz w:val="24"/>
          <w:szCs w:val="24"/>
          <w:lang w:eastAsia="en-US"/>
        </w:rPr>
        <w:t xml:space="preserve">(kunnen) </w:t>
      </w:r>
      <w:r w:rsidR="008E10A2">
        <w:rPr>
          <w:rFonts w:eastAsia="Times New Roman" w:asciiTheme="minorHAnsi" w:hAnsiTheme="minorHAnsi"/>
          <w:sz w:val="24"/>
          <w:szCs w:val="24"/>
          <w:lang w:eastAsia="en-US"/>
        </w:rPr>
        <w:t>zijn van een door de arts</w:t>
      </w:r>
      <w:r w:rsidR="00F13D36">
        <w:rPr>
          <w:rFonts w:eastAsia="Times New Roman" w:asciiTheme="minorHAnsi" w:hAnsiTheme="minorHAnsi"/>
          <w:sz w:val="24"/>
          <w:szCs w:val="24"/>
          <w:lang w:eastAsia="en-US"/>
        </w:rPr>
        <w:t xml:space="preserve">, op grond van zijn kennis over het lijden en medische zin en </w:t>
      </w:r>
      <w:r w:rsidR="008E10A2">
        <w:rPr>
          <w:rFonts w:eastAsia="Times New Roman" w:asciiTheme="minorHAnsi" w:hAnsiTheme="minorHAnsi"/>
          <w:sz w:val="24"/>
          <w:szCs w:val="24"/>
          <w:lang w:eastAsia="en-US"/>
        </w:rPr>
        <w:t xml:space="preserve">uit de beleving van het lijden </w:t>
      </w:r>
      <w:r w:rsidR="00F13D36">
        <w:rPr>
          <w:rFonts w:eastAsia="Times New Roman" w:asciiTheme="minorHAnsi" w:hAnsiTheme="minorHAnsi"/>
          <w:sz w:val="24"/>
          <w:szCs w:val="24"/>
          <w:lang w:eastAsia="en-US"/>
        </w:rPr>
        <w:t xml:space="preserve">daaraan </w:t>
      </w:r>
      <w:r w:rsidR="008E10A2">
        <w:rPr>
          <w:rFonts w:eastAsia="Times New Roman" w:asciiTheme="minorHAnsi" w:hAnsiTheme="minorHAnsi"/>
          <w:sz w:val="24"/>
          <w:szCs w:val="24"/>
          <w:lang w:eastAsia="en-US"/>
        </w:rPr>
        <w:t>door de patiënt begrepen doodswens</w:t>
      </w:r>
      <w:r w:rsidR="009616B6">
        <w:rPr>
          <w:rFonts w:eastAsia="Times New Roman" w:asciiTheme="minorHAnsi" w:hAnsiTheme="minorHAnsi"/>
          <w:sz w:val="24"/>
          <w:szCs w:val="24"/>
          <w:lang w:eastAsia="en-US"/>
        </w:rPr>
        <w:t xml:space="preserve"> waaraan daarom gevolg kan worden gegeven. Die kern van zorgvuldigheid binnen de Wtl ontbreekt bij de Wtlo waar de doodswens als gegeven doel de ingang van de procedure is</w:t>
      </w:r>
      <w:r w:rsidR="008E10A2">
        <w:rPr>
          <w:rFonts w:eastAsia="Times New Roman" w:asciiTheme="minorHAnsi" w:hAnsiTheme="minorHAnsi"/>
          <w:sz w:val="24"/>
          <w:szCs w:val="24"/>
          <w:lang w:eastAsia="en-US"/>
        </w:rPr>
        <w:t>.</w:t>
      </w:r>
      <w:r w:rsidR="00E64ABF">
        <w:rPr>
          <w:rFonts w:eastAsia="Times New Roman" w:asciiTheme="minorHAnsi" w:hAnsiTheme="minorHAnsi"/>
          <w:sz w:val="24"/>
          <w:szCs w:val="24"/>
          <w:lang w:eastAsia="en-US"/>
        </w:rPr>
        <w:t xml:space="preserve"> </w:t>
      </w:r>
      <w:r w:rsidR="00B3338D">
        <w:rPr>
          <w:rFonts w:eastAsia="Times New Roman" w:asciiTheme="minorHAnsi" w:hAnsiTheme="minorHAnsi"/>
          <w:sz w:val="24"/>
          <w:szCs w:val="24"/>
          <w:lang w:eastAsia="en-US"/>
        </w:rPr>
        <w:t>De keuze van de oudere om verdere hulpverlening</w:t>
      </w:r>
      <w:r w:rsidR="000D643D">
        <w:rPr>
          <w:rFonts w:eastAsia="Times New Roman" w:asciiTheme="minorHAnsi" w:hAnsiTheme="minorHAnsi"/>
          <w:sz w:val="24"/>
          <w:szCs w:val="24"/>
          <w:lang w:eastAsia="en-US"/>
        </w:rPr>
        <w:t xml:space="preserve"> niet aan te nemen</w:t>
      </w:r>
      <w:r w:rsidR="00B3338D">
        <w:rPr>
          <w:rFonts w:eastAsia="Times New Roman" w:asciiTheme="minorHAnsi" w:hAnsiTheme="minorHAnsi"/>
          <w:sz w:val="24"/>
          <w:szCs w:val="24"/>
          <w:lang w:eastAsia="en-US"/>
        </w:rPr>
        <w:t xml:space="preserve">, </w:t>
      </w:r>
      <w:r w:rsidR="000D643D">
        <w:rPr>
          <w:rFonts w:eastAsia="Times New Roman" w:asciiTheme="minorHAnsi" w:hAnsiTheme="minorHAnsi"/>
          <w:sz w:val="24"/>
          <w:szCs w:val="24"/>
          <w:lang w:eastAsia="en-US"/>
        </w:rPr>
        <w:t xml:space="preserve">ook als die </w:t>
      </w:r>
      <w:r w:rsidR="00B3338D">
        <w:rPr>
          <w:rFonts w:eastAsia="Times New Roman" w:asciiTheme="minorHAnsi" w:hAnsiTheme="minorHAnsi"/>
          <w:sz w:val="24"/>
          <w:szCs w:val="24"/>
          <w:lang w:eastAsia="en-US"/>
        </w:rPr>
        <w:t>beschikbaa</w:t>
      </w:r>
      <w:r w:rsidR="00BD326E">
        <w:rPr>
          <w:rFonts w:eastAsia="Times New Roman" w:asciiTheme="minorHAnsi" w:hAnsiTheme="minorHAnsi"/>
          <w:sz w:val="24"/>
          <w:szCs w:val="24"/>
          <w:lang w:eastAsia="en-US"/>
        </w:rPr>
        <w:t>r</w:t>
      </w:r>
      <w:r w:rsidR="00CA0060">
        <w:rPr>
          <w:rFonts w:eastAsia="Times New Roman" w:asciiTheme="minorHAnsi" w:hAnsiTheme="minorHAnsi"/>
          <w:sz w:val="24"/>
          <w:szCs w:val="24"/>
          <w:lang w:eastAsia="en-US"/>
        </w:rPr>
        <w:t xml:space="preserve"> </w:t>
      </w:r>
      <w:r w:rsidR="000D643D">
        <w:rPr>
          <w:rFonts w:eastAsia="Times New Roman" w:asciiTheme="minorHAnsi" w:hAnsiTheme="minorHAnsi"/>
          <w:sz w:val="24"/>
          <w:szCs w:val="24"/>
          <w:lang w:eastAsia="en-US"/>
        </w:rPr>
        <w:t xml:space="preserve">is </w:t>
      </w:r>
      <w:r w:rsidR="00CA0060">
        <w:rPr>
          <w:rFonts w:eastAsia="Times New Roman" w:asciiTheme="minorHAnsi" w:hAnsiTheme="minorHAnsi"/>
          <w:sz w:val="24"/>
          <w:szCs w:val="24"/>
          <w:lang w:eastAsia="en-US"/>
        </w:rPr>
        <w:t xml:space="preserve">om </w:t>
      </w:r>
      <w:r w:rsidR="00F9699D">
        <w:rPr>
          <w:rFonts w:eastAsia="Times New Roman" w:asciiTheme="minorHAnsi" w:hAnsiTheme="minorHAnsi"/>
          <w:sz w:val="24"/>
          <w:szCs w:val="24"/>
          <w:lang w:eastAsia="en-US"/>
        </w:rPr>
        <w:t xml:space="preserve">aan </w:t>
      </w:r>
      <w:r w:rsidR="00CA0060">
        <w:rPr>
          <w:rFonts w:eastAsia="Times New Roman" w:asciiTheme="minorHAnsi" w:hAnsiTheme="minorHAnsi"/>
          <w:sz w:val="24"/>
          <w:szCs w:val="24"/>
          <w:lang w:eastAsia="en-US"/>
        </w:rPr>
        <w:t>het levenspers</w:t>
      </w:r>
      <w:r w:rsidR="00F9699D">
        <w:rPr>
          <w:rFonts w:eastAsia="Times New Roman" w:asciiTheme="minorHAnsi" w:hAnsiTheme="minorHAnsi"/>
          <w:sz w:val="24"/>
          <w:szCs w:val="24"/>
          <w:lang w:eastAsia="en-US"/>
        </w:rPr>
        <w:t>pectief positieve invulling te geven</w:t>
      </w:r>
      <w:r w:rsidR="00AB600C">
        <w:rPr>
          <w:rFonts w:eastAsia="Times New Roman" w:asciiTheme="minorHAnsi" w:hAnsiTheme="minorHAnsi"/>
          <w:sz w:val="24"/>
          <w:szCs w:val="24"/>
          <w:lang w:eastAsia="en-US"/>
        </w:rPr>
        <w:t>, dient (immers) te worden gerespecteerd.</w:t>
      </w:r>
      <w:r w:rsidR="00B33846">
        <w:rPr>
          <w:rFonts w:eastAsia="Times New Roman" w:asciiTheme="minorHAnsi" w:hAnsiTheme="minorHAnsi"/>
          <w:sz w:val="24"/>
          <w:szCs w:val="24"/>
          <w:lang w:eastAsia="en-US"/>
        </w:rPr>
        <w:t xml:space="preserve"> Indien de Wtl (mogelijk) van toepassing is, hoeft dat traject niet eerst te worden beproefd.</w:t>
      </w:r>
    </w:p>
    <w:p w:rsidRPr="004C5976" w:rsidR="00694A9A" w:rsidP="004C5976" w:rsidRDefault="00694A9A" w14:paraId="52D87AED" w14:textId="77777777">
      <w:pPr>
        <w:rPr>
          <w:rFonts w:eastAsia="Times New Roman" w:asciiTheme="minorHAnsi" w:hAnsiTheme="minorHAnsi"/>
          <w:sz w:val="24"/>
          <w:szCs w:val="24"/>
          <w:lang w:eastAsia="en-US"/>
        </w:rPr>
      </w:pPr>
    </w:p>
    <w:p w:rsidRPr="00B54E85" w:rsidR="00BC416F" w:rsidP="004C5976" w:rsidRDefault="00694A9A" w14:paraId="2E547EF4" w14:textId="1350145B">
      <w:pPr>
        <w:rPr>
          <w:rFonts w:eastAsia="Times New Roman" w:asciiTheme="minorHAnsi" w:hAnsiTheme="minorHAnsi"/>
          <w:b/>
          <w:bCs/>
          <w:i/>
          <w:iCs/>
          <w:sz w:val="24"/>
          <w:szCs w:val="24"/>
          <w:lang w:eastAsia="en-US"/>
        </w:rPr>
      </w:pPr>
      <w:r w:rsidRPr="004C5976">
        <w:rPr>
          <w:rFonts w:eastAsia="Times New Roman" w:asciiTheme="minorHAnsi" w:hAnsiTheme="minorHAnsi"/>
          <w:sz w:val="24"/>
          <w:szCs w:val="24"/>
          <w:lang w:eastAsia="en-US"/>
        </w:rPr>
        <w:t xml:space="preserve">De rol van de arts is ook </w:t>
      </w:r>
      <w:r w:rsidR="008F2BC4">
        <w:rPr>
          <w:rFonts w:eastAsia="Times New Roman" w:asciiTheme="minorHAnsi" w:hAnsiTheme="minorHAnsi"/>
          <w:sz w:val="24"/>
          <w:szCs w:val="24"/>
          <w:lang w:eastAsia="en-US"/>
        </w:rPr>
        <w:t xml:space="preserve">nog </w:t>
      </w:r>
      <w:r w:rsidRPr="004C5976">
        <w:rPr>
          <w:rFonts w:eastAsia="Times New Roman" w:asciiTheme="minorHAnsi" w:hAnsiTheme="minorHAnsi"/>
          <w:sz w:val="24"/>
          <w:szCs w:val="24"/>
          <w:lang w:eastAsia="en-US"/>
        </w:rPr>
        <w:t xml:space="preserve">uit een ander perspectief relevant. Veel mensen hechten waarde aan de rol van de (huis)arts bij de besluitvoering en bij de uitvoering van de levensbeëindiging. Die waarde gaat verloren als die rol door de levenseindebegeleider wordt overgenomen. Of een arts in dat kader zo vanzelfsprekend medische </w:t>
      </w:r>
      <w:r w:rsidRPr="004C5976" w:rsidR="00502352">
        <w:rPr>
          <w:rFonts w:eastAsia="Times New Roman" w:asciiTheme="minorHAnsi" w:hAnsiTheme="minorHAnsi"/>
          <w:sz w:val="24"/>
          <w:szCs w:val="24"/>
          <w:lang w:eastAsia="en-US"/>
        </w:rPr>
        <w:t xml:space="preserve">en andere </w:t>
      </w:r>
      <w:r w:rsidRPr="004C5976">
        <w:rPr>
          <w:rFonts w:eastAsia="Times New Roman" w:asciiTheme="minorHAnsi" w:hAnsiTheme="minorHAnsi"/>
          <w:sz w:val="24"/>
          <w:szCs w:val="24"/>
          <w:lang w:eastAsia="en-US"/>
        </w:rPr>
        <w:t>gegevens van de patiënt met de levenseindeb</w:t>
      </w:r>
      <w:r w:rsidRPr="004C5976" w:rsidR="00502352">
        <w:rPr>
          <w:rFonts w:eastAsia="Times New Roman" w:asciiTheme="minorHAnsi" w:hAnsiTheme="minorHAnsi"/>
          <w:sz w:val="24"/>
          <w:szCs w:val="24"/>
          <w:lang w:eastAsia="en-US"/>
        </w:rPr>
        <w:t>e</w:t>
      </w:r>
      <w:r w:rsidRPr="004C5976">
        <w:rPr>
          <w:rFonts w:eastAsia="Times New Roman" w:asciiTheme="minorHAnsi" w:hAnsiTheme="minorHAnsi"/>
          <w:sz w:val="24"/>
          <w:szCs w:val="24"/>
          <w:lang w:eastAsia="en-US"/>
        </w:rPr>
        <w:t>geleider zal (willen) delen als het wetsvoorstel veronderstelt</w:t>
      </w:r>
      <w:r w:rsidR="00CC3969">
        <w:rPr>
          <w:rFonts w:eastAsia="Times New Roman" w:asciiTheme="minorHAnsi" w:hAnsiTheme="minorHAnsi"/>
          <w:sz w:val="24"/>
          <w:szCs w:val="24"/>
          <w:lang w:eastAsia="en-US"/>
        </w:rPr>
        <w:t xml:space="preserve"> en voorschrijft</w:t>
      </w:r>
      <w:r w:rsidRPr="004C5976">
        <w:rPr>
          <w:rFonts w:eastAsia="Times New Roman" w:asciiTheme="minorHAnsi" w:hAnsiTheme="minorHAnsi"/>
          <w:sz w:val="24"/>
          <w:szCs w:val="24"/>
          <w:lang w:eastAsia="en-US"/>
        </w:rPr>
        <w:t xml:space="preserve">, is </w:t>
      </w:r>
      <w:r w:rsidR="00B54E85">
        <w:rPr>
          <w:rFonts w:eastAsia="Times New Roman" w:asciiTheme="minorHAnsi" w:hAnsiTheme="minorHAnsi"/>
          <w:sz w:val="24"/>
          <w:szCs w:val="24"/>
          <w:lang w:eastAsia="en-US"/>
        </w:rPr>
        <w:t xml:space="preserve">overigens </w:t>
      </w:r>
      <w:r w:rsidRPr="004C5976">
        <w:rPr>
          <w:rFonts w:eastAsia="Times New Roman" w:asciiTheme="minorHAnsi" w:hAnsiTheme="minorHAnsi"/>
          <w:sz w:val="24"/>
          <w:szCs w:val="24"/>
          <w:lang w:eastAsia="en-US"/>
        </w:rPr>
        <w:t xml:space="preserve">de vraag. </w:t>
      </w:r>
    </w:p>
    <w:p w:rsidRPr="004C5976" w:rsidR="00023BAE" w:rsidP="004C5976" w:rsidRDefault="00023BAE" w14:paraId="6E5C801C" w14:textId="77777777">
      <w:pPr>
        <w:rPr>
          <w:rFonts w:asciiTheme="minorHAnsi" w:hAnsiTheme="minorHAnsi"/>
          <w:sz w:val="24"/>
          <w:szCs w:val="24"/>
          <w:lang w:eastAsia="en-US"/>
        </w:rPr>
      </w:pPr>
    </w:p>
    <w:p w:rsidRPr="004C5976" w:rsidR="00694A9A" w:rsidP="004C5976" w:rsidRDefault="00EC1355" w14:paraId="7CB9495B" w14:textId="12466D0F">
      <w:pPr>
        <w:rPr>
          <w:rFonts w:asciiTheme="minorHAnsi" w:hAnsiTheme="minorHAnsi"/>
          <w:sz w:val="24"/>
          <w:szCs w:val="24"/>
        </w:rPr>
      </w:pPr>
      <w:r w:rsidRPr="004C5976">
        <w:rPr>
          <w:rFonts w:asciiTheme="minorHAnsi" w:hAnsiTheme="minorHAnsi"/>
          <w:sz w:val="24"/>
          <w:szCs w:val="24"/>
        </w:rPr>
        <w:t xml:space="preserve">Daarbij blijft de vraag open of er </w:t>
      </w:r>
      <w:r w:rsidRPr="004C5976" w:rsidR="00694A9A">
        <w:rPr>
          <w:rFonts w:asciiTheme="minorHAnsi" w:hAnsiTheme="minorHAnsi"/>
          <w:sz w:val="24"/>
          <w:szCs w:val="24"/>
        </w:rPr>
        <w:t xml:space="preserve">nu wel </w:t>
      </w:r>
      <w:r w:rsidRPr="004C5976">
        <w:rPr>
          <w:rFonts w:asciiTheme="minorHAnsi" w:hAnsiTheme="minorHAnsi"/>
          <w:sz w:val="24"/>
          <w:szCs w:val="24"/>
        </w:rPr>
        <w:t>zo</w:t>
      </w:r>
      <w:r w:rsidRPr="004C5976" w:rsidR="00694A9A">
        <w:rPr>
          <w:rFonts w:asciiTheme="minorHAnsi" w:hAnsiTheme="minorHAnsi"/>
          <w:sz w:val="24"/>
          <w:szCs w:val="24"/>
        </w:rPr>
        <w:t>’</w:t>
      </w:r>
      <w:r w:rsidRPr="004C5976">
        <w:rPr>
          <w:rFonts w:asciiTheme="minorHAnsi" w:hAnsiTheme="minorHAnsi"/>
          <w:sz w:val="24"/>
          <w:szCs w:val="24"/>
        </w:rPr>
        <w:t xml:space="preserve">n </w:t>
      </w:r>
      <w:r w:rsidRPr="004C5976" w:rsidR="00694A9A">
        <w:rPr>
          <w:rFonts w:asciiTheme="minorHAnsi" w:hAnsiTheme="minorHAnsi"/>
          <w:sz w:val="24"/>
          <w:szCs w:val="24"/>
        </w:rPr>
        <w:t xml:space="preserve">grote behoefte </w:t>
      </w:r>
      <w:r w:rsidRPr="004C5976">
        <w:rPr>
          <w:rFonts w:asciiTheme="minorHAnsi" w:hAnsiTheme="minorHAnsi"/>
          <w:sz w:val="24"/>
          <w:szCs w:val="24"/>
        </w:rPr>
        <w:t xml:space="preserve">is aan een aparte regeling naast de </w:t>
      </w:r>
      <w:r w:rsidRPr="004C5976" w:rsidR="00694A9A">
        <w:rPr>
          <w:rFonts w:asciiTheme="minorHAnsi" w:hAnsiTheme="minorHAnsi"/>
          <w:sz w:val="24"/>
          <w:szCs w:val="24"/>
        </w:rPr>
        <w:t>Wtl. De</w:t>
      </w:r>
      <w:r w:rsidR="008A4C85">
        <w:rPr>
          <w:rFonts w:asciiTheme="minorHAnsi" w:hAnsiTheme="minorHAnsi"/>
          <w:sz w:val="24"/>
          <w:szCs w:val="24"/>
        </w:rPr>
        <w:t xml:space="preserve"> Wtl</w:t>
      </w:r>
      <w:r w:rsidRPr="004C5976" w:rsidR="00694A9A">
        <w:rPr>
          <w:rFonts w:asciiTheme="minorHAnsi" w:hAnsiTheme="minorHAnsi"/>
          <w:sz w:val="24"/>
          <w:szCs w:val="24"/>
        </w:rPr>
        <w:t xml:space="preserve"> kent een medisch lijden als grondslag, maar bezit daarbinnen ook een zekere openheid, ook in de interpretatie en toepassing van de verschillende zorgvuldigheidscriteria. In de </w:t>
      </w:r>
      <w:r w:rsidR="00AD1224">
        <w:rPr>
          <w:rFonts w:asciiTheme="minorHAnsi" w:hAnsiTheme="minorHAnsi"/>
          <w:sz w:val="24"/>
          <w:szCs w:val="24"/>
        </w:rPr>
        <w:t>vierde</w:t>
      </w:r>
      <w:r w:rsidRPr="004C5976" w:rsidR="00694A9A">
        <w:rPr>
          <w:rFonts w:asciiTheme="minorHAnsi" w:hAnsiTheme="minorHAnsi"/>
          <w:sz w:val="24"/>
          <w:szCs w:val="24"/>
        </w:rPr>
        <w:t xml:space="preserve"> </w:t>
      </w:r>
      <w:r w:rsidR="00AD1224">
        <w:rPr>
          <w:rFonts w:asciiTheme="minorHAnsi" w:hAnsiTheme="minorHAnsi"/>
          <w:sz w:val="24"/>
          <w:szCs w:val="24"/>
        </w:rPr>
        <w:t>e</w:t>
      </w:r>
      <w:r w:rsidRPr="004C5976" w:rsidR="00694A9A">
        <w:rPr>
          <w:rFonts w:asciiTheme="minorHAnsi" w:hAnsiTheme="minorHAnsi"/>
          <w:sz w:val="24"/>
          <w:szCs w:val="24"/>
        </w:rPr>
        <w:t xml:space="preserve">valuatie van de Wtl komt een zekere verschuiving van de opvatting van de arts naar de inschatting van de patiënt naar voren. Levensbeëindiging op grond van psychisch lijden en op basis van een schriftelijke wilsverklaring (art. 2 lid 2 Wtl; </w:t>
      </w:r>
      <w:r w:rsidR="00DE3E84">
        <w:rPr>
          <w:rFonts w:asciiTheme="minorHAnsi" w:hAnsiTheme="minorHAnsi"/>
          <w:sz w:val="24"/>
          <w:szCs w:val="24"/>
        </w:rPr>
        <w:t>gevorderde</w:t>
      </w:r>
      <w:r w:rsidRPr="004C5976" w:rsidR="00694A9A">
        <w:rPr>
          <w:rFonts w:asciiTheme="minorHAnsi" w:hAnsiTheme="minorHAnsi"/>
          <w:sz w:val="24"/>
          <w:szCs w:val="24"/>
        </w:rPr>
        <w:t xml:space="preserve"> dementie) zijn tot ontwikkeling gekomen. Algemeen is aanvaard dat een stapeling van ouderdomsklachten uitzichtloos en ondraaglijk lijden in de zin van de Wtl kan opleveren. Juist voor de doelgroep </w:t>
      </w:r>
      <w:r w:rsidR="008C0CF0">
        <w:rPr>
          <w:rFonts w:asciiTheme="minorHAnsi" w:hAnsiTheme="minorHAnsi"/>
          <w:sz w:val="24"/>
          <w:szCs w:val="24"/>
        </w:rPr>
        <w:t xml:space="preserve">in het wetsvoorstel voor de Wtlo </w:t>
      </w:r>
      <w:r w:rsidRPr="002303DA" w:rsidR="00A52AEB">
        <w:rPr>
          <w:rFonts w:asciiTheme="minorHAnsi" w:hAnsiTheme="minorHAnsi"/>
          <w:color w:val="000000" w:themeColor="text1"/>
          <w:sz w:val="24"/>
          <w:szCs w:val="24"/>
        </w:rPr>
        <w:t>(</w:t>
      </w:r>
      <w:r w:rsidRPr="002303DA" w:rsidR="002303DA">
        <w:rPr>
          <w:rFonts w:asciiTheme="minorHAnsi" w:hAnsiTheme="minorHAnsi"/>
          <w:color w:val="000000" w:themeColor="text1"/>
          <w:sz w:val="24"/>
          <w:szCs w:val="24"/>
        </w:rPr>
        <w:t>personen die de leeftijd van 75 jaren hebben bereikt)</w:t>
      </w:r>
      <w:r w:rsidR="002303DA">
        <w:rPr>
          <w:rFonts w:asciiTheme="minorHAnsi" w:hAnsiTheme="minorHAnsi"/>
          <w:b/>
          <w:bCs/>
          <w:color w:val="000000" w:themeColor="text1"/>
          <w:sz w:val="24"/>
          <w:szCs w:val="24"/>
        </w:rPr>
        <w:t xml:space="preserve"> </w:t>
      </w:r>
      <w:r w:rsidRPr="004C5976" w:rsidR="00694A9A">
        <w:rPr>
          <w:rFonts w:asciiTheme="minorHAnsi" w:hAnsiTheme="minorHAnsi"/>
          <w:sz w:val="24"/>
          <w:szCs w:val="24"/>
        </w:rPr>
        <w:t xml:space="preserve">is dat laatste van betekenis. (Daargelaten de </w:t>
      </w:r>
      <w:r w:rsidR="001C373C">
        <w:rPr>
          <w:rFonts w:asciiTheme="minorHAnsi" w:hAnsiTheme="minorHAnsi"/>
          <w:sz w:val="24"/>
          <w:szCs w:val="24"/>
        </w:rPr>
        <w:t xml:space="preserve">praktische en principiële </w:t>
      </w:r>
      <w:r w:rsidRPr="004C5976" w:rsidR="00694A9A">
        <w:rPr>
          <w:rFonts w:asciiTheme="minorHAnsi" w:hAnsiTheme="minorHAnsi"/>
          <w:sz w:val="24"/>
          <w:szCs w:val="24"/>
        </w:rPr>
        <w:t xml:space="preserve">houdbaarheid van die </w:t>
      </w:r>
      <w:r w:rsidR="00FE58BE">
        <w:rPr>
          <w:rFonts w:asciiTheme="minorHAnsi" w:hAnsiTheme="minorHAnsi"/>
          <w:sz w:val="24"/>
          <w:szCs w:val="24"/>
        </w:rPr>
        <w:t xml:space="preserve">harde </w:t>
      </w:r>
      <w:r w:rsidR="005456D8">
        <w:rPr>
          <w:rFonts w:asciiTheme="minorHAnsi" w:hAnsiTheme="minorHAnsi"/>
          <w:sz w:val="24"/>
          <w:szCs w:val="24"/>
        </w:rPr>
        <w:t>minimuml</w:t>
      </w:r>
      <w:r w:rsidRPr="004C5976" w:rsidR="005456D8">
        <w:rPr>
          <w:rFonts w:asciiTheme="minorHAnsi" w:hAnsiTheme="minorHAnsi"/>
          <w:sz w:val="24"/>
          <w:szCs w:val="24"/>
        </w:rPr>
        <w:t>eeftijd</w:t>
      </w:r>
      <w:r w:rsidR="00392E59">
        <w:rPr>
          <w:rFonts w:asciiTheme="minorHAnsi" w:hAnsiTheme="minorHAnsi"/>
          <w:sz w:val="24"/>
          <w:szCs w:val="24"/>
        </w:rPr>
        <w:t>.</w:t>
      </w:r>
      <w:r w:rsidRPr="004C5976" w:rsidR="00694A9A">
        <w:rPr>
          <w:rFonts w:asciiTheme="minorHAnsi" w:hAnsiTheme="minorHAnsi"/>
          <w:sz w:val="24"/>
          <w:szCs w:val="24"/>
        </w:rPr>
        <w:t xml:space="preserve">) </w:t>
      </w:r>
    </w:p>
    <w:p w:rsidRPr="004C5976" w:rsidR="00694A9A" w:rsidP="004C5976" w:rsidRDefault="00694A9A" w14:paraId="58A30B93" w14:textId="77777777">
      <w:pPr>
        <w:rPr>
          <w:rFonts w:asciiTheme="minorHAnsi" w:hAnsiTheme="minorHAnsi"/>
          <w:sz w:val="24"/>
          <w:szCs w:val="24"/>
        </w:rPr>
      </w:pPr>
    </w:p>
    <w:p w:rsidR="00023BAE" w:rsidP="004C5976" w:rsidRDefault="00694A9A" w14:paraId="7D40D940" w14:textId="52D4DD08">
      <w:pPr>
        <w:rPr>
          <w:rFonts w:eastAsia="Times New Roman" w:asciiTheme="minorHAnsi" w:hAnsiTheme="minorHAnsi"/>
          <w:sz w:val="24"/>
          <w:szCs w:val="24"/>
          <w:lang w:eastAsia="en-US"/>
        </w:rPr>
      </w:pPr>
      <w:r w:rsidRPr="004C5976">
        <w:rPr>
          <w:rFonts w:asciiTheme="minorHAnsi" w:hAnsiTheme="minorHAnsi"/>
          <w:sz w:val="24"/>
          <w:szCs w:val="24"/>
        </w:rPr>
        <w:lastRenderedPageBreak/>
        <w:t xml:space="preserve">In het kader van verder beproeven van andere mogelijkheden dan </w:t>
      </w:r>
      <w:r w:rsidRPr="004C5976" w:rsidR="00023BAE">
        <w:rPr>
          <w:rFonts w:asciiTheme="minorHAnsi" w:hAnsiTheme="minorHAnsi"/>
          <w:sz w:val="24"/>
          <w:szCs w:val="24"/>
        </w:rPr>
        <w:t xml:space="preserve">een wettelijke regeling op de grondslag </w:t>
      </w:r>
      <w:r w:rsidR="00FE6278">
        <w:rPr>
          <w:rFonts w:asciiTheme="minorHAnsi" w:hAnsiTheme="minorHAnsi"/>
          <w:sz w:val="24"/>
          <w:szCs w:val="24"/>
        </w:rPr>
        <w:t xml:space="preserve">van het wetsvoorstel </w:t>
      </w:r>
      <w:r w:rsidRPr="004C5976" w:rsidR="00023BAE">
        <w:rPr>
          <w:rFonts w:asciiTheme="minorHAnsi" w:hAnsiTheme="minorHAnsi"/>
          <w:sz w:val="24"/>
          <w:szCs w:val="24"/>
        </w:rPr>
        <w:t>kan gewezen worden op de zich nog ontwikkelende praktijk van het</w:t>
      </w:r>
      <w:r w:rsidRPr="004C5976" w:rsidR="00023BAE">
        <w:rPr>
          <w:rFonts w:eastAsia="Times New Roman" w:asciiTheme="minorHAnsi" w:hAnsiTheme="minorHAnsi"/>
          <w:sz w:val="24"/>
          <w:szCs w:val="24"/>
          <w:lang w:eastAsia="en-US"/>
        </w:rPr>
        <w:t xml:space="preserve"> stoppen met eten en drinken (SMED) en de hulp die artsen en hospices daarbij willen verlenen. Zo</w:t>
      </w:r>
      <w:r w:rsidRPr="004C5976" w:rsidR="00354F1E">
        <w:rPr>
          <w:rFonts w:eastAsia="Times New Roman" w:asciiTheme="minorHAnsi" w:hAnsiTheme="minorHAnsi"/>
          <w:sz w:val="24"/>
          <w:szCs w:val="24"/>
          <w:lang w:eastAsia="en-US"/>
        </w:rPr>
        <w:t>’</w:t>
      </w:r>
      <w:r w:rsidRPr="004C5976" w:rsidR="00023BAE">
        <w:rPr>
          <w:rFonts w:eastAsia="Times New Roman" w:asciiTheme="minorHAnsi" w:hAnsiTheme="minorHAnsi"/>
          <w:sz w:val="24"/>
          <w:szCs w:val="24"/>
          <w:lang w:eastAsia="en-US"/>
        </w:rPr>
        <w:t>n SMED</w:t>
      </w:r>
      <w:r w:rsidRPr="004C5976" w:rsidR="00354F1E">
        <w:rPr>
          <w:rFonts w:eastAsia="Times New Roman" w:asciiTheme="minorHAnsi" w:hAnsiTheme="minorHAnsi"/>
          <w:sz w:val="24"/>
          <w:szCs w:val="24"/>
          <w:lang w:eastAsia="en-US"/>
        </w:rPr>
        <w:t>-</w:t>
      </w:r>
      <w:r w:rsidRPr="004C5976" w:rsidR="00023BAE">
        <w:rPr>
          <w:rFonts w:eastAsia="Times New Roman" w:asciiTheme="minorHAnsi" w:hAnsiTheme="minorHAnsi"/>
          <w:sz w:val="24"/>
          <w:szCs w:val="24"/>
          <w:lang w:eastAsia="en-US"/>
        </w:rPr>
        <w:t>traject eist moed en doorzettingsvermogen, hetgeen ook kan worden gezien als garantie van standvastigheid in de wil tot levensbeëindiging en van de vrijwilligheid. Voor andere gevallen is mogelijk nog van belang dat de strafrechter, in het bijzonder ook de strafkamer van de Hoge Raad</w:t>
      </w:r>
      <w:r w:rsidR="00413013">
        <w:rPr>
          <w:rFonts w:eastAsia="Times New Roman" w:asciiTheme="minorHAnsi" w:hAnsiTheme="minorHAnsi"/>
          <w:sz w:val="24"/>
          <w:szCs w:val="24"/>
          <w:lang w:eastAsia="en-US"/>
        </w:rPr>
        <w:t xml:space="preserve"> betrekkelijk </w:t>
      </w:r>
      <w:r w:rsidRPr="004C5976" w:rsidR="00023BAE">
        <w:rPr>
          <w:rFonts w:eastAsia="Times New Roman" w:asciiTheme="minorHAnsi" w:hAnsiTheme="minorHAnsi"/>
          <w:sz w:val="24"/>
          <w:szCs w:val="24"/>
          <w:lang w:eastAsia="en-US"/>
        </w:rPr>
        <w:t>consequent heeft aangeduid dat ten aanzien van hulp bij zelfdoding steeds de optie van een beroep op rechtvaardigende noodtoestand open staat</w:t>
      </w:r>
      <w:r w:rsidR="00FE3464">
        <w:rPr>
          <w:rFonts w:eastAsia="Times New Roman" w:asciiTheme="minorHAnsi" w:hAnsiTheme="minorHAnsi"/>
          <w:sz w:val="24"/>
          <w:szCs w:val="24"/>
          <w:lang w:eastAsia="en-US"/>
        </w:rPr>
        <w:t>, ook voor de niet-arts</w:t>
      </w:r>
      <w:r w:rsidRPr="004C5976" w:rsidR="00023BAE">
        <w:rPr>
          <w:rFonts w:eastAsia="Times New Roman" w:asciiTheme="minorHAnsi" w:hAnsiTheme="minorHAnsi"/>
          <w:sz w:val="24"/>
          <w:szCs w:val="24"/>
          <w:lang w:eastAsia="en-US"/>
        </w:rPr>
        <w:t xml:space="preserve">. </w:t>
      </w:r>
      <w:r w:rsidRPr="004C5976" w:rsidR="00354F1E">
        <w:rPr>
          <w:rFonts w:eastAsia="Times New Roman" w:asciiTheme="minorHAnsi" w:hAnsiTheme="minorHAnsi"/>
          <w:sz w:val="24"/>
          <w:szCs w:val="24"/>
          <w:lang w:eastAsia="en-US"/>
        </w:rPr>
        <w:t xml:space="preserve">Dat was de basis waarop zich </w:t>
      </w:r>
      <w:r w:rsidRPr="004C5976" w:rsidR="00023BAE">
        <w:rPr>
          <w:rFonts w:eastAsia="Times New Roman" w:asciiTheme="minorHAnsi" w:hAnsiTheme="minorHAnsi"/>
          <w:sz w:val="24"/>
          <w:szCs w:val="24"/>
          <w:lang w:eastAsia="en-US"/>
        </w:rPr>
        <w:t xml:space="preserve">voor 2002 een bestendige praktijk van levensbeëindiging op verzoek </w:t>
      </w:r>
      <w:r w:rsidRPr="004C5976" w:rsidR="00354F1E">
        <w:rPr>
          <w:rFonts w:eastAsia="Times New Roman" w:asciiTheme="minorHAnsi" w:hAnsiTheme="minorHAnsi"/>
          <w:sz w:val="24"/>
          <w:szCs w:val="24"/>
          <w:lang w:eastAsia="en-US"/>
        </w:rPr>
        <w:t xml:space="preserve">heeft </w:t>
      </w:r>
      <w:r w:rsidRPr="004C5976" w:rsidR="00023BAE">
        <w:rPr>
          <w:rFonts w:eastAsia="Times New Roman" w:asciiTheme="minorHAnsi" w:hAnsiTheme="minorHAnsi"/>
          <w:sz w:val="24"/>
          <w:szCs w:val="24"/>
          <w:lang w:eastAsia="en-US"/>
        </w:rPr>
        <w:t>ontwikkel</w:t>
      </w:r>
      <w:r w:rsidR="0018501F">
        <w:rPr>
          <w:rFonts w:eastAsia="Times New Roman" w:asciiTheme="minorHAnsi" w:hAnsiTheme="minorHAnsi"/>
          <w:sz w:val="24"/>
          <w:szCs w:val="24"/>
          <w:lang w:eastAsia="en-US"/>
        </w:rPr>
        <w:t>d</w:t>
      </w:r>
      <w:r w:rsidRPr="004C5976" w:rsidR="00023BAE">
        <w:rPr>
          <w:rFonts w:eastAsia="Times New Roman" w:asciiTheme="minorHAnsi" w:hAnsiTheme="minorHAnsi"/>
          <w:sz w:val="24"/>
          <w:szCs w:val="24"/>
          <w:lang w:eastAsia="en-US"/>
        </w:rPr>
        <w:t xml:space="preserve">. </w:t>
      </w:r>
    </w:p>
    <w:p w:rsidR="00E32659" w:rsidP="004C5976" w:rsidRDefault="00E32659" w14:paraId="15AF257D" w14:textId="77777777">
      <w:pPr>
        <w:rPr>
          <w:rFonts w:eastAsia="Times New Roman" w:asciiTheme="minorHAnsi" w:hAnsiTheme="minorHAnsi"/>
          <w:sz w:val="24"/>
          <w:szCs w:val="24"/>
          <w:lang w:eastAsia="en-US"/>
        </w:rPr>
      </w:pPr>
    </w:p>
    <w:p w:rsidRPr="005C2F05" w:rsidR="00E32659" w:rsidP="004C5976" w:rsidRDefault="00E32659" w14:paraId="0AC2C8D0" w14:textId="7233A222">
      <w:pPr>
        <w:rPr>
          <w:rFonts w:eastAsia="Times New Roman" w:asciiTheme="minorHAnsi" w:hAnsiTheme="minorHAnsi"/>
          <w:i/>
          <w:iCs/>
          <w:sz w:val="24"/>
          <w:szCs w:val="24"/>
          <w:lang w:eastAsia="en-US"/>
        </w:rPr>
      </w:pPr>
      <w:r w:rsidRPr="005C2F05">
        <w:rPr>
          <w:rFonts w:eastAsia="Times New Roman" w:asciiTheme="minorHAnsi" w:hAnsiTheme="minorHAnsi"/>
          <w:i/>
          <w:iCs/>
          <w:sz w:val="24"/>
          <w:szCs w:val="24"/>
          <w:lang w:eastAsia="en-US"/>
        </w:rPr>
        <w:t>Uitsluitend hulp bij zelfdoding</w:t>
      </w:r>
    </w:p>
    <w:p w:rsidR="005C2F05" w:rsidP="00E32659" w:rsidRDefault="005C2F05" w14:paraId="4341732F" w14:textId="77777777">
      <w:pPr>
        <w:rPr>
          <w:rFonts w:asciiTheme="minorHAnsi" w:hAnsiTheme="minorHAnsi"/>
          <w:sz w:val="24"/>
          <w:szCs w:val="24"/>
        </w:rPr>
      </w:pPr>
    </w:p>
    <w:p w:rsidRPr="00E32659" w:rsidR="00E32659" w:rsidP="00E32659" w:rsidRDefault="00E32659" w14:paraId="4E2BD1C7" w14:textId="41DFD6D5">
      <w:pPr>
        <w:rPr>
          <w:rFonts w:asciiTheme="minorHAnsi" w:hAnsiTheme="minorHAnsi"/>
          <w:sz w:val="24"/>
          <w:szCs w:val="24"/>
        </w:rPr>
      </w:pPr>
      <w:r w:rsidRPr="00E32659">
        <w:rPr>
          <w:rFonts w:asciiTheme="minorHAnsi" w:hAnsiTheme="minorHAnsi"/>
          <w:sz w:val="24"/>
          <w:szCs w:val="24"/>
        </w:rPr>
        <w:t xml:space="preserve">De </w:t>
      </w:r>
      <w:r w:rsidR="005C2F05">
        <w:rPr>
          <w:rFonts w:asciiTheme="minorHAnsi" w:hAnsiTheme="minorHAnsi"/>
          <w:sz w:val="24"/>
          <w:szCs w:val="24"/>
        </w:rPr>
        <w:t>Memorie van T</w:t>
      </w:r>
      <w:r w:rsidRPr="00E32659">
        <w:rPr>
          <w:rFonts w:asciiTheme="minorHAnsi" w:hAnsiTheme="minorHAnsi"/>
          <w:sz w:val="24"/>
          <w:szCs w:val="24"/>
        </w:rPr>
        <w:t xml:space="preserve">oelichting </w:t>
      </w:r>
      <w:r w:rsidR="005C2F05">
        <w:rPr>
          <w:rFonts w:asciiTheme="minorHAnsi" w:hAnsiTheme="minorHAnsi"/>
          <w:sz w:val="24"/>
          <w:szCs w:val="24"/>
        </w:rPr>
        <w:t>(</w:t>
      </w:r>
      <w:r w:rsidRPr="00E32659">
        <w:rPr>
          <w:rFonts w:asciiTheme="minorHAnsi" w:hAnsiTheme="minorHAnsi"/>
          <w:sz w:val="24"/>
          <w:szCs w:val="24"/>
        </w:rPr>
        <w:t>p. 39</w:t>
      </w:r>
      <w:r w:rsidR="005C2F05">
        <w:rPr>
          <w:rFonts w:asciiTheme="minorHAnsi" w:hAnsiTheme="minorHAnsi"/>
          <w:sz w:val="24"/>
          <w:szCs w:val="24"/>
        </w:rPr>
        <w:t>)</w:t>
      </w:r>
      <w:r w:rsidRPr="00E32659">
        <w:rPr>
          <w:rFonts w:asciiTheme="minorHAnsi" w:hAnsiTheme="minorHAnsi"/>
          <w:sz w:val="24"/>
          <w:szCs w:val="24"/>
        </w:rPr>
        <w:t xml:space="preserve"> maakt duidelijk dat het wetsvoorstel alleen betrekking heeft op regulering van hulp bij zelfdoding. De oudere moet de dodelijke medicijnen (zelf) kunnen innemen. Bij de uitvoering kan niet (alsnog) worden overgeschakeld naar euthanasie. Anders dan onder de Wtl ontstaat daarmee in het wetsvoorstel voor de Wtlo een onderscheid, ook normatief, tussen hulp bij zelfdoding en levensbeëindiging op verzoek (euthanasie) De vraag rijst hoe dat precies moet worden gezien en bewaakt in geval de oudere niet in staat is zelf de medicijnen in te nemen. In het Duitse </w:t>
      </w:r>
      <w:r w:rsidR="005C2F05">
        <w:rPr>
          <w:rFonts w:asciiTheme="minorHAnsi" w:hAnsiTheme="minorHAnsi"/>
          <w:sz w:val="24"/>
          <w:szCs w:val="24"/>
        </w:rPr>
        <w:t>recht, waarin dit onderscheid op gelijke wijze bestaat, is</w:t>
      </w:r>
      <w:r w:rsidRPr="00E32659">
        <w:rPr>
          <w:rFonts w:asciiTheme="minorHAnsi" w:hAnsiTheme="minorHAnsi"/>
          <w:sz w:val="24"/>
          <w:szCs w:val="24"/>
        </w:rPr>
        <w:t xml:space="preserve"> dit</w:t>
      </w:r>
      <w:r w:rsidR="005C2F05">
        <w:rPr>
          <w:rFonts w:asciiTheme="minorHAnsi" w:hAnsiTheme="minorHAnsi"/>
          <w:sz w:val="24"/>
          <w:szCs w:val="24"/>
        </w:rPr>
        <w:t xml:space="preserve"> </w:t>
      </w:r>
      <w:r w:rsidRPr="00E32659">
        <w:rPr>
          <w:rFonts w:asciiTheme="minorHAnsi" w:hAnsiTheme="minorHAnsi"/>
          <w:sz w:val="24"/>
          <w:szCs w:val="24"/>
        </w:rPr>
        <w:t xml:space="preserve">onderscheid daarom gerelativeerd in een beslissing van het </w:t>
      </w:r>
      <w:r w:rsidRPr="00E32659">
        <w:rPr>
          <w:rFonts w:asciiTheme="minorHAnsi" w:hAnsiTheme="minorHAnsi"/>
          <w:i/>
          <w:iCs/>
          <w:sz w:val="24"/>
          <w:szCs w:val="24"/>
        </w:rPr>
        <w:t>Bundesgerichtshof</w:t>
      </w:r>
      <w:r w:rsidRPr="00E32659">
        <w:rPr>
          <w:rFonts w:asciiTheme="minorHAnsi" w:hAnsiTheme="minorHAnsi"/>
          <w:sz w:val="24"/>
          <w:szCs w:val="24"/>
        </w:rPr>
        <w:t>, die deels positief, deels kritisch is ontvangen.</w:t>
      </w:r>
      <w:r w:rsidRPr="00E32659">
        <w:rPr>
          <w:rStyle w:val="FootnoteReference"/>
          <w:rFonts w:asciiTheme="minorHAnsi" w:hAnsiTheme="minorHAnsi"/>
          <w:sz w:val="24"/>
          <w:szCs w:val="24"/>
        </w:rPr>
        <w:footnoteReference w:id="1"/>
      </w:r>
      <w:r w:rsidRPr="00E32659">
        <w:rPr>
          <w:rFonts w:asciiTheme="minorHAnsi" w:hAnsiTheme="minorHAnsi"/>
          <w:sz w:val="24"/>
          <w:szCs w:val="24"/>
        </w:rPr>
        <w:t xml:space="preserve"> </w:t>
      </w:r>
    </w:p>
    <w:p w:rsidRPr="004C5976" w:rsidR="00023BAE" w:rsidP="004C5976" w:rsidRDefault="00023BAE" w14:paraId="45CBF4E5" w14:textId="77777777">
      <w:pPr>
        <w:rPr>
          <w:rFonts w:asciiTheme="minorHAnsi" w:hAnsiTheme="minorHAnsi"/>
          <w:sz w:val="24"/>
          <w:szCs w:val="24"/>
        </w:rPr>
      </w:pPr>
    </w:p>
    <w:p w:rsidR="00354F1E" w:rsidP="004C5976" w:rsidRDefault="00354F1E" w14:paraId="772E5FBC" w14:textId="2E7E186E">
      <w:pPr>
        <w:rPr>
          <w:rFonts w:eastAsia="Times New Roman" w:asciiTheme="minorHAnsi" w:hAnsiTheme="minorHAnsi"/>
          <w:i/>
          <w:iCs/>
          <w:sz w:val="24"/>
          <w:szCs w:val="24"/>
          <w:lang w:eastAsia="en-US"/>
        </w:rPr>
      </w:pPr>
      <w:r w:rsidRPr="004C5976">
        <w:rPr>
          <w:rFonts w:eastAsia="Times New Roman" w:asciiTheme="minorHAnsi" w:hAnsiTheme="minorHAnsi"/>
          <w:i/>
          <w:iCs/>
          <w:sz w:val="24"/>
          <w:szCs w:val="24"/>
          <w:lang w:eastAsia="en-US"/>
        </w:rPr>
        <w:t xml:space="preserve">EVRM </w:t>
      </w:r>
    </w:p>
    <w:p w:rsidRPr="004C5976" w:rsidR="005C2F05" w:rsidP="004C5976" w:rsidRDefault="005C2F05" w14:paraId="3810A917" w14:textId="77777777">
      <w:pPr>
        <w:rPr>
          <w:rFonts w:eastAsia="Times New Roman" w:asciiTheme="minorHAnsi" w:hAnsiTheme="minorHAnsi"/>
          <w:i/>
          <w:iCs/>
          <w:sz w:val="24"/>
          <w:szCs w:val="24"/>
          <w:lang w:eastAsia="en-US"/>
        </w:rPr>
      </w:pPr>
    </w:p>
    <w:p w:rsidRPr="004C5976" w:rsidR="00354F1E" w:rsidP="004C5976" w:rsidRDefault="00E80679" w14:paraId="42659E7F" w14:textId="14A3FDA5">
      <w:pPr>
        <w:rPr>
          <w:rFonts w:eastAsia="Times New Roman" w:asciiTheme="minorHAnsi" w:hAnsiTheme="minorHAnsi"/>
          <w:sz w:val="24"/>
          <w:szCs w:val="24"/>
          <w:lang w:eastAsia="en-US"/>
        </w:rPr>
      </w:pPr>
      <w:r>
        <w:rPr>
          <w:rFonts w:eastAsia="Times New Roman" w:asciiTheme="minorHAnsi" w:hAnsiTheme="minorHAnsi"/>
          <w:sz w:val="24"/>
          <w:szCs w:val="24"/>
          <w:lang w:eastAsia="en-US"/>
        </w:rPr>
        <w:t xml:space="preserve">In </w:t>
      </w:r>
      <w:r w:rsidRPr="004C5976" w:rsidR="00354F1E">
        <w:rPr>
          <w:rFonts w:eastAsia="Times New Roman" w:asciiTheme="minorHAnsi" w:hAnsiTheme="minorHAnsi"/>
          <w:sz w:val="24"/>
          <w:szCs w:val="24"/>
          <w:lang w:eastAsia="en-US"/>
        </w:rPr>
        <w:t xml:space="preserve">recente beslissingen van </w:t>
      </w:r>
      <w:r>
        <w:rPr>
          <w:rFonts w:eastAsia="Times New Roman" w:asciiTheme="minorHAnsi" w:hAnsiTheme="minorHAnsi"/>
          <w:sz w:val="24"/>
          <w:szCs w:val="24"/>
          <w:lang w:eastAsia="en-US"/>
        </w:rPr>
        <w:t xml:space="preserve">zowel </w:t>
      </w:r>
      <w:r w:rsidRPr="004C5976" w:rsidR="00354F1E">
        <w:rPr>
          <w:rFonts w:eastAsia="Times New Roman" w:asciiTheme="minorHAnsi" w:hAnsiTheme="minorHAnsi"/>
          <w:sz w:val="24"/>
          <w:szCs w:val="24"/>
          <w:lang w:eastAsia="en-US"/>
        </w:rPr>
        <w:t xml:space="preserve">het EHRM (inzake Lings tegen Denemarken en de beslissing om de klacht van Heringa niet-ontvankelijk te verklaren) </w:t>
      </w:r>
      <w:r w:rsidR="00E12289">
        <w:rPr>
          <w:rFonts w:eastAsia="Times New Roman" w:asciiTheme="minorHAnsi" w:hAnsiTheme="minorHAnsi"/>
          <w:sz w:val="24"/>
          <w:szCs w:val="24"/>
          <w:lang w:eastAsia="en-US"/>
        </w:rPr>
        <w:t xml:space="preserve">als in beslissingen </w:t>
      </w:r>
      <w:r w:rsidRPr="004C5976" w:rsidR="00354F1E">
        <w:rPr>
          <w:rFonts w:eastAsia="Times New Roman" w:asciiTheme="minorHAnsi" w:hAnsiTheme="minorHAnsi"/>
          <w:sz w:val="24"/>
          <w:szCs w:val="24"/>
          <w:lang w:eastAsia="en-US"/>
        </w:rPr>
        <w:t>Nederlandse straf- en civiele rechters</w:t>
      </w:r>
      <w:r w:rsidR="003B59B6">
        <w:rPr>
          <w:rFonts w:eastAsia="Times New Roman" w:asciiTheme="minorHAnsi" w:hAnsiTheme="minorHAnsi"/>
          <w:sz w:val="24"/>
          <w:szCs w:val="24"/>
          <w:lang w:eastAsia="en-US"/>
        </w:rPr>
        <w:t>, in het bijzonder</w:t>
      </w:r>
      <w:r w:rsidR="00596F14">
        <w:rPr>
          <w:rFonts w:eastAsia="Times New Roman" w:asciiTheme="minorHAnsi" w:hAnsiTheme="minorHAnsi"/>
          <w:sz w:val="24"/>
          <w:szCs w:val="24"/>
          <w:lang w:eastAsia="en-US"/>
        </w:rPr>
        <w:t xml:space="preserve"> in het geding van de CLW tegen de Staat</w:t>
      </w:r>
      <w:r w:rsidR="009C3BA6">
        <w:rPr>
          <w:rFonts w:eastAsia="Times New Roman" w:asciiTheme="minorHAnsi" w:hAnsiTheme="minorHAnsi"/>
          <w:sz w:val="24"/>
          <w:szCs w:val="24"/>
          <w:lang w:eastAsia="en-US"/>
        </w:rPr>
        <w:t>,</w:t>
      </w:r>
      <w:r w:rsidRPr="004C5976" w:rsidR="00354F1E">
        <w:rPr>
          <w:rFonts w:eastAsia="Times New Roman" w:asciiTheme="minorHAnsi" w:hAnsiTheme="minorHAnsi"/>
          <w:sz w:val="24"/>
          <w:szCs w:val="24"/>
          <w:lang w:eastAsia="en-US"/>
        </w:rPr>
        <w:t xml:space="preserve"> </w:t>
      </w:r>
      <w:r w:rsidR="00E12289">
        <w:rPr>
          <w:rFonts w:eastAsia="Times New Roman" w:asciiTheme="minorHAnsi" w:hAnsiTheme="minorHAnsi"/>
          <w:sz w:val="24"/>
          <w:szCs w:val="24"/>
          <w:lang w:eastAsia="en-US"/>
        </w:rPr>
        <w:t xml:space="preserve">is het uitgangspunt bevestigd </w:t>
      </w:r>
      <w:r w:rsidRPr="004C5976" w:rsidR="00354F1E">
        <w:rPr>
          <w:rFonts w:eastAsia="Times New Roman" w:asciiTheme="minorHAnsi" w:hAnsiTheme="minorHAnsi"/>
          <w:sz w:val="24"/>
          <w:szCs w:val="24"/>
          <w:lang w:eastAsia="en-US"/>
        </w:rPr>
        <w:t>dat aan het EVRM niet een zodanig hard recht op zelfbeschikking kan worden ontleend dat de geldende Nederlandse regeling van art. 294 lid 2 Sr daarmee dwingend in strijd komt.</w:t>
      </w:r>
    </w:p>
    <w:p w:rsidRPr="004C5976" w:rsidR="00354F1E" w:rsidP="004C5976" w:rsidRDefault="00354F1E" w14:paraId="77114195" w14:textId="77777777">
      <w:pPr>
        <w:rPr>
          <w:rFonts w:eastAsia="Times New Roman" w:asciiTheme="minorHAnsi" w:hAnsiTheme="minorHAnsi"/>
          <w:sz w:val="24"/>
          <w:szCs w:val="24"/>
          <w:lang w:eastAsia="en-US"/>
        </w:rPr>
      </w:pPr>
    </w:p>
    <w:p w:rsidR="00354F1E" w:rsidP="004C5976" w:rsidRDefault="00354F1E" w14:paraId="6C0DE0D8" w14:textId="1C3F9BA7">
      <w:pPr>
        <w:rPr>
          <w:rFonts w:eastAsia="Times New Roman" w:asciiTheme="minorHAnsi" w:hAnsiTheme="minorHAnsi"/>
          <w:sz w:val="24"/>
          <w:szCs w:val="24"/>
          <w:lang w:eastAsia="en-US"/>
        </w:rPr>
      </w:pPr>
      <w:r w:rsidRPr="004C5976">
        <w:rPr>
          <w:rFonts w:eastAsia="Times New Roman" w:asciiTheme="minorHAnsi" w:hAnsiTheme="minorHAnsi"/>
          <w:sz w:val="24"/>
          <w:szCs w:val="24"/>
          <w:lang w:eastAsia="en-US"/>
        </w:rPr>
        <w:t>Anderzijds verbiedt het EVRM een met voldoende zorgvuldigheidseisen omgeven wettelijke regeling voor niet-strafbare hulp bij zelfdoding niet per s</w:t>
      </w:r>
      <w:r w:rsidR="009647B6">
        <w:rPr>
          <w:rFonts w:eastAsia="Times New Roman" w:asciiTheme="minorHAnsi" w:hAnsiTheme="minorHAnsi"/>
          <w:sz w:val="24"/>
          <w:szCs w:val="24"/>
          <w:lang w:eastAsia="en-US"/>
        </w:rPr>
        <w:t>e</w:t>
      </w:r>
      <w:r w:rsidRPr="004C5976">
        <w:rPr>
          <w:rFonts w:eastAsia="Times New Roman" w:asciiTheme="minorHAnsi" w:hAnsiTheme="minorHAnsi"/>
          <w:sz w:val="24"/>
          <w:szCs w:val="24"/>
          <w:lang w:eastAsia="en-US"/>
        </w:rPr>
        <w:t>. Of de in het wetsvoorstel Wtlo voorgestelde regeling de toets in Straatsburg zal doorstaan, valt niet op voorhand te zeggen. Bijvoorbeeld het leeftijdscriterium zal daarbij de aandacht kunnen trekken.</w:t>
      </w:r>
    </w:p>
    <w:p w:rsidR="00E53783" w:rsidP="004C5976" w:rsidRDefault="00E53783" w14:paraId="4F1A133A" w14:textId="77777777">
      <w:pPr>
        <w:rPr>
          <w:rFonts w:eastAsia="Times New Roman" w:asciiTheme="minorHAnsi" w:hAnsiTheme="minorHAnsi"/>
          <w:sz w:val="24"/>
          <w:szCs w:val="24"/>
          <w:lang w:eastAsia="en-US"/>
        </w:rPr>
      </w:pPr>
    </w:p>
    <w:p w:rsidRPr="000E1658" w:rsidR="00D61878" w:rsidP="004C5976" w:rsidRDefault="00D61878" w14:paraId="1F0A71FE" w14:textId="31F18A2E">
      <w:pPr>
        <w:rPr>
          <w:rFonts w:eastAsia="Times New Roman" w:asciiTheme="minorHAnsi" w:hAnsiTheme="minorHAnsi"/>
          <w:i/>
          <w:iCs/>
          <w:sz w:val="24"/>
          <w:szCs w:val="24"/>
          <w:lang w:eastAsia="en-US"/>
        </w:rPr>
      </w:pPr>
      <w:r w:rsidRPr="000E1658">
        <w:rPr>
          <w:rFonts w:eastAsia="Times New Roman" w:asciiTheme="minorHAnsi" w:hAnsiTheme="minorHAnsi"/>
          <w:i/>
          <w:iCs/>
          <w:sz w:val="24"/>
          <w:szCs w:val="24"/>
          <w:lang w:eastAsia="en-US"/>
        </w:rPr>
        <w:t>Slot</w:t>
      </w:r>
    </w:p>
    <w:p w:rsidR="00D61878" w:rsidP="001C373C" w:rsidRDefault="00D61878" w14:paraId="7E5AF826" w14:textId="77777777">
      <w:pPr>
        <w:rPr>
          <w:rFonts w:asciiTheme="minorHAnsi" w:hAnsiTheme="minorHAnsi"/>
          <w:sz w:val="24"/>
          <w:szCs w:val="24"/>
        </w:rPr>
      </w:pPr>
    </w:p>
    <w:p w:rsidR="001C373C" w:rsidP="001C373C" w:rsidRDefault="001C373C" w14:paraId="76D147CA" w14:textId="5143A0B7">
      <w:pPr>
        <w:rPr>
          <w:rFonts w:asciiTheme="minorHAnsi" w:hAnsiTheme="minorHAnsi"/>
          <w:sz w:val="24"/>
          <w:szCs w:val="24"/>
        </w:rPr>
      </w:pPr>
      <w:r>
        <w:rPr>
          <w:rFonts w:asciiTheme="minorHAnsi" w:hAnsiTheme="minorHAnsi"/>
          <w:sz w:val="24"/>
          <w:szCs w:val="24"/>
        </w:rPr>
        <w:t xml:space="preserve">Op grond van het bovenstaande bestaan twijfels over de noodzaak en wenselijkheid van een regeling, zoals thans in het wetsvoorstel Wtlo wordt voorgesteld, in het bijzonder </w:t>
      </w:r>
      <w:r>
        <w:rPr>
          <w:rFonts w:asciiTheme="minorHAnsi" w:hAnsiTheme="minorHAnsi"/>
          <w:sz w:val="24"/>
          <w:szCs w:val="24"/>
        </w:rPr>
        <w:lastRenderedPageBreak/>
        <w:t xml:space="preserve">naast de Wtl, alsmede over de </w:t>
      </w:r>
      <w:r w:rsidR="000B44CC">
        <w:rPr>
          <w:rFonts w:asciiTheme="minorHAnsi" w:hAnsiTheme="minorHAnsi"/>
          <w:sz w:val="24"/>
          <w:szCs w:val="24"/>
        </w:rPr>
        <w:t>nood</w:t>
      </w:r>
      <w:r w:rsidR="009D6BEC">
        <w:rPr>
          <w:rFonts w:asciiTheme="minorHAnsi" w:hAnsiTheme="minorHAnsi"/>
          <w:sz w:val="24"/>
          <w:szCs w:val="24"/>
        </w:rPr>
        <w:t xml:space="preserve">zakelijke </w:t>
      </w:r>
      <w:r>
        <w:rPr>
          <w:rFonts w:asciiTheme="minorHAnsi" w:hAnsiTheme="minorHAnsi"/>
          <w:sz w:val="24"/>
          <w:szCs w:val="24"/>
        </w:rPr>
        <w:t>zorgvuldigheid en terughoudendheid in de concreet voorgestelde regeling.</w:t>
      </w:r>
    </w:p>
    <w:p w:rsidRPr="004C5976" w:rsidR="00023BAE" w:rsidP="004C5976" w:rsidRDefault="00023BAE" w14:paraId="7CA5ABE7" w14:textId="77777777">
      <w:pPr>
        <w:rPr>
          <w:rFonts w:asciiTheme="minorHAnsi" w:hAnsiTheme="minorHAnsi"/>
          <w:sz w:val="24"/>
          <w:szCs w:val="24"/>
        </w:rPr>
      </w:pPr>
    </w:p>
    <w:sectPr w:rsidRPr="004C5976" w:rsidR="00023BAE">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E226E" w14:textId="77777777" w:rsidR="008942CC" w:rsidRDefault="008942CC" w:rsidP="007F7BBE">
      <w:r>
        <w:separator/>
      </w:r>
    </w:p>
  </w:endnote>
  <w:endnote w:type="continuationSeparator" w:id="0">
    <w:p w14:paraId="465F2493" w14:textId="77777777" w:rsidR="008942CC" w:rsidRDefault="008942CC" w:rsidP="007F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C3B16" w14:textId="77777777" w:rsidR="008942CC" w:rsidRDefault="008942CC" w:rsidP="007F7BBE">
      <w:r>
        <w:separator/>
      </w:r>
    </w:p>
  </w:footnote>
  <w:footnote w:type="continuationSeparator" w:id="0">
    <w:p w14:paraId="5CED4700" w14:textId="77777777" w:rsidR="008942CC" w:rsidRDefault="008942CC" w:rsidP="007F7BBE">
      <w:r>
        <w:continuationSeparator/>
      </w:r>
    </w:p>
  </w:footnote>
  <w:footnote w:id="1">
    <w:p w14:paraId="021B95FD" w14:textId="773B1143" w:rsidR="00E32659" w:rsidRPr="004C5976" w:rsidRDefault="00E32659" w:rsidP="00E32659">
      <w:pPr>
        <w:rPr>
          <w:rFonts w:asciiTheme="minorHAnsi" w:hAnsiTheme="minorHAnsi"/>
          <w:sz w:val="24"/>
          <w:szCs w:val="24"/>
        </w:rPr>
      </w:pPr>
      <w:r>
        <w:rPr>
          <w:rStyle w:val="FootnoteReference"/>
        </w:rPr>
        <w:footnoteRef/>
      </w:r>
      <w:r w:rsidRPr="001800D0">
        <w:t xml:space="preserve"> </w:t>
      </w:r>
      <w:r w:rsidR="00587A2C">
        <w:rPr>
          <w:rFonts w:asciiTheme="minorHAnsi" w:hAnsiTheme="minorHAnsi"/>
          <w:sz w:val="24"/>
          <w:szCs w:val="24"/>
        </w:rPr>
        <w:t>B</w:t>
      </w:r>
      <w:r w:rsidRPr="004C5976">
        <w:rPr>
          <w:rFonts w:asciiTheme="minorHAnsi" w:hAnsiTheme="minorHAnsi"/>
          <w:sz w:val="24"/>
          <w:szCs w:val="24"/>
        </w:rPr>
        <w:t xml:space="preserve">eslissing van het </w:t>
      </w:r>
      <w:r w:rsidRPr="004C5976">
        <w:rPr>
          <w:rFonts w:asciiTheme="minorHAnsi" w:hAnsiTheme="minorHAnsi"/>
          <w:i/>
          <w:iCs/>
          <w:sz w:val="24"/>
          <w:szCs w:val="24"/>
        </w:rPr>
        <w:t>Bundesgerichtshof</w:t>
      </w:r>
      <w:r w:rsidRPr="004C5976">
        <w:rPr>
          <w:rFonts w:asciiTheme="minorHAnsi" w:hAnsiTheme="minorHAnsi"/>
          <w:sz w:val="24"/>
          <w:szCs w:val="24"/>
        </w:rPr>
        <w:t xml:space="preserve"> 28 juni 2022 </w:t>
      </w:r>
      <w:r w:rsidRPr="004C5976">
        <w:rPr>
          <w:rFonts w:asciiTheme="minorHAnsi" w:hAnsiTheme="minorHAnsi" w:cs="Arial"/>
          <w:sz w:val="24"/>
          <w:szCs w:val="24"/>
        </w:rPr>
        <w:t xml:space="preserve">– </w:t>
      </w:r>
      <w:r w:rsidRPr="004C5976">
        <w:rPr>
          <w:rFonts w:asciiTheme="minorHAnsi" w:hAnsiTheme="minorHAnsi"/>
          <w:sz w:val="24"/>
          <w:szCs w:val="24"/>
        </w:rPr>
        <w:t xml:space="preserve">6 StR 68/21. </w:t>
      </w:r>
    </w:p>
    <w:p w14:paraId="7755C474" w14:textId="77777777" w:rsidR="00E32659" w:rsidRPr="001800D0" w:rsidRDefault="00E32659" w:rsidP="00E326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B64"/>
    <w:multiLevelType w:val="hybridMultilevel"/>
    <w:tmpl w:val="FE04AC02"/>
    <w:lvl w:ilvl="0" w:tplc="B7085450">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E105268"/>
    <w:multiLevelType w:val="hybridMultilevel"/>
    <w:tmpl w:val="64466276"/>
    <w:lvl w:ilvl="0" w:tplc="28D4BD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8219233">
    <w:abstractNumId w:val="0"/>
  </w:num>
  <w:num w:numId="2" w16cid:durableId="151391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71"/>
    <w:rsid w:val="00011A78"/>
    <w:rsid w:val="00023BAE"/>
    <w:rsid w:val="00034005"/>
    <w:rsid w:val="00062B60"/>
    <w:rsid w:val="000A1C8A"/>
    <w:rsid w:val="000A6672"/>
    <w:rsid w:val="000B44CC"/>
    <w:rsid w:val="000C7DFB"/>
    <w:rsid w:val="000D643D"/>
    <w:rsid w:val="000E1658"/>
    <w:rsid w:val="000E4914"/>
    <w:rsid w:val="00140069"/>
    <w:rsid w:val="001773AE"/>
    <w:rsid w:val="001800D0"/>
    <w:rsid w:val="0018501F"/>
    <w:rsid w:val="00192866"/>
    <w:rsid w:val="001A7DC5"/>
    <w:rsid w:val="001B531D"/>
    <w:rsid w:val="001C373C"/>
    <w:rsid w:val="00215964"/>
    <w:rsid w:val="002303DA"/>
    <w:rsid w:val="00297BF0"/>
    <w:rsid w:val="002F1119"/>
    <w:rsid w:val="00320FB1"/>
    <w:rsid w:val="00342C57"/>
    <w:rsid w:val="00351308"/>
    <w:rsid w:val="003534C4"/>
    <w:rsid w:val="00354F1E"/>
    <w:rsid w:val="00355452"/>
    <w:rsid w:val="0037019B"/>
    <w:rsid w:val="00392E59"/>
    <w:rsid w:val="00396A46"/>
    <w:rsid w:val="003B59B6"/>
    <w:rsid w:val="003C3276"/>
    <w:rsid w:val="003C42E3"/>
    <w:rsid w:val="003C74F2"/>
    <w:rsid w:val="003F6BEF"/>
    <w:rsid w:val="00401527"/>
    <w:rsid w:val="00413013"/>
    <w:rsid w:val="00416117"/>
    <w:rsid w:val="00420EFF"/>
    <w:rsid w:val="0043034B"/>
    <w:rsid w:val="0044698C"/>
    <w:rsid w:val="00462947"/>
    <w:rsid w:val="004B189F"/>
    <w:rsid w:val="004C56DE"/>
    <w:rsid w:val="004C5976"/>
    <w:rsid w:val="00502352"/>
    <w:rsid w:val="00511D7D"/>
    <w:rsid w:val="00514171"/>
    <w:rsid w:val="005456D8"/>
    <w:rsid w:val="005479C9"/>
    <w:rsid w:val="00570BCF"/>
    <w:rsid w:val="00587A2C"/>
    <w:rsid w:val="00596F14"/>
    <w:rsid w:val="005C2F05"/>
    <w:rsid w:val="005C7E06"/>
    <w:rsid w:val="00611A0F"/>
    <w:rsid w:val="00646B2B"/>
    <w:rsid w:val="0066449D"/>
    <w:rsid w:val="006769E5"/>
    <w:rsid w:val="00694A9A"/>
    <w:rsid w:val="006B6CCA"/>
    <w:rsid w:val="006E32B1"/>
    <w:rsid w:val="0070279E"/>
    <w:rsid w:val="007077BD"/>
    <w:rsid w:val="007105B3"/>
    <w:rsid w:val="0076381E"/>
    <w:rsid w:val="00764C76"/>
    <w:rsid w:val="007E25FD"/>
    <w:rsid w:val="007E5823"/>
    <w:rsid w:val="007F515A"/>
    <w:rsid w:val="007F57F4"/>
    <w:rsid w:val="007F7BBE"/>
    <w:rsid w:val="00816122"/>
    <w:rsid w:val="00827203"/>
    <w:rsid w:val="008451C8"/>
    <w:rsid w:val="00854A03"/>
    <w:rsid w:val="0087373B"/>
    <w:rsid w:val="008942CC"/>
    <w:rsid w:val="008A4C85"/>
    <w:rsid w:val="008C0CF0"/>
    <w:rsid w:val="008C23AF"/>
    <w:rsid w:val="008C5D87"/>
    <w:rsid w:val="008E10A2"/>
    <w:rsid w:val="008F2BC4"/>
    <w:rsid w:val="00930691"/>
    <w:rsid w:val="009434B9"/>
    <w:rsid w:val="009616B6"/>
    <w:rsid w:val="009647B6"/>
    <w:rsid w:val="0098678F"/>
    <w:rsid w:val="009C3BA6"/>
    <w:rsid w:val="009D6BEC"/>
    <w:rsid w:val="009F1778"/>
    <w:rsid w:val="009F2B09"/>
    <w:rsid w:val="00A1109F"/>
    <w:rsid w:val="00A4040B"/>
    <w:rsid w:val="00A52AEB"/>
    <w:rsid w:val="00A76329"/>
    <w:rsid w:val="00A86540"/>
    <w:rsid w:val="00AB1CA8"/>
    <w:rsid w:val="00AB600C"/>
    <w:rsid w:val="00AC45A8"/>
    <w:rsid w:val="00AD1224"/>
    <w:rsid w:val="00B01223"/>
    <w:rsid w:val="00B30A8A"/>
    <w:rsid w:val="00B3338D"/>
    <w:rsid w:val="00B33846"/>
    <w:rsid w:val="00B42E87"/>
    <w:rsid w:val="00B54E85"/>
    <w:rsid w:val="00B6718F"/>
    <w:rsid w:val="00B7779A"/>
    <w:rsid w:val="00BC416F"/>
    <w:rsid w:val="00BD326E"/>
    <w:rsid w:val="00BE3AF4"/>
    <w:rsid w:val="00C32266"/>
    <w:rsid w:val="00CA0060"/>
    <w:rsid w:val="00CA119B"/>
    <w:rsid w:val="00CC3969"/>
    <w:rsid w:val="00CC7691"/>
    <w:rsid w:val="00CD3A75"/>
    <w:rsid w:val="00CF614D"/>
    <w:rsid w:val="00D1562F"/>
    <w:rsid w:val="00D465F1"/>
    <w:rsid w:val="00D61878"/>
    <w:rsid w:val="00D73A40"/>
    <w:rsid w:val="00D76798"/>
    <w:rsid w:val="00DA1BC2"/>
    <w:rsid w:val="00DC3C5B"/>
    <w:rsid w:val="00DD634F"/>
    <w:rsid w:val="00DE3E84"/>
    <w:rsid w:val="00DF2228"/>
    <w:rsid w:val="00E12289"/>
    <w:rsid w:val="00E20AFD"/>
    <w:rsid w:val="00E32659"/>
    <w:rsid w:val="00E35EDB"/>
    <w:rsid w:val="00E509D1"/>
    <w:rsid w:val="00E53783"/>
    <w:rsid w:val="00E60CC4"/>
    <w:rsid w:val="00E62750"/>
    <w:rsid w:val="00E64ABF"/>
    <w:rsid w:val="00E777E8"/>
    <w:rsid w:val="00E80679"/>
    <w:rsid w:val="00E82C59"/>
    <w:rsid w:val="00EC1355"/>
    <w:rsid w:val="00EC38D4"/>
    <w:rsid w:val="00ED7F7C"/>
    <w:rsid w:val="00EF04D4"/>
    <w:rsid w:val="00F13D36"/>
    <w:rsid w:val="00F141E6"/>
    <w:rsid w:val="00F415E7"/>
    <w:rsid w:val="00F647F8"/>
    <w:rsid w:val="00F74475"/>
    <w:rsid w:val="00F9699D"/>
    <w:rsid w:val="00FE3464"/>
    <w:rsid w:val="00FE58BE"/>
    <w:rsid w:val="00FE6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80BD"/>
  <w15:chartTrackingRefBased/>
  <w15:docId w15:val="{883CF83F-AC03-40C4-95EE-630C5947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71"/>
    <w:pPr>
      <w:spacing w:after="0" w:line="240" w:lineRule="auto"/>
    </w:pPr>
    <w:rPr>
      <w:rFonts w:ascii="Calibri" w:hAnsi="Calibri" w:cs="Calibri"/>
      <w:kern w:val="0"/>
      <w:lang w:eastAsia="nl-NL"/>
      <w14:ligatures w14:val="none"/>
    </w:rPr>
  </w:style>
  <w:style w:type="paragraph" w:styleId="Heading1">
    <w:name w:val="heading 1"/>
    <w:basedOn w:val="Normal"/>
    <w:next w:val="Normal"/>
    <w:link w:val="Heading1Char"/>
    <w:uiPriority w:val="9"/>
    <w:qFormat/>
    <w:rsid w:val="00514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1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1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1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1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171"/>
    <w:rPr>
      <w:rFonts w:eastAsiaTheme="majorEastAsia" w:cstheme="majorBidi"/>
      <w:color w:val="272727" w:themeColor="text1" w:themeTint="D8"/>
    </w:rPr>
  </w:style>
  <w:style w:type="paragraph" w:styleId="Title">
    <w:name w:val="Title"/>
    <w:basedOn w:val="Normal"/>
    <w:next w:val="Normal"/>
    <w:link w:val="TitleChar"/>
    <w:uiPriority w:val="10"/>
    <w:qFormat/>
    <w:rsid w:val="00514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171"/>
    <w:pPr>
      <w:spacing w:before="160"/>
      <w:jc w:val="center"/>
    </w:pPr>
    <w:rPr>
      <w:i/>
      <w:iCs/>
      <w:color w:val="404040" w:themeColor="text1" w:themeTint="BF"/>
    </w:rPr>
  </w:style>
  <w:style w:type="character" w:customStyle="1" w:styleId="QuoteChar">
    <w:name w:val="Quote Char"/>
    <w:basedOn w:val="DefaultParagraphFont"/>
    <w:link w:val="Quote"/>
    <w:uiPriority w:val="29"/>
    <w:rsid w:val="00514171"/>
    <w:rPr>
      <w:i/>
      <w:iCs/>
      <w:color w:val="404040" w:themeColor="text1" w:themeTint="BF"/>
    </w:rPr>
  </w:style>
  <w:style w:type="paragraph" w:styleId="ListParagraph">
    <w:name w:val="List Paragraph"/>
    <w:basedOn w:val="Normal"/>
    <w:uiPriority w:val="34"/>
    <w:qFormat/>
    <w:rsid w:val="00514171"/>
    <w:pPr>
      <w:ind w:left="720"/>
      <w:contextualSpacing/>
    </w:pPr>
  </w:style>
  <w:style w:type="character" w:styleId="IntenseEmphasis">
    <w:name w:val="Intense Emphasis"/>
    <w:basedOn w:val="DefaultParagraphFont"/>
    <w:uiPriority w:val="21"/>
    <w:qFormat/>
    <w:rsid w:val="00514171"/>
    <w:rPr>
      <w:i/>
      <w:iCs/>
      <w:color w:val="0F4761" w:themeColor="accent1" w:themeShade="BF"/>
    </w:rPr>
  </w:style>
  <w:style w:type="paragraph" w:styleId="IntenseQuote">
    <w:name w:val="Intense Quote"/>
    <w:basedOn w:val="Normal"/>
    <w:next w:val="Normal"/>
    <w:link w:val="IntenseQuoteChar"/>
    <w:uiPriority w:val="30"/>
    <w:qFormat/>
    <w:rsid w:val="00514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171"/>
    <w:rPr>
      <w:i/>
      <w:iCs/>
      <w:color w:val="0F4761" w:themeColor="accent1" w:themeShade="BF"/>
    </w:rPr>
  </w:style>
  <w:style w:type="character" w:styleId="IntenseReference">
    <w:name w:val="Intense Reference"/>
    <w:basedOn w:val="DefaultParagraphFont"/>
    <w:uiPriority w:val="32"/>
    <w:qFormat/>
    <w:rsid w:val="00514171"/>
    <w:rPr>
      <w:b/>
      <w:bCs/>
      <w:smallCaps/>
      <w:color w:val="0F4761" w:themeColor="accent1" w:themeShade="BF"/>
      <w:spacing w:val="5"/>
    </w:rPr>
  </w:style>
  <w:style w:type="paragraph" w:styleId="FootnoteText">
    <w:name w:val="footnote text"/>
    <w:basedOn w:val="Normal"/>
    <w:link w:val="FootnoteTextChar"/>
    <w:uiPriority w:val="99"/>
    <w:semiHidden/>
    <w:unhideWhenUsed/>
    <w:rsid w:val="007F7BBE"/>
    <w:rPr>
      <w:sz w:val="20"/>
      <w:szCs w:val="20"/>
    </w:rPr>
  </w:style>
  <w:style w:type="character" w:customStyle="1" w:styleId="FootnoteTextChar">
    <w:name w:val="Footnote Text Char"/>
    <w:basedOn w:val="DefaultParagraphFont"/>
    <w:link w:val="FootnoteText"/>
    <w:uiPriority w:val="99"/>
    <w:semiHidden/>
    <w:rsid w:val="007F7BBE"/>
    <w:rPr>
      <w:rFonts w:ascii="Calibri" w:hAnsi="Calibri" w:cs="Calibri"/>
      <w:kern w:val="0"/>
      <w:sz w:val="20"/>
      <w:szCs w:val="20"/>
      <w:lang w:eastAsia="nl-NL"/>
      <w14:ligatures w14:val="none"/>
    </w:rPr>
  </w:style>
  <w:style w:type="character" w:styleId="FootnoteReference">
    <w:name w:val="footnote reference"/>
    <w:basedOn w:val="DefaultParagraphFont"/>
    <w:uiPriority w:val="99"/>
    <w:semiHidden/>
    <w:unhideWhenUsed/>
    <w:rsid w:val="007F7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4268">
      <w:bodyDiv w:val="1"/>
      <w:marLeft w:val="0"/>
      <w:marRight w:val="0"/>
      <w:marTop w:val="0"/>
      <w:marBottom w:val="0"/>
      <w:divBdr>
        <w:top w:val="none" w:sz="0" w:space="0" w:color="auto"/>
        <w:left w:val="none" w:sz="0" w:space="0" w:color="auto"/>
        <w:bottom w:val="none" w:sz="0" w:space="0" w:color="auto"/>
        <w:right w:val="none" w:sz="0" w:space="0" w:color="auto"/>
      </w:divBdr>
    </w:div>
    <w:div w:id="5021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1424</ap:Words>
  <ap:Characters>7835</ap:Characters>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2024-12-05T08:45:00.0000000Z</dcterms:created>
  <dcterms:modified xsi:type="dcterms:W3CDTF">2024-12-05T08:48:00.0000000Z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2024-12-03T20:51:27Z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ea15e33f-04ec-4128-94e8-d9bde860a763</vt:lpwstr>
  </property>
  <property fmtid="{D5CDD505-2E9C-101B-9397-08002B2CF9AE}" pid="8" name="MSIP_Label_8772ba27-cab8-4042-a351-a31f6e4eacdc_ContentBits">
    <vt:lpwstr>0</vt:lpwstr>
  </property>
</Properties>
</file>