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CF" w:rsidP="00BF7CCF" w:rsidRDefault="00BF7CCF" w14:paraId="35FE2343" w14:textId="77777777">
      <w:bookmarkStart w:name="_GoBack" w:id="0"/>
      <w:bookmarkEnd w:id="0"/>
    </w:p>
    <w:p w:rsidRPr="00F10BDC" w:rsidR="00BF7CCF" w:rsidP="00BF7CCF" w:rsidRDefault="00BF7CCF" w14:paraId="5AFA0C60" w14:textId="77777777">
      <w:r w:rsidRPr="00F10BDC">
        <w:t>In antwoord op uw brief van 6 september 2024 deel ik u mee dat de schriftelijke vragen van de leden Kathmann (GL/PvdA) en Six Dijkstra (NSC), inzake het bericht 'Controversial ‘chat control’ back on EU agenda this week', worden beantwoord zoals aangegeven in de bijlage bij deze brief.</w:t>
      </w:r>
    </w:p>
    <w:p w:rsidRPr="00F10BDC" w:rsidR="00BF7CCF" w:rsidP="00BF7CCF" w:rsidRDefault="00BF7CCF" w14:paraId="45B99AF6" w14:textId="77777777"/>
    <w:p w:rsidRPr="00F10BDC" w:rsidR="00BF7CCF" w:rsidP="00BF7CCF" w:rsidRDefault="00BF7CCF" w14:paraId="7C7AB245" w14:textId="77777777"/>
    <w:p w:rsidRPr="00F10BDC" w:rsidR="00BF7CCF" w:rsidP="00BF7CCF" w:rsidRDefault="00BF7CCF" w14:paraId="0A15F848" w14:textId="77777777">
      <w:r w:rsidRPr="00F10BDC">
        <w:t>De Minister van Justitie en Veiligheid,</w:t>
      </w:r>
    </w:p>
    <w:p w:rsidRPr="00F10BDC" w:rsidR="00BF7CCF" w:rsidP="00BF7CCF" w:rsidRDefault="00BF7CCF" w14:paraId="07E29556" w14:textId="77777777"/>
    <w:p w:rsidRPr="00F10BDC" w:rsidR="00BF7CCF" w:rsidP="00BF7CCF" w:rsidRDefault="00BF7CCF" w14:paraId="1A87BA0B" w14:textId="77777777"/>
    <w:p w:rsidRPr="00F10BDC" w:rsidR="00BF7CCF" w:rsidP="00BF7CCF" w:rsidRDefault="00BF7CCF" w14:paraId="63F8FB81" w14:textId="77777777"/>
    <w:p w:rsidRPr="00F10BDC" w:rsidR="00BF7CCF" w:rsidP="00BF7CCF" w:rsidRDefault="00BF7CCF" w14:paraId="61D576F4" w14:textId="77777777"/>
    <w:p w:rsidRPr="00F10BDC" w:rsidR="00BF7CCF" w:rsidP="00BF7CCF" w:rsidRDefault="00BF7CCF" w14:paraId="687356E2" w14:textId="5541487B">
      <w:r w:rsidRPr="00F10BDC">
        <w:t>D.M. van Weel</w:t>
      </w:r>
    </w:p>
    <w:p w:rsidRPr="00F10BDC" w:rsidR="00BF7CCF" w:rsidP="00BF7CCF" w:rsidRDefault="00BF7CCF" w14:paraId="3F489A3D" w14:textId="77777777"/>
    <w:p w:rsidRPr="00F10BDC" w:rsidR="00FC3225" w:rsidRDefault="00FC3225" w14:paraId="63A87322" w14:textId="77777777"/>
    <w:p w:rsidRPr="00F10BDC" w:rsidR="00BF7CCF" w:rsidRDefault="00BF7CCF" w14:paraId="23C8C32B" w14:textId="77777777"/>
    <w:p w:rsidRPr="00F10BDC" w:rsidR="00BF7CCF" w:rsidRDefault="00BF7CCF" w14:paraId="1B56A07E" w14:textId="77777777"/>
    <w:p w:rsidRPr="00F10BDC" w:rsidR="00BF7CCF" w:rsidRDefault="00BF7CCF" w14:paraId="7069AE93" w14:textId="77777777"/>
    <w:p w:rsidRPr="00F10BDC" w:rsidR="00BF7CCF" w:rsidRDefault="00BF7CCF" w14:paraId="43827EA0" w14:textId="77777777"/>
    <w:p w:rsidRPr="00F10BDC" w:rsidR="00BF7CCF" w:rsidRDefault="00BF7CCF" w14:paraId="4A0EC283" w14:textId="77777777"/>
    <w:p w:rsidRPr="00F10BDC" w:rsidR="00BF7CCF" w:rsidRDefault="00BF7CCF" w14:paraId="137D602F" w14:textId="77777777"/>
    <w:p w:rsidRPr="00F10BDC" w:rsidR="00BF7CCF" w:rsidRDefault="00BF7CCF" w14:paraId="5C4B3EF9" w14:textId="77777777"/>
    <w:p w:rsidRPr="00F10BDC" w:rsidR="00BF7CCF" w:rsidRDefault="00BF7CCF" w14:paraId="349DC2D3" w14:textId="77777777"/>
    <w:p w:rsidRPr="00F10BDC" w:rsidR="00BF7CCF" w:rsidRDefault="00BF7CCF" w14:paraId="19E100F1" w14:textId="77777777"/>
    <w:p w:rsidRPr="00F10BDC" w:rsidR="00BF7CCF" w:rsidRDefault="00BF7CCF" w14:paraId="28D4F297" w14:textId="77777777"/>
    <w:p w:rsidRPr="00F10BDC" w:rsidR="00BF7CCF" w:rsidRDefault="00BF7CCF" w14:paraId="09E6ED2F" w14:textId="77777777"/>
    <w:p w:rsidRPr="00F10BDC" w:rsidR="00BF7CCF" w:rsidRDefault="00BF7CCF" w14:paraId="7504B6D1" w14:textId="77777777"/>
    <w:p w:rsidRPr="00F10BDC" w:rsidR="00BF7CCF" w:rsidRDefault="00BF7CCF" w14:paraId="2FF8DB4F" w14:textId="77777777"/>
    <w:p w:rsidRPr="00F10BDC" w:rsidR="00BF7CCF" w:rsidRDefault="00BF7CCF" w14:paraId="273E0202" w14:textId="77777777"/>
    <w:p w:rsidRPr="00F10BDC" w:rsidR="00BF7CCF" w:rsidRDefault="00BF7CCF" w14:paraId="7272C900" w14:textId="77777777"/>
    <w:p w:rsidRPr="00F10BDC" w:rsidR="00BF7CCF" w:rsidRDefault="00BF7CCF" w14:paraId="6AB1F755" w14:textId="77777777"/>
    <w:p w:rsidRPr="00F10BDC" w:rsidR="00BF7CCF" w:rsidRDefault="00BF7CCF" w14:paraId="35BEC420" w14:textId="77777777"/>
    <w:p w:rsidRPr="00F10BDC" w:rsidR="00BF7CCF" w:rsidRDefault="00BF7CCF" w14:paraId="50628B5D" w14:textId="77777777"/>
    <w:p w:rsidRPr="00F10BDC" w:rsidR="00290731" w:rsidRDefault="00290731" w14:paraId="79F5AD7F" w14:textId="77777777"/>
    <w:p w:rsidRPr="00F10BDC" w:rsidR="00290731" w:rsidRDefault="00290731" w14:paraId="6B48A6D6" w14:textId="77777777"/>
    <w:p w:rsidRPr="00F10BDC" w:rsidR="00290731" w:rsidRDefault="00290731" w14:paraId="5F16EDA1" w14:textId="77777777"/>
    <w:p w:rsidRPr="00F10BDC" w:rsidR="00BF7CCF" w:rsidRDefault="00BF7CCF" w14:paraId="03155862" w14:textId="77777777"/>
    <w:p w:rsidRPr="00F10BDC" w:rsidR="00BF7CCF" w:rsidRDefault="00BF7CCF" w14:paraId="5BB0D174" w14:textId="77777777"/>
    <w:p w:rsidRPr="00F10BDC" w:rsidR="00474633" w:rsidP="00BF7CCF" w:rsidRDefault="00474633" w14:paraId="634C32C7" w14:textId="77777777"/>
    <w:p w:rsidRPr="00F10BDC" w:rsidR="00BF7CCF" w:rsidP="00A80155" w:rsidRDefault="00BF7CCF" w14:paraId="25222E43" w14:textId="4284C25D">
      <w:pPr>
        <w:pBdr>
          <w:bottom w:val="single" w:color="auto" w:sz="4" w:space="1"/>
        </w:pBdr>
        <w:rPr>
          <w:b/>
          <w:bCs/>
        </w:rPr>
      </w:pPr>
      <w:r w:rsidRPr="00F10BDC">
        <w:rPr>
          <w:b/>
          <w:bCs/>
        </w:rPr>
        <w:lastRenderedPageBreak/>
        <w:t xml:space="preserve">Vragen van de leden Six Dijkstra (Nieuw Sociaal Contract) en Kathmann (GroenLinks-PvdA) aan de minister van Justitie en Veiligheid over het bericht </w:t>
      </w:r>
      <w:r w:rsidRPr="00F10BDC" w:rsidR="00290731">
        <w:rPr>
          <w:b/>
          <w:bCs/>
        </w:rPr>
        <w:t>‘</w:t>
      </w:r>
      <w:r w:rsidRPr="00F10BDC">
        <w:rPr>
          <w:b/>
          <w:bCs/>
        </w:rPr>
        <w:t>Controversial ‘chat control’ back on EU agenda this week</w:t>
      </w:r>
      <w:r w:rsidRPr="00F10BDC" w:rsidR="00290731">
        <w:rPr>
          <w:b/>
          <w:bCs/>
        </w:rPr>
        <w:t>’ (2024Z13083, ingezonden 6 september 2024)</w:t>
      </w:r>
    </w:p>
    <w:p w:rsidRPr="00F10BDC" w:rsidR="00290731" w:rsidP="00BF7CCF" w:rsidRDefault="00290731" w14:paraId="665D8320" w14:textId="77777777">
      <w:pPr>
        <w:rPr>
          <w:b/>
          <w:bCs/>
        </w:rPr>
      </w:pPr>
    </w:p>
    <w:p w:rsidRPr="00F10BDC" w:rsidR="00290731" w:rsidP="00290731" w:rsidRDefault="00290731" w14:paraId="3A023B09" w14:textId="3AD82A2D">
      <w:pPr>
        <w:rPr>
          <w:b/>
          <w:bCs/>
        </w:rPr>
      </w:pPr>
      <w:r w:rsidRPr="00F10BDC">
        <w:rPr>
          <w:b/>
          <w:bCs/>
        </w:rPr>
        <w:t>Vraag 1</w:t>
      </w:r>
    </w:p>
    <w:p w:rsidRPr="00F10BDC" w:rsidR="00517CB3" w:rsidP="00290731" w:rsidRDefault="00517CB3" w14:paraId="05D4617B" w14:textId="77777777">
      <w:pPr>
        <w:rPr>
          <w:b/>
          <w:bCs/>
        </w:rPr>
      </w:pPr>
      <w:r w:rsidRPr="00F10BDC">
        <w:rPr>
          <w:b/>
          <w:bCs/>
        </w:rPr>
        <w:t>Bent u bekend met de inhoud van het voorstel tot chatcontrole dat op de agenda van de Raad van de Europese Unie staat? [1]</w:t>
      </w:r>
    </w:p>
    <w:p w:rsidRPr="00F10BDC" w:rsidR="00290731" w:rsidP="00290731" w:rsidRDefault="00290731" w14:paraId="5A26584B" w14:textId="77777777">
      <w:pPr>
        <w:rPr>
          <w:b/>
          <w:bCs/>
        </w:rPr>
      </w:pPr>
    </w:p>
    <w:p w:rsidRPr="00F10BDC" w:rsidR="00290731" w:rsidP="00290731" w:rsidRDefault="00290731" w14:paraId="47055CE1" w14:textId="52CF4D60">
      <w:pPr>
        <w:rPr>
          <w:b/>
          <w:bCs/>
        </w:rPr>
      </w:pPr>
      <w:r w:rsidRPr="00F10BDC">
        <w:rPr>
          <w:b/>
          <w:bCs/>
        </w:rPr>
        <w:t>Antwoord op vraag 1</w:t>
      </w:r>
    </w:p>
    <w:p w:rsidRPr="00F10BDC" w:rsidR="00517CB3" w:rsidP="00290731" w:rsidRDefault="00290731" w14:paraId="3FAC695A" w14:textId="3DA9D77E">
      <w:r w:rsidRPr="00F10BDC">
        <w:t xml:space="preserve">Ja. </w:t>
      </w:r>
    </w:p>
    <w:p w:rsidRPr="00F10BDC" w:rsidR="00517CB3" w:rsidP="00517CB3" w:rsidRDefault="00517CB3" w14:paraId="389A5589" w14:textId="77777777"/>
    <w:p w:rsidRPr="00F10BDC" w:rsidR="00290731" w:rsidP="00290731" w:rsidRDefault="00290731" w14:paraId="0FB394B9" w14:textId="77777777">
      <w:pPr>
        <w:rPr>
          <w:b/>
          <w:bCs/>
        </w:rPr>
      </w:pPr>
      <w:r w:rsidRPr="00F10BDC">
        <w:rPr>
          <w:b/>
          <w:bCs/>
        </w:rPr>
        <w:t>Vraag 2</w:t>
      </w:r>
    </w:p>
    <w:p w:rsidRPr="00F10BDC" w:rsidR="00517CB3" w:rsidP="00290731" w:rsidRDefault="00517CB3" w14:paraId="545267FA" w14:textId="50ACC94E">
      <w:pPr>
        <w:rPr>
          <w:b/>
          <w:bCs/>
        </w:rPr>
      </w:pPr>
      <w:r w:rsidRPr="00F10BDC">
        <w:rPr>
          <w:b/>
          <w:bCs/>
        </w:rPr>
        <w:t>Is u bekend wanneer dit voorstel in de Raad besproken en in stemming gebracht zal worden?</w:t>
      </w:r>
    </w:p>
    <w:p w:rsidRPr="00F10BDC" w:rsidR="00290731" w:rsidP="00517CB3" w:rsidRDefault="00290731" w14:paraId="75C00E0B" w14:textId="77777777"/>
    <w:p w:rsidRPr="00F10BDC" w:rsidR="00290731" w:rsidP="00517CB3" w:rsidRDefault="00290731" w14:paraId="18A3F3F5" w14:textId="521F6FEA">
      <w:pPr>
        <w:rPr>
          <w:b/>
          <w:bCs/>
        </w:rPr>
      </w:pPr>
      <w:r w:rsidRPr="00F10BDC">
        <w:rPr>
          <w:b/>
          <w:bCs/>
        </w:rPr>
        <w:t>Antwoord op vraag 2</w:t>
      </w:r>
    </w:p>
    <w:p w:rsidRPr="00F10BDC" w:rsidR="00A52851" w:rsidP="00290731" w:rsidRDefault="00517CB3" w14:paraId="31B44A6C" w14:textId="7FF62833">
      <w:r w:rsidRPr="00F10BDC">
        <w:t>Het voorstel van het Hongaars</w:t>
      </w:r>
      <w:r w:rsidRPr="00F10BDC" w:rsidR="00895239">
        <w:t>e</w:t>
      </w:r>
      <w:r w:rsidRPr="00F10BDC">
        <w:t xml:space="preserve"> </w:t>
      </w:r>
      <w:r w:rsidRPr="00F10BDC" w:rsidR="00B91BB4">
        <w:t>v</w:t>
      </w:r>
      <w:r w:rsidRPr="00F10BDC">
        <w:t>oorzitterschap is voor het eerst op hoofdlijnen met de lidstaten besproken tijdens de Coreper-vergadering van 4 september jl. Ten grondslag aan deze bespreking lag een nota van het Voorzitterschap met daarin de kaders voor het voorstel. De compromistekst van het voorstel is vervolgens op 9 september jl. met de lidstaten gedeeld. Tot een vaststelling van een Algemene Oriëntatie is het tot dusver nog niet gekomen.</w:t>
      </w:r>
      <w:r w:rsidRPr="00F10BDC" w:rsidR="00B91BB4">
        <w:t xml:space="preserve"> </w:t>
      </w:r>
      <w:r w:rsidRPr="00F10BDC" w:rsidR="00895239">
        <w:t xml:space="preserve">Het Hongaarse voorzitterschap streeft nog steeds naar het bereiken van een algemene oriëntatie over deze Verordening. Om die reden is het de verwachting dat het voorstel </w:t>
      </w:r>
      <w:r w:rsidRPr="00F10BDC" w:rsidR="00F32FA6">
        <w:t xml:space="preserve">geagendeerd </w:t>
      </w:r>
      <w:r w:rsidRPr="00F10BDC" w:rsidR="00895239">
        <w:t xml:space="preserve">zal </w:t>
      </w:r>
      <w:r w:rsidRPr="00F10BDC" w:rsidR="00F32FA6">
        <w:t xml:space="preserve">worden voor </w:t>
      </w:r>
      <w:r w:rsidRPr="00F10BDC" w:rsidR="00895239">
        <w:t xml:space="preserve">de JBZ-raad van 12 en 13 december. </w:t>
      </w:r>
    </w:p>
    <w:p w:rsidRPr="00F10BDC" w:rsidR="00517CB3" w:rsidP="00517CB3" w:rsidRDefault="00517CB3" w14:paraId="3802878F" w14:textId="77777777"/>
    <w:p w:rsidRPr="00F10BDC" w:rsidR="00290731" w:rsidP="00517CB3" w:rsidRDefault="00290731" w14:paraId="50EF1E56" w14:textId="77777777">
      <w:pPr>
        <w:rPr>
          <w:b/>
          <w:bCs/>
        </w:rPr>
      </w:pPr>
      <w:r w:rsidRPr="00F10BDC">
        <w:rPr>
          <w:b/>
          <w:bCs/>
        </w:rPr>
        <w:t>Vraag 3</w:t>
      </w:r>
    </w:p>
    <w:p w:rsidRPr="00F10BDC" w:rsidR="00517CB3" w:rsidP="00517CB3" w:rsidRDefault="00517CB3" w14:paraId="5A38BAFA" w14:textId="2ABA878E">
      <w:pPr>
        <w:rPr>
          <w:b/>
          <w:bCs/>
        </w:rPr>
      </w:pPr>
      <w:r w:rsidRPr="00F10BDC">
        <w:rPr>
          <w:b/>
          <w:bCs/>
        </w:rPr>
        <w:t>Wat is het standpunt van het kabinet ten aanzien van dit voorstel en van overige maatregelen van chatcontrole waarbij end-to-endversleuteling generiek verzwakt of omzeild wordt?</w:t>
      </w:r>
    </w:p>
    <w:p w:rsidRPr="00F10BDC" w:rsidR="00290731" w:rsidP="00517CB3" w:rsidRDefault="00290731" w14:paraId="40082403" w14:textId="77777777">
      <w:pPr>
        <w:rPr>
          <w:b/>
          <w:bCs/>
        </w:rPr>
      </w:pPr>
    </w:p>
    <w:p w:rsidRPr="00F10BDC" w:rsidR="00517CB3" w:rsidP="00517CB3" w:rsidRDefault="00290731" w14:paraId="1DE40027" w14:textId="58BEA270">
      <w:pPr>
        <w:rPr>
          <w:b/>
          <w:bCs/>
        </w:rPr>
      </w:pPr>
      <w:r w:rsidRPr="00F10BDC">
        <w:rPr>
          <w:b/>
          <w:bCs/>
        </w:rPr>
        <w:t>Antwoord op vraag 3</w:t>
      </w:r>
    </w:p>
    <w:p w:rsidRPr="00F10BDC" w:rsidR="00F80C86" w:rsidP="00517CB3" w:rsidRDefault="00F80C86" w14:paraId="52A7301C" w14:textId="0DA87E92">
      <w:r w:rsidRPr="00F10BDC">
        <w:t>Het kabinet erkent de urgentie van de bestrijding van kinderpornografisch materiaal volledig en is voorstander v</w:t>
      </w:r>
      <w:r w:rsidRPr="00F10BDC" w:rsidR="00FF6586">
        <w:t xml:space="preserve">an </w:t>
      </w:r>
      <w:r w:rsidRPr="00F10BDC">
        <w:t xml:space="preserve">EU-regelgeving voor het tegengaan van de verspreiding van kinderpornografisch materiaal. Deze opgave is ook opgenomen in het regeerprogramma van het kabinet. </w:t>
      </w:r>
    </w:p>
    <w:p w:rsidRPr="00F10BDC" w:rsidR="00F80C86" w:rsidP="00517CB3" w:rsidRDefault="00F80C86" w14:paraId="5153DD0B" w14:textId="77777777"/>
    <w:p w:rsidRPr="00F10BDC" w:rsidR="00A52851" w:rsidP="00517CB3" w:rsidRDefault="00517CB3" w14:paraId="31D83C26" w14:textId="6B19FEFD">
      <w:r w:rsidRPr="00F10BDC">
        <w:t xml:space="preserve">Binnen het EU-voorstel voor de CSAM-verordening staat een bepaling die het mogelijk maakt om, als laatste redmiddel en als alle andere middelen onvoldoende resultaat hebben opgeleverd, een detectiebevel </w:t>
      </w:r>
      <w:r w:rsidRPr="00F10BDC" w:rsidR="00F80C86">
        <w:t>aan</w:t>
      </w:r>
      <w:r w:rsidRPr="00F10BDC">
        <w:t xml:space="preserve"> een aanbieder van een tussenhandeldienst of interpersoonlijke communicatiedienst op te leggen. Nederland heeft op dit punt altijd gehandeld binnen het kader van de in 2022 aangenomen motie-Van Raan, die inhoudt dat Nederland geen voorstellen ondersteunt die end-to-end encryptie onmogelijk maken.</w:t>
      </w:r>
      <w:r w:rsidRPr="00F10BDC" w:rsidR="00FF6586">
        <w:rPr>
          <w:rStyle w:val="Voetnootmarkering"/>
        </w:rPr>
        <w:footnoteReference w:id="1"/>
      </w:r>
      <w:r w:rsidRPr="00F10BDC">
        <w:t xml:space="preserve"> </w:t>
      </w:r>
    </w:p>
    <w:p w:rsidRPr="00F10BDC" w:rsidR="00A52851" w:rsidRDefault="00A52851" w14:paraId="7098E90B" w14:textId="77777777">
      <w:pPr>
        <w:spacing w:line="240" w:lineRule="auto"/>
      </w:pPr>
    </w:p>
    <w:p w:rsidRPr="00F10BDC" w:rsidR="00517CB3" w:rsidP="00517CB3" w:rsidRDefault="00517CB3" w14:paraId="4D69E85A" w14:textId="4C9ECE9E">
      <w:r w:rsidRPr="00F10BDC">
        <w:t xml:space="preserve">Ook stelde het kabinet </w:t>
      </w:r>
      <w:r w:rsidRPr="00F10BDC" w:rsidR="00F80C86">
        <w:t xml:space="preserve">eerder </w:t>
      </w:r>
      <w:r w:rsidRPr="00F10BDC">
        <w:t>vast dat client-side scanning ten aanzien van berichtendiensten die gebruik maken van end-to-end encryptie de enige technische manier is om, binnen die diensten, het detectiebevel uit te voeren op een wijze die end-to-end encryptie niet onmogelijk maakt. Dit standpunt en de onderbouwing is met uw Kamer gedeeld.</w:t>
      </w:r>
      <w:r w:rsidRPr="00F10BDC">
        <w:rPr>
          <w:rStyle w:val="Voetnootmarkering"/>
        </w:rPr>
        <w:footnoteReference w:id="2"/>
      </w:r>
      <w:r w:rsidRPr="00F10BDC">
        <w:t xml:space="preserve"> </w:t>
      </w:r>
    </w:p>
    <w:p w:rsidRPr="00F10BDC" w:rsidR="00FC25DA" w:rsidP="00517CB3" w:rsidRDefault="00FC25DA" w14:paraId="7472D0B3" w14:textId="029DC3C5"/>
    <w:p w:rsidRPr="00F10BDC" w:rsidR="008A4C49" w:rsidP="00F32FA6" w:rsidRDefault="00A52851" w14:paraId="0E7EE291" w14:textId="78B31946">
      <w:r w:rsidRPr="00F10BDC">
        <w:t>Op 29 november jl. heb ik uw Kamer, naar aanleiding van de motie Kathmann c.s.</w:t>
      </w:r>
      <w:r w:rsidRPr="00F10BDC" w:rsidR="00C74E41">
        <w:t>,</w:t>
      </w:r>
      <w:r w:rsidRPr="00F10BDC" w:rsidR="00F32FA6">
        <w:rPr>
          <w:rStyle w:val="Voetnootmarkering"/>
        </w:rPr>
        <w:footnoteReference w:id="3"/>
      </w:r>
      <w:r w:rsidRPr="00F10BDC">
        <w:t xml:space="preserve"> voorzien van een brief welke de uitgangspunten </w:t>
      </w:r>
      <w:r w:rsidRPr="00F10BDC">
        <w:rPr>
          <w:bCs/>
        </w:rPr>
        <w:t>inzake de positie van Nederland voor de onderhandelingen in Brussel, specifiek ten aanzien van het detectiebevel, bepaalt.</w:t>
      </w:r>
      <w:r w:rsidRPr="00F10BDC" w:rsidR="00F32FA6">
        <w:t xml:space="preserve"> Met de informatie die nu voorhanden is, zal het kabinet geen voorstellen over verplichte detectie ondersteunen die in de praktijk uitsluitend kunnen worden uitgevoerd door middel </w:t>
      </w:r>
      <w:r w:rsidRPr="00F10BDC" w:rsidR="00F32FA6">
        <w:rPr>
          <w:i/>
          <w:iCs/>
        </w:rPr>
        <w:t xml:space="preserve">van client-side scanning, </w:t>
      </w:r>
      <w:r w:rsidRPr="00F10BDC" w:rsidR="00F32FA6">
        <w:t>vanwege de gevolgen voor de digitale weerbaarheid.</w:t>
      </w:r>
      <w:r w:rsidRPr="00F10BDC" w:rsidR="008A4C49">
        <w:t xml:space="preserve"> Het kabinet concludeert dat voorstellen voor verplichte detectie op dit moment niet ondersteund kunnen worden of nadere bestudering vergen. De zorgen van het kabinet over de bescherming van in het geding zijnde fundamentele grondrechten, met name op het gebied van de privacy en het brief- en telecommunicatiegeheim, en de veiligheid van het digitale domein zijn op dit moment onvoldoende weggenomen. De techniek is in ontwikkeling en er is nog weinig studie naar gedaan. Met het oog op de noodzakelijke zorgvuldigheid is meer tijd nodig om het Nederlandse standpunt op dit aspect nader te concretiseren en in te vullen. </w:t>
      </w:r>
    </w:p>
    <w:p w:rsidRPr="00F10BDC" w:rsidR="008A4C49" w:rsidP="00F32FA6" w:rsidRDefault="008A4C49" w14:paraId="48270C71" w14:textId="77777777"/>
    <w:p w:rsidRPr="00F10BDC" w:rsidR="008A4C49" w:rsidP="00F32FA6" w:rsidRDefault="00F32FA6" w14:paraId="3C158599" w14:textId="7D4A2352">
      <w:r w:rsidRPr="00F10BDC">
        <w:t xml:space="preserve">Mocht de Verordening voor besluitvorming op de JBZ-Raad agenda van 12 en 13 december a.s. blijven staan, dan zal Nederland de eerder ingenomen positie herhalen. Nederland zal actief kenbaar maken zich te onthouden van stemming en daarmee worden gerekend tot de landen die de algemene oriëntatie niet steunen. </w:t>
      </w:r>
    </w:p>
    <w:p w:rsidRPr="00F10BDC" w:rsidR="008A4C49" w:rsidP="00F32FA6" w:rsidRDefault="008A4C49" w14:paraId="77723A35" w14:textId="77777777"/>
    <w:p w:rsidRPr="00F10BDC" w:rsidR="00F32FA6" w:rsidP="00F32FA6" w:rsidRDefault="00F32FA6" w14:paraId="10E37BFB" w14:textId="0D4D56EF">
      <w:r w:rsidRPr="00F10BDC">
        <w:t>Voor een uitgebreide toelichting over het kabinetsstandpunt bij dit voorstel en, in het bijzonder over het zogeheten detectiebevel, verwijs ik naar de Kamerbrieven van 1 oktober 2024 en 29 november jl.</w:t>
      </w:r>
      <w:r w:rsidRPr="00F10BDC" w:rsidR="00C74E41">
        <w:rPr>
          <w:rStyle w:val="Verwijzingopmerking"/>
          <w:rFonts w:eastAsia="Times New Roman" w:cs="Times New Roman"/>
          <w:color w:val="auto"/>
          <w:lang w:eastAsia="zh-CN"/>
        </w:rPr>
        <w:t xml:space="preserve"> </w:t>
      </w:r>
    </w:p>
    <w:p w:rsidRPr="00F10BDC" w:rsidR="00A52851" w:rsidP="00820F54" w:rsidRDefault="00A52851" w14:paraId="2B11199D" w14:textId="0217F686"/>
    <w:p w:rsidRPr="00F10BDC" w:rsidR="00290731" w:rsidP="00290731" w:rsidRDefault="00290731" w14:paraId="04858BBB" w14:textId="52A5EA31">
      <w:pPr>
        <w:rPr>
          <w:b/>
          <w:bCs/>
        </w:rPr>
      </w:pPr>
      <w:r w:rsidRPr="00F10BDC">
        <w:rPr>
          <w:b/>
          <w:bCs/>
        </w:rPr>
        <w:t>Vraag 4</w:t>
      </w:r>
    </w:p>
    <w:p w:rsidRPr="00F10BDC" w:rsidR="00517CB3" w:rsidP="00290731" w:rsidRDefault="00517CB3" w14:paraId="4A458063" w14:textId="15088FE9">
      <w:pPr>
        <w:rPr>
          <w:b/>
          <w:bCs/>
        </w:rPr>
      </w:pPr>
      <w:r w:rsidRPr="00F10BDC">
        <w:rPr>
          <w:b/>
          <w:bCs/>
        </w:rPr>
        <w:t>Hoe verhoudt het kabinetsstandpunt zich tot artikel 10 van de Grondwet: het recht op eerbiediging van de persoonlijke levenssfeer?</w:t>
      </w:r>
    </w:p>
    <w:p w:rsidRPr="00F10BDC" w:rsidR="00517CB3" w:rsidP="00517CB3" w:rsidRDefault="00517CB3" w14:paraId="47B1280E" w14:textId="77777777"/>
    <w:p w:rsidRPr="00F10BDC" w:rsidR="00290731" w:rsidP="00517CB3" w:rsidRDefault="00290731" w14:paraId="5C2A9916" w14:textId="5AC5037C">
      <w:pPr>
        <w:rPr>
          <w:b/>
          <w:bCs/>
        </w:rPr>
      </w:pPr>
      <w:r w:rsidRPr="00F10BDC">
        <w:rPr>
          <w:b/>
          <w:bCs/>
        </w:rPr>
        <w:t>Antwoord op vraag 4</w:t>
      </w:r>
    </w:p>
    <w:p w:rsidRPr="00F10BDC" w:rsidR="00677F59" w:rsidP="00517CB3" w:rsidRDefault="00FA1BB2" w14:paraId="5D97C442" w14:textId="0C560AC4">
      <w:r w:rsidRPr="00F10BDC">
        <w:t xml:space="preserve">Artikel 10 van de Grondwet waarborgt de persoonlijke levenssfeer van individuen. Hoewel het recht op privacy fundamenteel is, is het niet onbeperkt. </w:t>
      </w:r>
      <w:r w:rsidRPr="00F10BDC" w:rsidR="00517CB3">
        <w:t>Beperkingen op dit recht zijn toegestaan wanneer deze bij wet worden vastgesteld en noodzakelijk zijn voor een legitiem doel, zoals de bestrijding van criminaliteit of de bescherming van kinderen, en voldoen aan de algemene eisen van proportionaliteit en subsidiariteit en de specifieke eisen die de Grondwet stelt.</w:t>
      </w:r>
    </w:p>
    <w:p w:rsidRPr="00F10BDC" w:rsidR="00517CB3" w:rsidP="00517CB3" w:rsidRDefault="00517CB3" w14:paraId="51B07A69" w14:textId="77777777"/>
    <w:p w:rsidRPr="00F10BDC" w:rsidR="00F32FA6" w:rsidP="00820F54" w:rsidRDefault="00F32FA6" w14:paraId="35A3B7F7" w14:textId="2A7F500F">
      <w:pPr>
        <w:spacing w:after="120" w:line="276" w:lineRule="auto"/>
      </w:pPr>
      <w:r w:rsidRPr="00F10BDC">
        <w:t>Voor wat betreft privacy-inbreuken zal Nederland geen voorstellen ondersteunen die verplichte detectie in de privécommunicatie van alle burgers inhouden, conform het verzoek aan de regering dat is neergelegd in de voornoemde motie Kathmann c.s.</w:t>
      </w:r>
    </w:p>
    <w:p w:rsidRPr="00F10BDC" w:rsidR="00677F59" w:rsidP="00517CB3" w:rsidRDefault="00517CB3" w14:paraId="12F7ACA9" w14:textId="3F084FD3">
      <w:pPr>
        <w:rPr>
          <w:rFonts w:eastAsia="Calibri" w:cs="Arial"/>
          <w:iCs/>
        </w:rPr>
      </w:pPr>
      <w:r w:rsidRPr="00F10BDC">
        <w:rPr>
          <w:rFonts w:eastAsia="Calibri" w:cs="Arial"/>
          <w:iCs/>
        </w:rPr>
        <w:t>De zorgen van het kabinet over de bescherming van in het geding zijnde fundamentele grondrechten, met name op het gebied van de privacy en het brief- en telecommunicatiegeheim, en de veiligheid van het digitale domein, zijn op dit moment onvoldoende weggenomen</w:t>
      </w:r>
      <w:r w:rsidRPr="00F10BDC" w:rsidR="00F80C86">
        <w:rPr>
          <w:rFonts w:eastAsia="Calibri" w:cs="Arial"/>
          <w:iCs/>
        </w:rPr>
        <w:t xml:space="preserve"> om met de Verordening in te kunnen stemmen.</w:t>
      </w:r>
    </w:p>
    <w:p w:rsidRPr="00F10BDC" w:rsidR="00290731" w:rsidP="00290731" w:rsidRDefault="00290731" w14:paraId="22AC5C72" w14:textId="77777777">
      <w:pPr>
        <w:rPr>
          <w:rFonts w:eastAsiaTheme="minorHAnsi" w:cstheme="minorBidi"/>
          <w:b/>
          <w:bCs/>
        </w:rPr>
      </w:pPr>
      <w:r w:rsidRPr="00F10BDC">
        <w:rPr>
          <w:rFonts w:eastAsiaTheme="minorHAnsi" w:cstheme="minorBidi"/>
          <w:b/>
          <w:bCs/>
        </w:rPr>
        <w:t>Vraag 5</w:t>
      </w:r>
    </w:p>
    <w:p w:rsidRPr="00F10BDC" w:rsidR="00517CB3" w:rsidP="00290731" w:rsidRDefault="00517CB3" w14:paraId="18A66A00" w14:textId="4FB30AA6">
      <w:pPr>
        <w:rPr>
          <w:b/>
          <w:bCs/>
        </w:rPr>
      </w:pPr>
      <w:r w:rsidRPr="00F10BDC">
        <w:rPr>
          <w:b/>
          <w:bCs/>
        </w:rPr>
        <w:t>Hoe verhoudt het kabinetsstandpunt zich tot artikel 13 van de Grondwet: het recht op eerbiediging van het telecommunicatiegeheim?</w:t>
      </w:r>
    </w:p>
    <w:p w:rsidRPr="00F10BDC" w:rsidR="00290731" w:rsidP="00290731" w:rsidRDefault="00290731" w14:paraId="71C1C961" w14:textId="77777777">
      <w:pPr>
        <w:rPr>
          <w:b/>
          <w:bCs/>
        </w:rPr>
      </w:pPr>
    </w:p>
    <w:p w:rsidRPr="00F10BDC" w:rsidR="00517CB3" w:rsidP="00517CB3" w:rsidRDefault="00290731" w14:paraId="11D1E2CD" w14:textId="10BF3D45">
      <w:r w:rsidRPr="00F10BDC">
        <w:rPr>
          <w:b/>
          <w:bCs/>
        </w:rPr>
        <w:t>Antwoord op vraag 5</w:t>
      </w:r>
    </w:p>
    <w:p w:rsidRPr="00F10BDC" w:rsidR="00517CB3" w:rsidP="00213C0D" w:rsidRDefault="00517CB3" w14:paraId="433D3B9F" w14:textId="3F250BAE">
      <w:r w:rsidRPr="00F10BDC">
        <w:t>De doelstelling van artikel 13 Grondwet betreft het beschermen van de vertrouwelijkheid van de communicatie. Deze bescherming houdt in dat de overheid en andere partijen niet zonder wettelijke grond en zonder rechterlijke toestemming</w:t>
      </w:r>
      <w:r w:rsidRPr="00F10BDC" w:rsidR="00BE34B7">
        <w:t>, of (in het belang van de nationale veiligheid) machtiging van hen die daartoe bij de wet zijn aangewezen,</w:t>
      </w:r>
      <w:r w:rsidRPr="00F10BDC">
        <w:t xml:space="preserve"> privécommunicatie mogen onderscheppen, monitoren of doorzoeken. Die bescherming geldt met </w:t>
      </w:r>
      <w:r w:rsidRPr="00F10BDC" w:rsidR="00F80C86">
        <w:t>é</w:t>
      </w:r>
      <w:r w:rsidRPr="00F10BDC">
        <w:t xml:space="preserve">n zonder encryptie: ook als de inhoud van communicatie niet versleuteld is, mag die niet zomaar worden bekeken. Encryptie is een technische manier om de inhoud van de communicatie te beschermen tegen inzage door anderen, naast andere manieren om je daartegen te beschermen. </w:t>
      </w:r>
    </w:p>
    <w:p w:rsidRPr="00F10BDC" w:rsidR="00517CB3" w:rsidP="00517CB3" w:rsidRDefault="00517CB3" w14:paraId="4F4B7F3F" w14:textId="77777777"/>
    <w:p w:rsidRPr="00F10BDC" w:rsidR="00517CB3" w:rsidP="00517CB3" w:rsidRDefault="00517CB3" w14:paraId="1F251064" w14:textId="279AF4A3">
      <w:r w:rsidRPr="00F10BDC">
        <w:t xml:space="preserve">Net als bij artikel 10 van de Grondwet (recht op privacy) staat ook bij artikel 13 Grondwet de vraag centraal in welke mate de staat inbreuk kan maken op dit recht ten behoeve van een legitiem doel, zoals de bestrijding van online kindermisbruik. Beperking van dit recht is mogelijk in de gevallen bij de wet bepaald met machtiging van de rechter of, in het belang van de nationale veiligheid, door of met machtiging van hen die daartoe bij de wet zijn aangewezen. </w:t>
      </w:r>
    </w:p>
    <w:p w:rsidRPr="00F10BDC" w:rsidR="00517CB3" w:rsidP="00517CB3" w:rsidRDefault="00517CB3" w14:paraId="0AC2F78A" w14:textId="77777777"/>
    <w:p w:rsidRPr="00F10BDC" w:rsidR="00D5571C" w:rsidP="00517CB3" w:rsidRDefault="00D5571C" w14:paraId="08D6CD54" w14:textId="09D1DAB3">
      <w:pPr>
        <w:rPr>
          <w:rFonts w:eastAsia="Calibri" w:cs="Arial"/>
          <w:iCs/>
        </w:rPr>
      </w:pPr>
      <w:r w:rsidRPr="00F10BDC">
        <w:t xml:space="preserve">Ook </w:t>
      </w:r>
      <w:r w:rsidRPr="00F10BDC" w:rsidR="001940A1">
        <w:t>hiervoor</w:t>
      </w:r>
      <w:r w:rsidRPr="00F10BDC">
        <w:t xml:space="preserve"> geldt dat d</w:t>
      </w:r>
      <w:r w:rsidRPr="00F10BDC">
        <w:rPr>
          <w:rFonts w:eastAsia="Calibri" w:cs="Arial"/>
          <w:iCs/>
        </w:rPr>
        <w:t>e zorgen van het kabinet over de bescherming van in het geding zijnde fundamentele grondrechten</w:t>
      </w:r>
      <w:r w:rsidRPr="00F10BDC" w:rsidR="001940A1">
        <w:rPr>
          <w:rFonts w:eastAsia="Calibri" w:cs="Arial"/>
          <w:iCs/>
        </w:rPr>
        <w:t xml:space="preserve"> </w:t>
      </w:r>
      <w:r w:rsidRPr="00F10BDC">
        <w:rPr>
          <w:rFonts w:eastAsia="Calibri" w:cs="Arial"/>
          <w:iCs/>
        </w:rPr>
        <w:t>op dit moment onvoldoende weggenomen.</w:t>
      </w:r>
    </w:p>
    <w:p w:rsidRPr="00F10BDC" w:rsidR="00D5571C" w:rsidP="00517CB3" w:rsidRDefault="00D5571C" w14:paraId="2C01E9EA" w14:textId="77777777"/>
    <w:p w:rsidRPr="00F10BDC" w:rsidR="00290731" w:rsidP="00290731" w:rsidRDefault="00290731" w14:paraId="38573A55" w14:textId="77777777">
      <w:pPr>
        <w:rPr>
          <w:b/>
          <w:bCs/>
        </w:rPr>
      </w:pPr>
      <w:r w:rsidRPr="00F10BDC">
        <w:rPr>
          <w:b/>
          <w:bCs/>
        </w:rPr>
        <w:t>Vraag 6</w:t>
      </w:r>
    </w:p>
    <w:p w:rsidRPr="00F10BDC" w:rsidR="00517CB3" w:rsidP="00290731" w:rsidRDefault="00517CB3" w14:paraId="5226479C" w14:textId="7FB75C27">
      <w:pPr>
        <w:rPr>
          <w:b/>
          <w:bCs/>
        </w:rPr>
      </w:pPr>
      <w:r w:rsidRPr="00F10BDC">
        <w:rPr>
          <w:b/>
          <w:bCs/>
        </w:rPr>
        <w:t>Hoe verhoudt het kabinetsstandpunt zich tot het standpunt van het Hof van Justitie van de Europese Unie dat generieke toegang tot versleutelde berichten nooit rechtmatig kan zijn? [2</w:t>
      </w:r>
      <w:r w:rsidRPr="00F10BDC" w:rsidR="00D5571C">
        <w:rPr>
          <w:b/>
          <w:bCs/>
        </w:rPr>
        <w:t>]</w:t>
      </w:r>
    </w:p>
    <w:p w:rsidRPr="00F10BDC" w:rsidR="00290731" w:rsidP="00290731" w:rsidRDefault="00290731" w14:paraId="24DBD0FD" w14:textId="77777777">
      <w:pPr>
        <w:rPr>
          <w:b/>
          <w:bCs/>
        </w:rPr>
      </w:pPr>
    </w:p>
    <w:p w:rsidRPr="00F10BDC" w:rsidR="00290731" w:rsidP="00290731" w:rsidRDefault="00290731" w14:paraId="5507D6DC" w14:textId="7E9256A7">
      <w:pPr>
        <w:rPr>
          <w:b/>
          <w:bCs/>
        </w:rPr>
      </w:pPr>
      <w:r w:rsidRPr="00F10BDC">
        <w:rPr>
          <w:b/>
          <w:bCs/>
        </w:rPr>
        <w:t>Antwoord op vraag 6</w:t>
      </w:r>
    </w:p>
    <w:p w:rsidRPr="00F10BDC" w:rsidR="00517CB3" w:rsidP="00517CB3" w:rsidRDefault="00517CB3" w14:paraId="219609B6" w14:textId="59320248">
      <w:r w:rsidRPr="00F10BDC">
        <w:t xml:space="preserve">Zoals benoemd in de beantwoording van </w:t>
      </w:r>
      <w:r w:rsidRPr="00F10BDC" w:rsidR="00210307">
        <w:t xml:space="preserve">eerdere </w:t>
      </w:r>
      <w:r w:rsidRPr="00F10BDC">
        <w:t xml:space="preserve">Kamervragen </w:t>
      </w:r>
      <w:r w:rsidRPr="00F10BDC" w:rsidR="00210307">
        <w:t>over dit onderwerp</w:t>
      </w:r>
      <w:r w:rsidRPr="00F10BDC">
        <w:t xml:space="preserve"> ben ik bekend met de uitspraak van het Europese Hof in de zaak Schrems.</w:t>
      </w:r>
      <w:r w:rsidRPr="00F10BDC" w:rsidR="00C74E41">
        <w:rPr>
          <w:rStyle w:val="Voetnootmarkering"/>
        </w:rPr>
        <w:footnoteReference w:id="4"/>
      </w:r>
      <w:r w:rsidRPr="00F10BDC" w:rsidR="00C74E41">
        <w:rPr>
          <w:vertAlign w:val="superscript"/>
        </w:rPr>
        <w:t>,</w:t>
      </w:r>
      <w:r w:rsidRPr="00F10BDC" w:rsidR="00210307">
        <w:rPr>
          <w:rStyle w:val="Voetnootmarkering"/>
        </w:rPr>
        <w:footnoteReference w:id="5"/>
      </w:r>
      <w:r w:rsidRPr="00F10BDC">
        <w:t xml:space="preserve"> Het Europese Hof gaf hierin aan dat ‘een regeling op grond waarvan de autoriteiten veralgemeend toegang kunnen krijgen tot de inhoud van elektronische communicatie [moet] worden beschouwd als een aantasting van de wezenlijke inhoud van het grondrecht op eerbiediging van het privéleven zoals door artikel 7 van het EU-Handvest gewaarborgd’. Hoewel ik deze conclusie van het Hof onderschrijf, wil ik erop wijzen dat versleutelde berichten of versleuteling als zodanig geen rol speelden in deze zaak. </w:t>
      </w:r>
    </w:p>
    <w:p w:rsidRPr="00F10BDC" w:rsidR="00213C0D" w:rsidP="00290731" w:rsidRDefault="00213C0D" w14:paraId="02317B6D" w14:textId="77777777">
      <w:pPr>
        <w:rPr>
          <w:b/>
          <w:bCs/>
        </w:rPr>
      </w:pPr>
    </w:p>
    <w:p w:rsidRPr="00F10BDC" w:rsidR="00C74E41" w:rsidP="00290731" w:rsidRDefault="00C74E41" w14:paraId="63DFF1A2" w14:textId="77777777">
      <w:pPr>
        <w:rPr>
          <w:b/>
          <w:bCs/>
        </w:rPr>
      </w:pPr>
    </w:p>
    <w:p w:rsidRPr="00F10BDC" w:rsidR="00C74E41" w:rsidP="00290731" w:rsidRDefault="00C74E41" w14:paraId="0CF0C544" w14:textId="77777777">
      <w:pPr>
        <w:rPr>
          <w:b/>
          <w:bCs/>
        </w:rPr>
      </w:pPr>
    </w:p>
    <w:p w:rsidRPr="00F10BDC" w:rsidR="00C74E41" w:rsidP="00290731" w:rsidRDefault="00C74E41" w14:paraId="3BE0CC98" w14:textId="77777777">
      <w:pPr>
        <w:rPr>
          <w:b/>
          <w:bCs/>
        </w:rPr>
      </w:pPr>
    </w:p>
    <w:p w:rsidRPr="00F10BDC" w:rsidR="00C74E41" w:rsidP="00290731" w:rsidRDefault="00C74E41" w14:paraId="6CBE143E" w14:textId="77777777">
      <w:pPr>
        <w:rPr>
          <w:b/>
          <w:bCs/>
        </w:rPr>
      </w:pPr>
    </w:p>
    <w:p w:rsidRPr="00F10BDC" w:rsidR="00290731" w:rsidP="00290731" w:rsidRDefault="00290731" w14:paraId="4F2B077F" w14:textId="77777777">
      <w:pPr>
        <w:rPr>
          <w:b/>
          <w:bCs/>
        </w:rPr>
      </w:pPr>
      <w:r w:rsidRPr="00F10BDC">
        <w:rPr>
          <w:b/>
          <w:bCs/>
        </w:rPr>
        <w:t>Vraag 7</w:t>
      </w:r>
    </w:p>
    <w:p w:rsidRPr="00F10BDC" w:rsidR="00517CB3" w:rsidP="00290731" w:rsidRDefault="00517CB3" w14:paraId="13FF3D06" w14:textId="6D8CD743">
      <w:pPr>
        <w:rPr>
          <w:b/>
          <w:bCs/>
        </w:rPr>
      </w:pPr>
      <w:r w:rsidRPr="00F10BDC">
        <w:rPr>
          <w:b/>
          <w:bCs/>
        </w:rPr>
        <w:t>Hoe verhoudt het kabinetsstandpunt zich tot het standpunt van het Europees Hof voor de Rechten van de Mens, namelijk: “Wetten en wetsvoorstellen waarbij chatdiensten worden verplicht om toegang tot end-to-end versleutelde data te geven, wat kan leiden tot het verzwakken van encryptie, is niet proportioneel en heeft geen plaats in een democratische samenleving”? [3]</w:t>
      </w:r>
    </w:p>
    <w:p w:rsidRPr="00F10BDC" w:rsidR="00290731" w:rsidP="00290731" w:rsidRDefault="00290731" w14:paraId="56DB8798" w14:textId="77777777">
      <w:pPr>
        <w:rPr>
          <w:b/>
          <w:bCs/>
        </w:rPr>
      </w:pPr>
    </w:p>
    <w:p w:rsidRPr="00F10BDC" w:rsidR="00517CB3" w:rsidP="00517CB3" w:rsidRDefault="00290731" w14:paraId="629F2E79" w14:textId="3221C029">
      <w:r w:rsidRPr="00F10BDC">
        <w:rPr>
          <w:b/>
          <w:bCs/>
        </w:rPr>
        <w:t>Antwoord op vraag 7</w:t>
      </w:r>
    </w:p>
    <w:p w:rsidRPr="00F10BDC" w:rsidR="00517CB3" w:rsidP="00517CB3" w:rsidRDefault="00517CB3" w14:paraId="41D4C19B" w14:textId="7517CF0F">
      <w:r w:rsidRPr="00F10BDC">
        <w:t xml:space="preserve">Voor de beantwoording van deze vraag </w:t>
      </w:r>
      <w:r w:rsidRPr="00F10BDC" w:rsidR="00C74E41">
        <w:t>verwijs ik</w:t>
      </w:r>
      <w:r w:rsidRPr="00F10BDC">
        <w:t xml:space="preserve"> naar de beantwoording van </w:t>
      </w:r>
      <w:r w:rsidRPr="00F10BDC" w:rsidR="00BE34B7">
        <w:t>eerdere K</w:t>
      </w:r>
      <w:r w:rsidRPr="00F10BDC" w:rsidR="00FB6B3A">
        <w:t>amer</w:t>
      </w:r>
      <w:r w:rsidRPr="00F10BDC">
        <w:t>vragen</w:t>
      </w:r>
      <w:r w:rsidRPr="00F10BDC" w:rsidR="00213C0D">
        <w:t>,</w:t>
      </w:r>
      <w:r w:rsidRPr="00F10BDC">
        <w:t xml:space="preserve"> waar </w:t>
      </w:r>
      <w:r w:rsidRPr="00F10BDC" w:rsidR="00FB35A3">
        <w:t xml:space="preserve">wordt ingegaan </w:t>
      </w:r>
      <w:r w:rsidRPr="00F10BDC">
        <w:t xml:space="preserve">op de uitspraak van het Europese Hof voor de Rechten van de Mens (EHRM) op 13 februari 2024 in de zaak </w:t>
      </w:r>
      <w:r w:rsidRPr="00F10BDC">
        <w:rPr>
          <w:i/>
          <w:iCs/>
        </w:rPr>
        <w:t>Podchasov v. Rusland</w:t>
      </w:r>
      <w:r w:rsidRPr="00F10BDC" w:rsidR="00FB35A3">
        <w:t xml:space="preserve"> en hoe deze uitspraak zich verhoudt tot het standpunt van het kabinet</w:t>
      </w:r>
      <w:r w:rsidRPr="00F10BDC">
        <w:t>.</w:t>
      </w:r>
      <w:r w:rsidRPr="00F10BDC" w:rsidR="00C74E41">
        <w:rPr>
          <w:rStyle w:val="Voetnootmarkering"/>
        </w:rPr>
        <w:footnoteReference w:id="6"/>
      </w:r>
    </w:p>
    <w:p w:rsidRPr="00F10BDC" w:rsidR="00290731" w:rsidP="00290731" w:rsidRDefault="00290731" w14:paraId="52FFD9A6" w14:textId="77777777"/>
    <w:p w:rsidRPr="00F10BDC" w:rsidR="00290731" w:rsidP="00290731" w:rsidRDefault="00290731" w14:paraId="04027886" w14:textId="77777777">
      <w:pPr>
        <w:rPr>
          <w:b/>
          <w:bCs/>
        </w:rPr>
      </w:pPr>
      <w:r w:rsidRPr="00F10BDC">
        <w:rPr>
          <w:b/>
          <w:bCs/>
        </w:rPr>
        <w:t>Vraag 8</w:t>
      </w:r>
    </w:p>
    <w:p w:rsidRPr="00F10BDC" w:rsidR="00517CB3" w:rsidP="00290731" w:rsidRDefault="00517CB3" w14:paraId="1515A050" w14:textId="67D57BFD">
      <w:pPr>
        <w:rPr>
          <w:b/>
          <w:bCs/>
        </w:rPr>
      </w:pPr>
      <w:r w:rsidRPr="00F10BDC">
        <w:rPr>
          <w:b/>
          <w:bCs/>
        </w:rPr>
        <w:t>Hoe verhoudt het kabinetsstandpunt zich tot het proportionaliteitsbeginsel uit artikel 3:4 van de Algemene wet bestuursrecht?</w:t>
      </w:r>
    </w:p>
    <w:p w:rsidRPr="00F10BDC" w:rsidR="00290731" w:rsidP="00290731" w:rsidRDefault="00290731" w14:paraId="52E63F34" w14:textId="77777777">
      <w:pPr>
        <w:rPr>
          <w:b/>
          <w:bCs/>
        </w:rPr>
      </w:pPr>
    </w:p>
    <w:p w:rsidRPr="00F10BDC" w:rsidR="00A1736F" w:rsidP="00290731" w:rsidRDefault="00290731" w14:paraId="7990B479" w14:textId="14F85D58">
      <w:pPr>
        <w:rPr>
          <w:b/>
          <w:bCs/>
        </w:rPr>
      </w:pPr>
      <w:r w:rsidRPr="00F10BDC">
        <w:rPr>
          <w:b/>
          <w:bCs/>
        </w:rPr>
        <w:t>Antwoord op vraag 8</w:t>
      </w:r>
    </w:p>
    <w:p w:rsidRPr="00F10BDC" w:rsidR="00213C0D" w:rsidP="00A1736F" w:rsidRDefault="00A1736F" w14:paraId="6FDEC0AB" w14:textId="77777777">
      <w:r w:rsidRPr="00F10BDC">
        <w:t xml:space="preserve">Het proportionaliteitsbeginsel uit artikel 3:4 van de Algemene wet bestuursrecht (Awb) vereist dat een bestuursorgaan bij het nemen van besluiten een evenwichtige belangenafweging maakt en dat de nadelige gevolgen van een besluit niet onevenredig mogen zijn in verhouding tot het doel dat ermee wordt gediend. Op het kabinetsstandpunt als zodanig is de Awb niet van toepassing en het hoeft dan ook niet te voldoen aan de eisen van artikel 3:4, eerste lid, Awb. </w:t>
      </w:r>
    </w:p>
    <w:p w:rsidRPr="00F10BDC" w:rsidR="00213C0D" w:rsidP="00A1736F" w:rsidRDefault="00213C0D" w14:paraId="38F43676" w14:textId="77777777"/>
    <w:p w:rsidRPr="00F10BDC" w:rsidR="00A1736F" w:rsidP="00A1736F" w:rsidRDefault="00A1736F" w14:paraId="157CC3E2" w14:textId="4F9241D4">
      <w:r w:rsidRPr="00F10BDC">
        <w:t>Voor zover de vraag is of het kabinetsstandpunt evenredig is, benadruk ik nogmaals dat het kabinet van mening is dat op dit moment onvoldoende duidelijkheid bestaat over de impact van het detectiebevel. De zorgen van het kabinet over de bescherming van in het geding zijnde fundamentele grondrechten, met name op het gebied van de privacy en het brief- en telecommunicatiegeheim, en de veiligheid van het digitale domein, zijn op dit moment onvoldoende weggenomen om met het voorstel in te kunnen stemmen.</w:t>
      </w:r>
    </w:p>
    <w:p w:rsidRPr="00F10BDC" w:rsidR="00517CB3" w:rsidP="00517CB3" w:rsidRDefault="00517CB3" w14:paraId="163CA14F" w14:textId="77777777"/>
    <w:p w:rsidRPr="00F10BDC" w:rsidR="00290731" w:rsidP="00290731" w:rsidRDefault="00290731" w14:paraId="12ACA410" w14:textId="77777777">
      <w:pPr>
        <w:rPr>
          <w:b/>
          <w:bCs/>
        </w:rPr>
      </w:pPr>
      <w:r w:rsidRPr="00F10BDC">
        <w:rPr>
          <w:b/>
          <w:bCs/>
        </w:rPr>
        <w:t>Vraag 9</w:t>
      </w:r>
    </w:p>
    <w:p w:rsidRPr="00F10BDC" w:rsidR="00517CB3" w:rsidP="00290731" w:rsidRDefault="00517CB3" w14:paraId="058D0AB1" w14:textId="3F8955C8">
      <w:pPr>
        <w:rPr>
          <w:b/>
          <w:bCs/>
        </w:rPr>
      </w:pPr>
      <w:r w:rsidRPr="00F10BDC">
        <w:rPr>
          <w:b/>
          <w:bCs/>
        </w:rPr>
        <w:t>Wilt u deze vragen afzonderlijk, onderbouwd en binnen drie weken beantwoorden?</w:t>
      </w:r>
    </w:p>
    <w:p w:rsidRPr="00F10BDC" w:rsidR="00290731" w:rsidP="00290731" w:rsidRDefault="00290731" w14:paraId="2A0A091D" w14:textId="77777777">
      <w:pPr>
        <w:rPr>
          <w:b/>
          <w:bCs/>
        </w:rPr>
      </w:pPr>
    </w:p>
    <w:p w:rsidRPr="00F10BDC" w:rsidR="00517CB3" w:rsidP="00290731" w:rsidRDefault="00290731" w14:paraId="6DF14687" w14:textId="072241A6">
      <w:pPr>
        <w:rPr>
          <w:b/>
          <w:bCs/>
        </w:rPr>
      </w:pPr>
      <w:r w:rsidRPr="00F10BDC">
        <w:rPr>
          <w:b/>
          <w:bCs/>
        </w:rPr>
        <w:t>Antwoord op vraag 9</w:t>
      </w:r>
    </w:p>
    <w:p w:rsidRPr="00F10BDC" w:rsidR="00517CB3" w:rsidP="00517CB3" w:rsidRDefault="00517CB3" w14:paraId="0400FB76" w14:textId="57395A9F">
      <w:r w:rsidRPr="00F10BDC">
        <w:t xml:space="preserve">Het is </w:t>
      </w:r>
      <w:r w:rsidRPr="00F10BDC" w:rsidR="00290731">
        <w:t xml:space="preserve">helaas </w:t>
      </w:r>
      <w:r w:rsidRPr="00F10BDC">
        <w:t xml:space="preserve">niet gelukt om uw Kamer binnen de termijn van een beantwoording op deze vragen te voorzien. </w:t>
      </w:r>
    </w:p>
    <w:p w:rsidRPr="00F10BDC" w:rsidR="00213C0D" w:rsidP="00517CB3" w:rsidRDefault="00213C0D" w14:paraId="495F72B2" w14:textId="77777777"/>
    <w:p w:rsidRPr="00F10BDC" w:rsidR="00C74E41" w:rsidP="00517CB3" w:rsidRDefault="00C74E41" w14:paraId="24D6A1B7" w14:textId="77777777"/>
    <w:p w:rsidRPr="00F10BDC" w:rsidR="00C74E41" w:rsidP="00517CB3" w:rsidRDefault="00C74E41" w14:paraId="6EB489AE" w14:textId="77777777"/>
    <w:p w:rsidRPr="00F10BDC" w:rsidR="00C74E41" w:rsidP="00517CB3" w:rsidRDefault="00C74E41" w14:paraId="303355C6" w14:textId="77777777"/>
    <w:p w:rsidRPr="00F10BDC" w:rsidR="00C74E41" w:rsidP="00517CB3" w:rsidRDefault="00C74E41" w14:paraId="6DC63AA6" w14:textId="77777777"/>
    <w:p w:rsidRPr="00F10BDC" w:rsidR="00C74E41" w:rsidP="00517CB3" w:rsidRDefault="00C74E41" w14:paraId="62E0C1B4" w14:textId="77777777"/>
    <w:p w:rsidRPr="00F10BDC" w:rsidR="00517CB3" w:rsidP="00517CB3" w:rsidRDefault="00517CB3" w14:paraId="3DEAE85C" w14:textId="68C4D9B4">
      <w:r w:rsidRPr="00F10BDC">
        <w:t>[1] https://www.brusselstimes.com/eu-affairs/1209673/controversial-chat-control-back-on-eu-agenda-this-week.</w:t>
      </w:r>
    </w:p>
    <w:p w:rsidRPr="00F10BDC" w:rsidR="00517CB3" w:rsidP="00517CB3" w:rsidRDefault="00517CB3" w14:paraId="70785050" w14:textId="52C8B813">
      <w:r w:rsidRPr="00F10BDC">
        <w:t>[2] https://www.ivir.nl/publicaties/download/CSAMreport.pdf, paragraaf 3.2.</w:t>
      </w:r>
    </w:p>
    <w:p w:rsidR="00FC3225" w:rsidP="00517CB3" w:rsidRDefault="00517CB3" w14:paraId="0568ED89" w14:textId="3DFB32B4">
      <w:r w:rsidRPr="00F10BDC">
        <w:t xml:space="preserve">[3] </w:t>
      </w:r>
      <w:r w:rsidRPr="00F10BDC" w:rsidR="00290731">
        <w:t>h</w:t>
      </w:r>
      <w:r w:rsidRPr="00F10BDC">
        <w:t>ttps://www.security.nl/posting/829559/Europees+Hof+verbiedt+verzwakken+van+end-to-end+encryptie.</w:t>
      </w:r>
      <w:r>
        <w:br/>
      </w:r>
    </w:p>
    <w:sectPr w:rsidR="00FC3225" w:rsidSect="00290731">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92D55" w14:textId="77777777" w:rsidR="00420BBE" w:rsidRDefault="00420BBE">
      <w:pPr>
        <w:spacing w:line="240" w:lineRule="auto"/>
      </w:pPr>
      <w:r>
        <w:separator/>
      </w:r>
    </w:p>
  </w:endnote>
  <w:endnote w:type="continuationSeparator" w:id="0">
    <w:p w14:paraId="507C367B" w14:textId="77777777" w:rsidR="00420BBE" w:rsidRDefault="00420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411A7" w14:textId="77777777" w:rsidR="00420BBE" w:rsidRDefault="00420BBE">
      <w:pPr>
        <w:spacing w:line="240" w:lineRule="auto"/>
      </w:pPr>
      <w:r>
        <w:separator/>
      </w:r>
    </w:p>
  </w:footnote>
  <w:footnote w:type="continuationSeparator" w:id="0">
    <w:p w14:paraId="3950C595" w14:textId="77777777" w:rsidR="00420BBE" w:rsidRDefault="00420BBE">
      <w:pPr>
        <w:spacing w:line="240" w:lineRule="auto"/>
      </w:pPr>
      <w:r>
        <w:continuationSeparator/>
      </w:r>
    </w:p>
  </w:footnote>
  <w:footnote w:id="1">
    <w:p w14:paraId="5F582638" w14:textId="544FCB2B" w:rsidR="00FF6586" w:rsidRDefault="00FF6586">
      <w:pPr>
        <w:pStyle w:val="Voetnoottekst"/>
      </w:pPr>
      <w:r>
        <w:rPr>
          <w:rStyle w:val="Voetnootmarkering"/>
        </w:rPr>
        <w:footnoteRef/>
      </w:r>
      <w:r>
        <w:t xml:space="preserve"> Kamerstukken II, </w:t>
      </w:r>
      <w:r w:rsidRPr="00FF6586">
        <w:t>26</w:t>
      </w:r>
      <w:r>
        <w:t xml:space="preserve"> </w:t>
      </w:r>
      <w:r w:rsidRPr="00FF6586">
        <w:t>643</w:t>
      </w:r>
      <w:r>
        <w:t xml:space="preserve">, nr. </w:t>
      </w:r>
      <w:r w:rsidRPr="00FF6586">
        <w:t>885</w:t>
      </w:r>
      <w:r>
        <w:t xml:space="preserve">. </w:t>
      </w:r>
    </w:p>
  </w:footnote>
  <w:footnote w:id="2">
    <w:p w14:paraId="33F1C1AE" w14:textId="4852B1D0" w:rsidR="00517CB3" w:rsidRPr="00213C0D" w:rsidRDefault="00517CB3" w:rsidP="00517CB3">
      <w:pPr>
        <w:pStyle w:val="Voetnoottekst"/>
        <w:rPr>
          <w:szCs w:val="16"/>
        </w:rPr>
      </w:pPr>
      <w:r w:rsidRPr="00213C0D">
        <w:rPr>
          <w:rStyle w:val="Voetnootmarkering"/>
          <w:szCs w:val="16"/>
        </w:rPr>
        <w:footnoteRef/>
      </w:r>
      <w:r w:rsidRPr="00213C0D">
        <w:rPr>
          <w:szCs w:val="16"/>
        </w:rPr>
        <w:t xml:space="preserve"> Kamerstuk</w:t>
      </w:r>
      <w:r w:rsidR="00290731" w:rsidRPr="00213C0D">
        <w:rPr>
          <w:szCs w:val="16"/>
        </w:rPr>
        <w:t>ken II,</w:t>
      </w:r>
      <w:r w:rsidRPr="00213C0D">
        <w:rPr>
          <w:szCs w:val="16"/>
        </w:rPr>
        <w:t xml:space="preserve"> 26 643, nr. 1069</w:t>
      </w:r>
      <w:r w:rsidR="00290731" w:rsidRPr="00213C0D">
        <w:rPr>
          <w:szCs w:val="16"/>
        </w:rPr>
        <w:t>.</w:t>
      </w:r>
    </w:p>
  </w:footnote>
  <w:footnote w:id="3">
    <w:p w14:paraId="476C8133" w14:textId="7BE90394" w:rsidR="00F32FA6" w:rsidRPr="00F32FA6" w:rsidRDefault="00F32FA6">
      <w:pPr>
        <w:pStyle w:val="Voetnoottekst"/>
        <w:rPr>
          <w:szCs w:val="16"/>
        </w:rPr>
      </w:pPr>
      <w:r>
        <w:rPr>
          <w:rStyle w:val="Voetnootmarkering"/>
        </w:rPr>
        <w:footnoteRef/>
      </w:r>
      <w:r>
        <w:t xml:space="preserve"> </w:t>
      </w:r>
      <w:r w:rsidRPr="00DE47A3">
        <w:rPr>
          <w:szCs w:val="16"/>
        </w:rPr>
        <w:t xml:space="preserve">Kamerstukken </w:t>
      </w:r>
      <w:r>
        <w:rPr>
          <w:szCs w:val="16"/>
        </w:rPr>
        <w:t>II</w:t>
      </w:r>
      <w:r w:rsidRPr="00DE47A3">
        <w:rPr>
          <w:szCs w:val="16"/>
        </w:rPr>
        <w:t>, 32 317, nr. 891.</w:t>
      </w:r>
    </w:p>
  </w:footnote>
  <w:footnote w:id="4">
    <w:p w14:paraId="468E57B7" w14:textId="77777777" w:rsidR="00C74E41" w:rsidRPr="00213C0D" w:rsidRDefault="00C74E41" w:rsidP="00C74E41">
      <w:pPr>
        <w:pStyle w:val="Voetnoottekst"/>
        <w:rPr>
          <w:szCs w:val="16"/>
        </w:rPr>
      </w:pPr>
      <w:r w:rsidRPr="00213C0D">
        <w:rPr>
          <w:rStyle w:val="Voetnootmarkering"/>
          <w:szCs w:val="16"/>
        </w:rPr>
        <w:footnoteRef/>
      </w:r>
      <w:r w:rsidRPr="00213C0D">
        <w:rPr>
          <w:szCs w:val="16"/>
        </w:rPr>
        <w:t xml:space="preserve"> Aanhangsel Handelingen II 2024/25, nr. 398.</w:t>
      </w:r>
    </w:p>
  </w:footnote>
  <w:footnote w:id="5">
    <w:p w14:paraId="3682623A" w14:textId="47C3F7FC" w:rsidR="00210307" w:rsidRPr="00213C0D" w:rsidRDefault="00210307">
      <w:pPr>
        <w:pStyle w:val="Voetnoottekst"/>
        <w:rPr>
          <w:szCs w:val="16"/>
        </w:rPr>
      </w:pPr>
      <w:r w:rsidRPr="00213C0D">
        <w:rPr>
          <w:rStyle w:val="Voetnootmarkering"/>
          <w:szCs w:val="16"/>
        </w:rPr>
        <w:footnoteRef/>
      </w:r>
      <w:r w:rsidRPr="00213C0D">
        <w:rPr>
          <w:szCs w:val="16"/>
        </w:rPr>
        <w:t xml:space="preserve"> Uitspraak van het Hof van Justitie in de zaak Schrems I, (C-362/14), 6 oktober 2015 (ECLI:EU:C:2015:650).</w:t>
      </w:r>
    </w:p>
  </w:footnote>
  <w:footnote w:id="6">
    <w:p w14:paraId="06D97582" w14:textId="77777777" w:rsidR="00C74E41" w:rsidRPr="00213C0D" w:rsidRDefault="00C74E41" w:rsidP="00C74E41">
      <w:pPr>
        <w:pStyle w:val="Voetnoottekst"/>
        <w:rPr>
          <w:szCs w:val="16"/>
        </w:rPr>
      </w:pPr>
      <w:r w:rsidRPr="00213C0D">
        <w:rPr>
          <w:rStyle w:val="Voetnootmarkering"/>
          <w:szCs w:val="16"/>
        </w:rPr>
        <w:footnoteRef/>
      </w:r>
      <w:r w:rsidRPr="00213C0D">
        <w:rPr>
          <w:szCs w:val="16"/>
        </w:rPr>
        <w:t xml:space="preserve"> Aanhangsel Handelingen II 2024/25, nr. 398 (zie m.n. beantwoording vragen 9 e.v.).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8BAE" w14:textId="77777777" w:rsidR="00FC3225" w:rsidRDefault="00BF7CCF">
    <w:r>
      <w:rPr>
        <w:noProof/>
      </w:rPr>
      <mc:AlternateContent>
        <mc:Choice Requires="wps">
          <w:drawing>
            <wp:anchor distT="0" distB="0" distL="0" distR="0" simplePos="0" relativeHeight="251652096" behindDoc="0" locked="1" layoutInCell="1" allowOverlap="1" wp14:anchorId="6DD36312" wp14:editId="618C95E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EB96004" w14:textId="77777777" w:rsidR="00BF7CCF" w:rsidRDefault="00BF7CCF"/>
                      </w:txbxContent>
                    </wps:txbx>
                    <wps:bodyPr vert="horz" wrap="square" lIns="0" tIns="0" rIns="0" bIns="0" anchor="t" anchorCtr="0"/>
                  </wps:wsp>
                </a:graphicData>
              </a:graphic>
            </wp:anchor>
          </w:drawing>
        </mc:Choice>
        <mc:Fallback>
          <w:pict>
            <v:shapetype w14:anchorId="6DD3631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EB96004" w14:textId="77777777" w:rsidR="00BF7CCF" w:rsidRDefault="00BF7CC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95EF21D" wp14:editId="7A7B3BC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C44994" w14:textId="77777777" w:rsidR="00FC3225" w:rsidRDefault="00BF7CCF">
                          <w:pPr>
                            <w:pStyle w:val="Referentiegegevensbold"/>
                          </w:pPr>
                          <w:r>
                            <w:t>Directoraat-Generaal Rechtspleging en Rechtshandhaving</w:t>
                          </w:r>
                        </w:p>
                        <w:p w14:paraId="30477262" w14:textId="77777777" w:rsidR="00FC3225" w:rsidRDefault="00BF7CCF">
                          <w:pPr>
                            <w:pStyle w:val="Referentiegegevens"/>
                          </w:pPr>
                          <w:r>
                            <w:t>Directie Rechtshandhaving en Criminaliteitsbestrijding</w:t>
                          </w:r>
                        </w:p>
                        <w:p w14:paraId="3FFBD53F" w14:textId="77777777" w:rsidR="00FC3225" w:rsidRDefault="00BF7CCF">
                          <w:pPr>
                            <w:pStyle w:val="Referentiegegevens"/>
                          </w:pPr>
                          <w:r>
                            <w:t>CZ</w:t>
                          </w:r>
                        </w:p>
                        <w:p w14:paraId="3B309BD7" w14:textId="77777777" w:rsidR="00FC3225" w:rsidRDefault="00FC3225">
                          <w:pPr>
                            <w:pStyle w:val="WitregelW2"/>
                          </w:pPr>
                        </w:p>
                        <w:p w14:paraId="52D76BA9" w14:textId="77777777" w:rsidR="00FC3225" w:rsidRDefault="00BF7CCF">
                          <w:pPr>
                            <w:pStyle w:val="Referentiegegevensbold"/>
                          </w:pPr>
                          <w:r>
                            <w:t>Datum</w:t>
                          </w:r>
                        </w:p>
                        <w:p w14:paraId="2D4A0318" w14:textId="1B4D2593" w:rsidR="00FC3225" w:rsidRDefault="00180B11">
                          <w:pPr>
                            <w:pStyle w:val="Referentiegegevens"/>
                          </w:pPr>
                          <w:sdt>
                            <w:sdtPr>
                              <w:id w:val="-1145664580"/>
                              <w:date w:fullDate="2024-11-29T00:00:00Z">
                                <w:dateFormat w:val="d MMMM yyyy"/>
                                <w:lid w:val="nl"/>
                                <w:storeMappedDataAs w:val="dateTime"/>
                                <w:calendar w:val="gregorian"/>
                              </w:date>
                            </w:sdtPr>
                            <w:sdtEndPr/>
                            <w:sdtContent>
                              <w:r w:rsidR="00C74E41">
                                <w:t>29</w:t>
                              </w:r>
                              <w:r w:rsidR="00290731">
                                <w:t xml:space="preserve"> november</w:t>
                              </w:r>
                              <w:r w:rsidR="00BF7CCF">
                                <w:t xml:space="preserve"> 2024</w:t>
                              </w:r>
                            </w:sdtContent>
                          </w:sdt>
                        </w:p>
                        <w:p w14:paraId="0B657B40" w14:textId="77777777" w:rsidR="00FC3225" w:rsidRDefault="00FC3225">
                          <w:pPr>
                            <w:pStyle w:val="WitregelW1"/>
                          </w:pPr>
                        </w:p>
                        <w:p w14:paraId="4F35FD52" w14:textId="77777777" w:rsidR="00FC3225" w:rsidRDefault="00BF7CCF">
                          <w:pPr>
                            <w:pStyle w:val="Referentiegegevensbold"/>
                          </w:pPr>
                          <w:r>
                            <w:t>Onze referentie</w:t>
                          </w:r>
                        </w:p>
                        <w:p w14:paraId="65442008" w14:textId="77777777" w:rsidR="00FC3225" w:rsidRDefault="00BF7CCF">
                          <w:pPr>
                            <w:pStyle w:val="Referentiegegevens"/>
                          </w:pPr>
                          <w:r>
                            <w:t>5758991</w:t>
                          </w:r>
                        </w:p>
                      </w:txbxContent>
                    </wps:txbx>
                    <wps:bodyPr vert="horz" wrap="square" lIns="0" tIns="0" rIns="0" bIns="0" anchor="t" anchorCtr="0"/>
                  </wps:wsp>
                </a:graphicData>
              </a:graphic>
            </wp:anchor>
          </w:drawing>
        </mc:Choice>
        <mc:Fallback>
          <w:pict>
            <v:shape w14:anchorId="695EF21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7C44994" w14:textId="77777777" w:rsidR="00FC3225" w:rsidRDefault="00BF7CCF">
                    <w:pPr>
                      <w:pStyle w:val="Referentiegegevensbold"/>
                    </w:pPr>
                    <w:r>
                      <w:t>Directoraat-Generaal Rechtspleging en Rechtshandhaving</w:t>
                    </w:r>
                  </w:p>
                  <w:p w14:paraId="30477262" w14:textId="77777777" w:rsidR="00FC3225" w:rsidRDefault="00BF7CCF">
                    <w:pPr>
                      <w:pStyle w:val="Referentiegegevens"/>
                    </w:pPr>
                    <w:r>
                      <w:t>Directie Rechtshandhaving en Criminaliteitsbestrijding</w:t>
                    </w:r>
                  </w:p>
                  <w:p w14:paraId="3FFBD53F" w14:textId="77777777" w:rsidR="00FC3225" w:rsidRDefault="00BF7CCF">
                    <w:pPr>
                      <w:pStyle w:val="Referentiegegevens"/>
                    </w:pPr>
                    <w:r>
                      <w:t>CZ</w:t>
                    </w:r>
                  </w:p>
                  <w:p w14:paraId="3B309BD7" w14:textId="77777777" w:rsidR="00FC3225" w:rsidRDefault="00FC3225">
                    <w:pPr>
                      <w:pStyle w:val="WitregelW2"/>
                    </w:pPr>
                  </w:p>
                  <w:p w14:paraId="52D76BA9" w14:textId="77777777" w:rsidR="00FC3225" w:rsidRDefault="00BF7CCF">
                    <w:pPr>
                      <w:pStyle w:val="Referentiegegevensbold"/>
                    </w:pPr>
                    <w:r>
                      <w:t>Datum</w:t>
                    </w:r>
                  </w:p>
                  <w:p w14:paraId="2D4A0318" w14:textId="1B4D2593" w:rsidR="00FC3225" w:rsidRDefault="00180B11">
                    <w:pPr>
                      <w:pStyle w:val="Referentiegegevens"/>
                    </w:pPr>
                    <w:sdt>
                      <w:sdtPr>
                        <w:id w:val="-1145664580"/>
                        <w:date w:fullDate="2024-11-29T00:00:00Z">
                          <w:dateFormat w:val="d MMMM yyyy"/>
                          <w:lid w:val="nl"/>
                          <w:storeMappedDataAs w:val="dateTime"/>
                          <w:calendar w:val="gregorian"/>
                        </w:date>
                      </w:sdtPr>
                      <w:sdtEndPr/>
                      <w:sdtContent>
                        <w:r w:rsidR="00C74E41">
                          <w:t>29</w:t>
                        </w:r>
                        <w:r w:rsidR="00290731">
                          <w:t xml:space="preserve"> november</w:t>
                        </w:r>
                        <w:r w:rsidR="00BF7CCF">
                          <w:t xml:space="preserve"> 2024</w:t>
                        </w:r>
                      </w:sdtContent>
                    </w:sdt>
                  </w:p>
                  <w:p w14:paraId="0B657B40" w14:textId="77777777" w:rsidR="00FC3225" w:rsidRDefault="00FC3225">
                    <w:pPr>
                      <w:pStyle w:val="WitregelW1"/>
                    </w:pPr>
                  </w:p>
                  <w:p w14:paraId="4F35FD52" w14:textId="77777777" w:rsidR="00FC3225" w:rsidRDefault="00BF7CCF">
                    <w:pPr>
                      <w:pStyle w:val="Referentiegegevensbold"/>
                    </w:pPr>
                    <w:r>
                      <w:t>Onze referentie</w:t>
                    </w:r>
                  </w:p>
                  <w:p w14:paraId="65442008" w14:textId="77777777" w:rsidR="00FC3225" w:rsidRDefault="00BF7CCF">
                    <w:pPr>
                      <w:pStyle w:val="Referentiegegevens"/>
                    </w:pPr>
                    <w:r>
                      <w:t>5758991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4B0CA5B" wp14:editId="6D50048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F175F7" w14:textId="77777777" w:rsidR="00BF7CCF" w:rsidRDefault="00BF7CCF"/>
                      </w:txbxContent>
                    </wps:txbx>
                    <wps:bodyPr vert="horz" wrap="square" lIns="0" tIns="0" rIns="0" bIns="0" anchor="t" anchorCtr="0"/>
                  </wps:wsp>
                </a:graphicData>
              </a:graphic>
            </wp:anchor>
          </w:drawing>
        </mc:Choice>
        <mc:Fallback>
          <w:pict>
            <v:shape w14:anchorId="64B0CA5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37F175F7" w14:textId="77777777" w:rsidR="00BF7CCF" w:rsidRDefault="00BF7CC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1C9EE4E" wp14:editId="2AC8029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51552C" w14:textId="7902411C" w:rsidR="00FC3225" w:rsidRDefault="00BF7CC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1C9EE4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5F51552C" w14:textId="7902411C" w:rsidR="00FC3225" w:rsidRDefault="00BF7CC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73564" w14:textId="77777777" w:rsidR="00FC3225" w:rsidRDefault="00BF7CCF">
    <w:pPr>
      <w:spacing w:after="6377" w:line="14" w:lineRule="exact"/>
    </w:pPr>
    <w:r>
      <w:rPr>
        <w:noProof/>
      </w:rPr>
      <mc:AlternateContent>
        <mc:Choice Requires="wps">
          <w:drawing>
            <wp:anchor distT="0" distB="0" distL="0" distR="0" simplePos="0" relativeHeight="251656192" behindDoc="0" locked="1" layoutInCell="1" allowOverlap="1" wp14:anchorId="56178BE1" wp14:editId="605E25B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73C53F" w14:textId="77777777" w:rsidR="00FC3225" w:rsidRDefault="00BF7CCF">
                          <w:pPr>
                            <w:spacing w:line="240" w:lineRule="auto"/>
                          </w:pPr>
                          <w:r>
                            <w:rPr>
                              <w:noProof/>
                            </w:rPr>
                            <w:drawing>
                              <wp:inline distT="0" distB="0" distL="0" distR="0" wp14:anchorId="48AC71F8" wp14:editId="1A9D1AAD">
                                <wp:extent cx="467995" cy="1583865"/>
                                <wp:effectExtent l="0" t="0" r="0" b="0"/>
                                <wp:docPr id="25" name="Afbeelding 25"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6178BE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373C53F" w14:textId="77777777" w:rsidR="00FC3225" w:rsidRDefault="00BF7CCF">
                    <w:pPr>
                      <w:spacing w:line="240" w:lineRule="auto"/>
                    </w:pPr>
                    <w:r>
                      <w:rPr>
                        <w:noProof/>
                      </w:rPr>
                      <w:drawing>
                        <wp:inline distT="0" distB="0" distL="0" distR="0" wp14:anchorId="48AC71F8" wp14:editId="1A9D1AAD">
                          <wp:extent cx="467995" cy="1583865"/>
                          <wp:effectExtent l="0" t="0" r="0" b="0"/>
                          <wp:docPr id="25" name="Afbeelding 25"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D96AF8" wp14:editId="2DE97A3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94C2C7" w14:textId="77777777" w:rsidR="00FC3225" w:rsidRDefault="00BF7CCF">
                          <w:pPr>
                            <w:spacing w:line="240" w:lineRule="auto"/>
                          </w:pPr>
                          <w:r>
                            <w:rPr>
                              <w:noProof/>
                            </w:rPr>
                            <w:drawing>
                              <wp:inline distT="0" distB="0" distL="0" distR="0" wp14:anchorId="181521B0" wp14:editId="7DBA114F">
                                <wp:extent cx="2339975" cy="1582834"/>
                                <wp:effectExtent l="0" t="0" r="0" b="0"/>
                                <wp:docPr id="26" name="Afbeelding 26"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D96AF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794C2C7" w14:textId="77777777" w:rsidR="00FC3225" w:rsidRDefault="00BF7CCF">
                    <w:pPr>
                      <w:spacing w:line="240" w:lineRule="auto"/>
                    </w:pPr>
                    <w:r>
                      <w:rPr>
                        <w:noProof/>
                      </w:rPr>
                      <w:drawing>
                        <wp:inline distT="0" distB="0" distL="0" distR="0" wp14:anchorId="181521B0" wp14:editId="7DBA114F">
                          <wp:extent cx="2339975" cy="1582834"/>
                          <wp:effectExtent l="0" t="0" r="0" b="0"/>
                          <wp:docPr id="26" name="Afbeelding 26"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10387AB" wp14:editId="2F78A19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7B3018" w14:textId="77777777" w:rsidR="00FC3225" w:rsidRDefault="00BF7CC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10387A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C7B3018" w14:textId="77777777" w:rsidR="00FC3225" w:rsidRDefault="00BF7CC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DBB1B6" wp14:editId="243D722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05100D" w14:textId="56E4D1CB" w:rsidR="00FC3225" w:rsidRDefault="00A80155">
                          <w:r>
                            <w:t xml:space="preserve">Aan de </w:t>
                          </w:r>
                          <w:r w:rsidR="00BF7CCF">
                            <w:t>Voorzitter van de Tweede Kamer</w:t>
                          </w:r>
                        </w:p>
                        <w:p w14:paraId="2A459E10" w14:textId="453B1938" w:rsidR="00FC3225" w:rsidRDefault="00A80155">
                          <w:r>
                            <w:t xml:space="preserve">der </w:t>
                          </w:r>
                          <w:r w:rsidR="00BF7CCF">
                            <w:t>Staten-Generaal</w:t>
                          </w:r>
                        </w:p>
                        <w:p w14:paraId="4BCD8F66" w14:textId="77777777" w:rsidR="00FC3225" w:rsidRDefault="00BF7CCF">
                          <w:r>
                            <w:t xml:space="preserve">Postbus 20018 </w:t>
                          </w:r>
                        </w:p>
                        <w:p w14:paraId="28030FC0" w14:textId="77777777" w:rsidR="00FC3225" w:rsidRDefault="00BF7CCF">
                          <w:r>
                            <w:t>2500 EA  DEN HAAG</w:t>
                          </w:r>
                        </w:p>
                        <w:p w14:paraId="18800E78" w14:textId="074358CE" w:rsidR="00FC3225" w:rsidRDefault="00FC3225"/>
                      </w:txbxContent>
                    </wps:txbx>
                    <wps:bodyPr vert="horz" wrap="square" lIns="0" tIns="0" rIns="0" bIns="0" anchor="t" anchorCtr="0"/>
                  </wps:wsp>
                </a:graphicData>
              </a:graphic>
            </wp:anchor>
          </w:drawing>
        </mc:Choice>
        <mc:Fallback>
          <w:pict>
            <v:shape w14:anchorId="41DBB1B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105100D" w14:textId="56E4D1CB" w:rsidR="00FC3225" w:rsidRDefault="00A80155">
                    <w:r>
                      <w:t xml:space="preserve">Aan de </w:t>
                    </w:r>
                    <w:r w:rsidR="00BF7CCF">
                      <w:t>Voorzitter van de Tweede Kamer</w:t>
                    </w:r>
                  </w:p>
                  <w:p w14:paraId="2A459E10" w14:textId="453B1938" w:rsidR="00FC3225" w:rsidRDefault="00A80155">
                    <w:r>
                      <w:t xml:space="preserve">der </w:t>
                    </w:r>
                    <w:r w:rsidR="00BF7CCF">
                      <w:t>Staten-Generaal</w:t>
                    </w:r>
                  </w:p>
                  <w:p w14:paraId="4BCD8F66" w14:textId="77777777" w:rsidR="00FC3225" w:rsidRDefault="00BF7CCF">
                    <w:r>
                      <w:t xml:space="preserve">Postbus 20018 </w:t>
                    </w:r>
                  </w:p>
                  <w:p w14:paraId="28030FC0" w14:textId="77777777" w:rsidR="00FC3225" w:rsidRDefault="00BF7CCF">
                    <w:r>
                      <w:t>2500 EA  DEN HAAG</w:t>
                    </w:r>
                  </w:p>
                  <w:p w14:paraId="18800E78" w14:textId="074358CE" w:rsidR="00FC3225" w:rsidRDefault="00FC3225"/>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4501BC0" wp14:editId="704584B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C3225" w14:paraId="022FF7AF" w14:textId="77777777">
                            <w:trPr>
                              <w:trHeight w:val="240"/>
                            </w:trPr>
                            <w:tc>
                              <w:tcPr>
                                <w:tcW w:w="1140" w:type="dxa"/>
                              </w:tcPr>
                              <w:p w14:paraId="40A4E072" w14:textId="77777777" w:rsidR="00FC3225" w:rsidRDefault="00BF7CCF">
                                <w:r>
                                  <w:t>Datum</w:t>
                                </w:r>
                              </w:p>
                            </w:tc>
                            <w:tc>
                              <w:tcPr>
                                <w:tcW w:w="5918" w:type="dxa"/>
                              </w:tcPr>
                              <w:p w14:paraId="10435567" w14:textId="6CCF1D1D" w:rsidR="00FC3225" w:rsidRDefault="00180B11">
                                <w:sdt>
                                  <w:sdtPr>
                                    <w:id w:val="-216201503"/>
                                    <w:date w:fullDate="2024-11-29T00:00:00Z">
                                      <w:dateFormat w:val="d MMMM yyyy"/>
                                      <w:lid w:val="nl"/>
                                      <w:storeMappedDataAs w:val="dateTime"/>
                                      <w:calendar w:val="gregorian"/>
                                    </w:date>
                                  </w:sdtPr>
                                  <w:sdtEndPr/>
                                  <w:sdtContent>
                                    <w:r w:rsidR="00C74E41">
                                      <w:t>29</w:t>
                                    </w:r>
                                    <w:r w:rsidR="00290731">
                                      <w:t xml:space="preserve"> november</w:t>
                                    </w:r>
                                    <w:r w:rsidR="00BF7CCF">
                                      <w:t xml:space="preserve"> 2024</w:t>
                                    </w:r>
                                  </w:sdtContent>
                                </w:sdt>
                              </w:p>
                            </w:tc>
                          </w:tr>
                          <w:tr w:rsidR="00FC3225" w14:paraId="3C503D04" w14:textId="77777777">
                            <w:trPr>
                              <w:trHeight w:val="240"/>
                            </w:trPr>
                            <w:tc>
                              <w:tcPr>
                                <w:tcW w:w="1140" w:type="dxa"/>
                              </w:tcPr>
                              <w:p w14:paraId="053DAEF3" w14:textId="77777777" w:rsidR="00FC3225" w:rsidRDefault="00BF7CCF">
                                <w:r>
                                  <w:t>Betreft</w:t>
                                </w:r>
                              </w:p>
                            </w:tc>
                            <w:tc>
                              <w:tcPr>
                                <w:tcW w:w="5918" w:type="dxa"/>
                              </w:tcPr>
                              <w:p w14:paraId="2A6D4080" w14:textId="2CBBB59D" w:rsidR="00FC3225" w:rsidRDefault="00A80155">
                                <w:r>
                                  <w:t>Antwoorden</w:t>
                                </w:r>
                                <w:r w:rsidR="00BF7CCF">
                                  <w:t xml:space="preserve"> Kamervragen</w:t>
                                </w:r>
                                <w:r>
                                  <w:t xml:space="preserve"> over </w:t>
                                </w:r>
                                <w:r w:rsidR="00BF7CCF" w:rsidRPr="00BF7CCF">
                                  <w:t>het bericht 'Controversial ‘chat control’ back on EU agenda this week'</w:t>
                                </w:r>
                              </w:p>
                            </w:tc>
                          </w:tr>
                        </w:tbl>
                        <w:p w14:paraId="6D419AD4" w14:textId="77777777" w:rsidR="00BF7CCF" w:rsidRDefault="00BF7CCF"/>
                      </w:txbxContent>
                    </wps:txbx>
                    <wps:bodyPr vert="horz" wrap="square" lIns="0" tIns="0" rIns="0" bIns="0" anchor="t" anchorCtr="0"/>
                  </wps:wsp>
                </a:graphicData>
              </a:graphic>
            </wp:anchor>
          </w:drawing>
        </mc:Choice>
        <mc:Fallback>
          <w:pict>
            <v:shape w14:anchorId="64501BC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C3225" w14:paraId="022FF7AF" w14:textId="77777777">
                      <w:trPr>
                        <w:trHeight w:val="240"/>
                      </w:trPr>
                      <w:tc>
                        <w:tcPr>
                          <w:tcW w:w="1140" w:type="dxa"/>
                        </w:tcPr>
                        <w:p w14:paraId="40A4E072" w14:textId="77777777" w:rsidR="00FC3225" w:rsidRDefault="00BF7CCF">
                          <w:r>
                            <w:t>Datum</w:t>
                          </w:r>
                        </w:p>
                      </w:tc>
                      <w:tc>
                        <w:tcPr>
                          <w:tcW w:w="5918" w:type="dxa"/>
                        </w:tcPr>
                        <w:p w14:paraId="10435567" w14:textId="6CCF1D1D" w:rsidR="00FC3225" w:rsidRDefault="00180B11">
                          <w:sdt>
                            <w:sdtPr>
                              <w:id w:val="-216201503"/>
                              <w:date w:fullDate="2024-11-29T00:00:00Z">
                                <w:dateFormat w:val="d MMMM yyyy"/>
                                <w:lid w:val="nl"/>
                                <w:storeMappedDataAs w:val="dateTime"/>
                                <w:calendar w:val="gregorian"/>
                              </w:date>
                            </w:sdtPr>
                            <w:sdtEndPr/>
                            <w:sdtContent>
                              <w:r w:rsidR="00C74E41">
                                <w:t>29</w:t>
                              </w:r>
                              <w:r w:rsidR="00290731">
                                <w:t xml:space="preserve"> november</w:t>
                              </w:r>
                              <w:r w:rsidR="00BF7CCF">
                                <w:t xml:space="preserve"> 2024</w:t>
                              </w:r>
                            </w:sdtContent>
                          </w:sdt>
                        </w:p>
                      </w:tc>
                    </w:tr>
                    <w:tr w:rsidR="00FC3225" w14:paraId="3C503D04" w14:textId="77777777">
                      <w:trPr>
                        <w:trHeight w:val="240"/>
                      </w:trPr>
                      <w:tc>
                        <w:tcPr>
                          <w:tcW w:w="1140" w:type="dxa"/>
                        </w:tcPr>
                        <w:p w14:paraId="053DAEF3" w14:textId="77777777" w:rsidR="00FC3225" w:rsidRDefault="00BF7CCF">
                          <w:r>
                            <w:t>Betreft</w:t>
                          </w:r>
                        </w:p>
                      </w:tc>
                      <w:tc>
                        <w:tcPr>
                          <w:tcW w:w="5918" w:type="dxa"/>
                        </w:tcPr>
                        <w:p w14:paraId="2A6D4080" w14:textId="2CBBB59D" w:rsidR="00FC3225" w:rsidRDefault="00A80155">
                          <w:r>
                            <w:t>Antwoorden</w:t>
                          </w:r>
                          <w:r w:rsidR="00BF7CCF">
                            <w:t xml:space="preserve"> Kamervragen</w:t>
                          </w:r>
                          <w:r>
                            <w:t xml:space="preserve"> over </w:t>
                          </w:r>
                          <w:r w:rsidR="00BF7CCF" w:rsidRPr="00BF7CCF">
                            <w:t>het bericht 'Controversial ‘chat control’ back on EU agenda this week'</w:t>
                          </w:r>
                        </w:p>
                      </w:tc>
                    </w:tr>
                  </w:tbl>
                  <w:p w14:paraId="6D419AD4" w14:textId="77777777" w:rsidR="00BF7CCF" w:rsidRDefault="00BF7CC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6006261" wp14:editId="47CAE24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5221F5" w14:textId="77777777" w:rsidR="00FC3225" w:rsidRDefault="00BF7CCF">
                          <w:pPr>
                            <w:pStyle w:val="Referentiegegevensbold"/>
                          </w:pPr>
                          <w:r>
                            <w:t>Directoraat-Generaal Rechtspleging en Rechtshandhaving</w:t>
                          </w:r>
                        </w:p>
                        <w:p w14:paraId="58ED902A" w14:textId="77777777" w:rsidR="00FC3225" w:rsidRDefault="00BF7CCF">
                          <w:pPr>
                            <w:pStyle w:val="Referentiegegevens"/>
                          </w:pPr>
                          <w:r>
                            <w:t>Directie Rechtshandhaving en Criminaliteitsbestrijding</w:t>
                          </w:r>
                        </w:p>
                        <w:p w14:paraId="2CC08522" w14:textId="77777777" w:rsidR="00FC3225" w:rsidRPr="00B61218" w:rsidRDefault="00BF7CCF">
                          <w:pPr>
                            <w:pStyle w:val="Referentiegegevens"/>
                            <w:rPr>
                              <w:lang w:val="de-DE"/>
                            </w:rPr>
                          </w:pPr>
                          <w:r w:rsidRPr="00B61218">
                            <w:rPr>
                              <w:lang w:val="de-DE"/>
                            </w:rPr>
                            <w:t>CZ</w:t>
                          </w:r>
                        </w:p>
                        <w:p w14:paraId="70C03613" w14:textId="77777777" w:rsidR="00FC3225" w:rsidRPr="00B61218" w:rsidRDefault="00FC3225">
                          <w:pPr>
                            <w:pStyle w:val="WitregelW1"/>
                            <w:rPr>
                              <w:lang w:val="de-DE"/>
                            </w:rPr>
                          </w:pPr>
                        </w:p>
                        <w:p w14:paraId="18E7771B" w14:textId="77777777" w:rsidR="00FC3225" w:rsidRPr="00B61218" w:rsidRDefault="00BF7CCF">
                          <w:pPr>
                            <w:pStyle w:val="Referentiegegevens"/>
                            <w:rPr>
                              <w:lang w:val="de-DE"/>
                            </w:rPr>
                          </w:pPr>
                          <w:r w:rsidRPr="00B61218">
                            <w:rPr>
                              <w:lang w:val="de-DE"/>
                            </w:rPr>
                            <w:t>Turfmarkt 147</w:t>
                          </w:r>
                        </w:p>
                        <w:p w14:paraId="02D1188F" w14:textId="77777777" w:rsidR="00FC3225" w:rsidRPr="00B61218" w:rsidRDefault="00BF7CCF">
                          <w:pPr>
                            <w:pStyle w:val="Referentiegegevens"/>
                            <w:rPr>
                              <w:lang w:val="de-DE"/>
                            </w:rPr>
                          </w:pPr>
                          <w:r w:rsidRPr="00B61218">
                            <w:rPr>
                              <w:lang w:val="de-DE"/>
                            </w:rPr>
                            <w:t>2511 DP   Den Haag</w:t>
                          </w:r>
                        </w:p>
                        <w:p w14:paraId="2AA7DFF2" w14:textId="77777777" w:rsidR="00FC3225" w:rsidRPr="00B61218" w:rsidRDefault="00BF7CCF">
                          <w:pPr>
                            <w:pStyle w:val="Referentiegegevens"/>
                            <w:rPr>
                              <w:lang w:val="de-DE"/>
                            </w:rPr>
                          </w:pPr>
                          <w:r w:rsidRPr="00B61218">
                            <w:rPr>
                              <w:lang w:val="de-DE"/>
                            </w:rPr>
                            <w:t>Postbus 20301</w:t>
                          </w:r>
                        </w:p>
                        <w:p w14:paraId="05471106" w14:textId="77777777" w:rsidR="00FC3225" w:rsidRPr="00B61218" w:rsidRDefault="00BF7CCF">
                          <w:pPr>
                            <w:pStyle w:val="Referentiegegevens"/>
                            <w:rPr>
                              <w:lang w:val="de-DE"/>
                            </w:rPr>
                          </w:pPr>
                          <w:r w:rsidRPr="00B61218">
                            <w:rPr>
                              <w:lang w:val="de-DE"/>
                            </w:rPr>
                            <w:t>2500 EH   Den Haag</w:t>
                          </w:r>
                        </w:p>
                        <w:p w14:paraId="1264CFF3" w14:textId="77777777" w:rsidR="00FC3225" w:rsidRPr="00B61218" w:rsidRDefault="00BF7CCF">
                          <w:pPr>
                            <w:pStyle w:val="Referentiegegevens"/>
                            <w:rPr>
                              <w:lang w:val="de-DE"/>
                            </w:rPr>
                          </w:pPr>
                          <w:r w:rsidRPr="00B61218">
                            <w:rPr>
                              <w:lang w:val="de-DE"/>
                            </w:rPr>
                            <w:t>www.rijksoverheid.nl/jenv</w:t>
                          </w:r>
                        </w:p>
                        <w:p w14:paraId="408A5CAB" w14:textId="77777777" w:rsidR="00FC3225" w:rsidRPr="00B61218" w:rsidRDefault="00FC3225">
                          <w:pPr>
                            <w:pStyle w:val="WitregelW1"/>
                            <w:rPr>
                              <w:lang w:val="de-DE"/>
                            </w:rPr>
                          </w:pPr>
                        </w:p>
                        <w:p w14:paraId="1711D93A" w14:textId="77777777" w:rsidR="00FC3225" w:rsidRDefault="00BF7CCF">
                          <w:pPr>
                            <w:pStyle w:val="Referentiegegevensbold"/>
                          </w:pPr>
                          <w:r>
                            <w:t>Onze referentie</w:t>
                          </w:r>
                        </w:p>
                        <w:p w14:paraId="22C73607" w14:textId="77777777" w:rsidR="00FC3225" w:rsidRDefault="00BF7CCF">
                          <w:pPr>
                            <w:pStyle w:val="Referentiegegevens"/>
                          </w:pPr>
                          <w:r>
                            <w:t>5758991</w:t>
                          </w:r>
                        </w:p>
                        <w:p w14:paraId="4F70679C" w14:textId="77777777" w:rsidR="00FC3225" w:rsidRDefault="00FC3225">
                          <w:pPr>
                            <w:pStyle w:val="WitregelW1"/>
                          </w:pPr>
                        </w:p>
                        <w:p w14:paraId="2643A6F0" w14:textId="77777777" w:rsidR="00FC3225" w:rsidRDefault="00BF7CCF">
                          <w:pPr>
                            <w:pStyle w:val="Referentiegegevensbold"/>
                          </w:pPr>
                          <w:r>
                            <w:t>Uw referentie</w:t>
                          </w:r>
                        </w:p>
                        <w:p w14:paraId="0C6801CF" w14:textId="77777777" w:rsidR="00FC3225" w:rsidRDefault="00180B11">
                          <w:pPr>
                            <w:pStyle w:val="Referentiegegevens"/>
                          </w:pPr>
                          <w:sdt>
                            <w:sdtPr>
                              <w:id w:val="1061449633"/>
                              <w:dataBinding w:prefixMappings="xmlns:ns0='docgen-assistant'" w:xpath="/ns0:CustomXml[1]/ns0:Variables[1]/ns0:Variable[1]/ns0:Value[1]" w:storeItemID="{00000000-0000-0000-0000-000000000000}"/>
                              <w:text/>
                            </w:sdtPr>
                            <w:sdtEndPr/>
                            <w:sdtContent>
                              <w:r w:rsidR="00E93F5A">
                                <w:t>2024Z13083</w:t>
                              </w:r>
                            </w:sdtContent>
                          </w:sdt>
                        </w:p>
                      </w:txbxContent>
                    </wps:txbx>
                    <wps:bodyPr vert="horz" wrap="square" lIns="0" tIns="0" rIns="0" bIns="0" anchor="t" anchorCtr="0"/>
                  </wps:wsp>
                </a:graphicData>
              </a:graphic>
            </wp:anchor>
          </w:drawing>
        </mc:Choice>
        <mc:Fallback>
          <w:pict>
            <v:shape w14:anchorId="3600626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3B5221F5" w14:textId="77777777" w:rsidR="00FC3225" w:rsidRDefault="00BF7CCF">
                    <w:pPr>
                      <w:pStyle w:val="Referentiegegevensbold"/>
                    </w:pPr>
                    <w:r>
                      <w:t>Directoraat-Generaal Rechtspleging en Rechtshandhaving</w:t>
                    </w:r>
                  </w:p>
                  <w:p w14:paraId="58ED902A" w14:textId="77777777" w:rsidR="00FC3225" w:rsidRDefault="00BF7CCF">
                    <w:pPr>
                      <w:pStyle w:val="Referentiegegevens"/>
                    </w:pPr>
                    <w:r>
                      <w:t>Directie Rechtshandhaving en Criminaliteitsbestrijding</w:t>
                    </w:r>
                  </w:p>
                  <w:p w14:paraId="2CC08522" w14:textId="77777777" w:rsidR="00FC3225" w:rsidRPr="00B61218" w:rsidRDefault="00BF7CCF">
                    <w:pPr>
                      <w:pStyle w:val="Referentiegegevens"/>
                      <w:rPr>
                        <w:lang w:val="de-DE"/>
                      </w:rPr>
                    </w:pPr>
                    <w:r w:rsidRPr="00B61218">
                      <w:rPr>
                        <w:lang w:val="de-DE"/>
                      </w:rPr>
                      <w:t>CZ</w:t>
                    </w:r>
                  </w:p>
                  <w:p w14:paraId="70C03613" w14:textId="77777777" w:rsidR="00FC3225" w:rsidRPr="00B61218" w:rsidRDefault="00FC3225">
                    <w:pPr>
                      <w:pStyle w:val="WitregelW1"/>
                      <w:rPr>
                        <w:lang w:val="de-DE"/>
                      </w:rPr>
                    </w:pPr>
                  </w:p>
                  <w:p w14:paraId="18E7771B" w14:textId="77777777" w:rsidR="00FC3225" w:rsidRPr="00B61218" w:rsidRDefault="00BF7CCF">
                    <w:pPr>
                      <w:pStyle w:val="Referentiegegevens"/>
                      <w:rPr>
                        <w:lang w:val="de-DE"/>
                      </w:rPr>
                    </w:pPr>
                    <w:r w:rsidRPr="00B61218">
                      <w:rPr>
                        <w:lang w:val="de-DE"/>
                      </w:rPr>
                      <w:t>Turfmarkt 147</w:t>
                    </w:r>
                  </w:p>
                  <w:p w14:paraId="02D1188F" w14:textId="77777777" w:rsidR="00FC3225" w:rsidRPr="00B61218" w:rsidRDefault="00BF7CCF">
                    <w:pPr>
                      <w:pStyle w:val="Referentiegegevens"/>
                      <w:rPr>
                        <w:lang w:val="de-DE"/>
                      </w:rPr>
                    </w:pPr>
                    <w:r w:rsidRPr="00B61218">
                      <w:rPr>
                        <w:lang w:val="de-DE"/>
                      </w:rPr>
                      <w:t>2511 DP   Den Haag</w:t>
                    </w:r>
                  </w:p>
                  <w:p w14:paraId="2AA7DFF2" w14:textId="77777777" w:rsidR="00FC3225" w:rsidRPr="00B61218" w:rsidRDefault="00BF7CCF">
                    <w:pPr>
                      <w:pStyle w:val="Referentiegegevens"/>
                      <w:rPr>
                        <w:lang w:val="de-DE"/>
                      </w:rPr>
                    </w:pPr>
                    <w:r w:rsidRPr="00B61218">
                      <w:rPr>
                        <w:lang w:val="de-DE"/>
                      </w:rPr>
                      <w:t>Postbus 20301</w:t>
                    </w:r>
                  </w:p>
                  <w:p w14:paraId="05471106" w14:textId="77777777" w:rsidR="00FC3225" w:rsidRPr="00B61218" w:rsidRDefault="00BF7CCF">
                    <w:pPr>
                      <w:pStyle w:val="Referentiegegevens"/>
                      <w:rPr>
                        <w:lang w:val="de-DE"/>
                      </w:rPr>
                    </w:pPr>
                    <w:r w:rsidRPr="00B61218">
                      <w:rPr>
                        <w:lang w:val="de-DE"/>
                      </w:rPr>
                      <w:t>2500 EH   Den Haag</w:t>
                    </w:r>
                  </w:p>
                  <w:p w14:paraId="1264CFF3" w14:textId="77777777" w:rsidR="00FC3225" w:rsidRPr="00B61218" w:rsidRDefault="00BF7CCF">
                    <w:pPr>
                      <w:pStyle w:val="Referentiegegevens"/>
                      <w:rPr>
                        <w:lang w:val="de-DE"/>
                      </w:rPr>
                    </w:pPr>
                    <w:r w:rsidRPr="00B61218">
                      <w:rPr>
                        <w:lang w:val="de-DE"/>
                      </w:rPr>
                      <w:t>www.rijksoverheid.nl/jenv</w:t>
                    </w:r>
                  </w:p>
                  <w:p w14:paraId="408A5CAB" w14:textId="77777777" w:rsidR="00FC3225" w:rsidRPr="00B61218" w:rsidRDefault="00FC3225">
                    <w:pPr>
                      <w:pStyle w:val="WitregelW1"/>
                      <w:rPr>
                        <w:lang w:val="de-DE"/>
                      </w:rPr>
                    </w:pPr>
                  </w:p>
                  <w:p w14:paraId="1711D93A" w14:textId="77777777" w:rsidR="00FC3225" w:rsidRDefault="00BF7CCF">
                    <w:pPr>
                      <w:pStyle w:val="Referentiegegevensbold"/>
                    </w:pPr>
                    <w:r>
                      <w:t>Onze referentie</w:t>
                    </w:r>
                  </w:p>
                  <w:p w14:paraId="22C73607" w14:textId="77777777" w:rsidR="00FC3225" w:rsidRDefault="00BF7CCF">
                    <w:pPr>
                      <w:pStyle w:val="Referentiegegevens"/>
                    </w:pPr>
                    <w:r>
                      <w:t>5758991</w:t>
                    </w:r>
                  </w:p>
                  <w:p w14:paraId="4F70679C" w14:textId="77777777" w:rsidR="00FC3225" w:rsidRDefault="00FC3225">
                    <w:pPr>
                      <w:pStyle w:val="WitregelW1"/>
                    </w:pPr>
                  </w:p>
                  <w:p w14:paraId="2643A6F0" w14:textId="77777777" w:rsidR="00FC3225" w:rsidRDefault="00BF7CCF">
                    <w:pPr>
                      <w:pStyle w:val="Referentiegegevensbold"/>
                    </w:pPr>
                    <w:r>
                      <w:t>Uw referentie</w:t>
                    </w:r>
                  </w:p>
                  <w:p w14:paraId="0C6801CF" w14:textId="77777777" w:rsidR="00FC3225" w:rsidRDefault="00180B11">
                    <w:pPr>
                      <w:pStyle w:val="Referentiegegevens"/>
                    </w:pPr>
                    <w:sdt>
                      <w:sdtPr>
                        <w:id w:val="1061449633"/>
                        <w:dataBinding w:prefixMappings="xmlns:ns0='docgen-assistant'" w:xpath="/ns0:CustomXml[1]/ns0:Variables[1]/ns0:Variable[1]/ns0:Value[1]" w:storeItemID="{00000000-0000-0000-0000-000000000000}"/>
                        <w:text/>
                      </w:sdtPr>
                      <w:sdtEndPr/>
                      <w:sdtContent>
                        <w:r w:rsidR="00E93F5A">
                          <w:t>2024Z13083</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D56A83C" wp14:editId="1080F0B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70C303" w14:textId="6818E47A" w:rsidR="00FC3225" w:rsidRDefault="00BF7CCF">
                          <w:pPr>
                            <w:pStyle w:val="Referentiegegevens"/>
                          </w:pPr>
                          <w:r>
                            <w:t xml:space="preserve">Pagina </w:t>
                          </w:r>
                          <w:r>
                            <w:fldChar w:fldCharType="begin"/>
                          </w:r>
                          <w:r>
                            <w:instrText>PAGE</w:instrText>
                          </w:r>
                          <w:r>
                            <w:fldChar w:fldCharType="separate"/>
                          </w:r>
                          <w:r w:rsidR="00180B11">
                            <w:rPr>
                              <w:noProof/>
                            </w:rPr>
                            <w:t>1</w:t>
                          </w:r>
                          <w:r>
                            <w:fldChar w:fldCharType="end"/>
                          </w:r>
                          <w:r>
                            <w:t xml:space="preserve"> van </w:t>
                          </w:r>
                          <w:r>
                            <w:fldChar w:fldCharType="begin"/>
                          </w:r>
                          <w:r>
                            <w:instrText>NUMPAGES</w:instrText>
                          </w:r>
                          <w:r>
                            <w:fldChar w:fldCharType="separate"/>
                          </w:r>
                          <w:r w:rsidR="00180B11">
                            <w:rPr>
                              <w:noProof/>
                            </w:rPr>
                            <w:t>1</w:t>
                          </w:r>
                          <w:r>
                            <w:fldChar w:fldCharType="end"/>
                          </w:r>
                        </w:p>
                      </w:txbxContent>
                    </wps:txbx>
                    <wps:bodyPr vert="horz" wrap="square" lIns="0" tIns="0" rIns="0" bIns="0" anchor="t" anchorCtr="0"/>
                  </wps:wsp>
                </a:graphicData>
              </a:graphic>
            </wp:anchor>
          </w:drawing>
        </mc:Choice>
        <mc:Fallback>
          <w:pict>
            <v:shape w14:anchorId="4D56A83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C70C303" w14:textId="6818E47A" w:rsidR="00FC3225" w:rsidRDefault="00BF7CCF">
                    <w:pPr>
                      <w:pStyle w:val="Referentiegegevens"/>
                    </w:pPr>
                    <w:r>
                      <w:t xml:space="preserve">Pagina </w:t>
                    </w:r>
                    <w:r>
                      <w:fldChar w:fldCharType="begin"/>
                    </w:r>
                    <w:r>
                      <w:instrText>PAGE</w:instrText>
                    </w:r>
                    <w:r>
                      <w:fldChar w:fldCharType="separate"/>
                    </w:r>
                    <w:r w:rsidR="00180B11">
                      <w:rPr>
                        <w:noProof/>
                      </w:rPr>
                      <w:t>1</w:t>
                    </w:r>
                    <w:r>
                      <w:fldChar w:fldCharType="end"/>
                    </w:r>
                    <w:r>
                      <w:t xml:space="preserve"> van </w:t>
                    </w:r>
                    <w:r>
                      <w:fldChar w:fldCharType="begin"/>
                    </w:r>
                    <w:r>
                      <w:instrText>NUMPAGES</w:instrText>
                    </w:r>
                    <w:r>
                      <w:fldChar w:fldCharType="separate"/>
                    </w:r>
                    <w:r w:rsidR="00180B1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D9FA467" wp14:editId="3072C9E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295A82" w14:textId="77777777" w:rsidR="00BF7CCF" w:rsidRDefault="00BF7CCF"/>
                      </w:txbxContent>
                    </wps:txbx>
                    <wps:bodyPr vert="horz" wrap="square" lIns="0" tIns="0" rIns="0" bIns="0" anchor="t" anchorCtr="0"/>
                  </wps:wsp>
                </a:graphicData>
              </a:graphic>
            </wp:anchor>
          </w:drawing>
        </mc:Choice>
        <mc:Fallback>
          <w:pict>
            <v:shape w14:anchorId="3D9FA46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9295A82" w14:textId="77777777" w:rsidR="00BF7CCF" w:rsidRDefault="00BF7C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BD812C"/>
    <w:multiLevelType w:val="multilevel"/>
    <w:tmpl w:val="109DC14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56C238E"/>
    <w:multiLevelType w:val="multilevel"/>
    <w:tmpl w:val="C22FCFC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7D058A2"/>
    <w:multiLevelType w:val="multilevel"/>
    <w:tmpl w:val="69FF179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D99A7BD"/>
    <w:multiLevelType w:val="multilevel"/>
    <w:tmpl w:val="617FB63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2157CF1"/>
    <w:multiLevelType w:val="hybridMultilevel"/>
    <w:tmpl w:val="FC3E66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EE6BF9"/>
    <w:multiLevelType w:val="hybridMultilevel"/>
    <w:tmpl w:val="2C02D6AE"/>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C9C4F964">
      <w:start w:val="1"/>
      <w:numFmt w:val="decimal"/>
      <w:lvlText w:val="%4."/>
      <w:lvlJc w:val="left"/>
      <w:pPr>
        <w:ind w:left="360" w:hanging="360"/>
      </w:pPr>
    </w:lvl>
    <w:lvl w:ilvl="4" w:tplc="04B02120">
      <w:start w:val="1"/>
      <w:numFmt w:val="lowerLetter"/>
      <w:lvlText w:val="%5."/>
      <w:lvlJc w:val="left"/>
      <w:pPr>
        <w:ind w:left="786"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6" w15:restartNumberingAfterBreak="0">
    <w:nsid w:val="14301A7A"/>
    <w:multiLevelType w:val="hybridMultilevel"/>
    <w:tmpl w:val="D9F8B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4B56B0"/>
    <w:multiLevelType w:val="hybridMultilevel"/>
    <w:tmpl w:val="EE1662DC"/>
    <w:lvl w:ilvl="0" w:tplc="0EF2BB68">
      <w:start w:val="1"/>
      <w:numFmt w:val="decimal"/>
      <w:lvlText w:val="%1."/>
      <w:lvlJc w:val="left"/>
      <w:pPr>
        <w:ind w:left="720" w:hanging="360"/>
      </w:pPr>
    </w:lvl>
    <w:lvl w:ilvl="1" w:tplc="31E224EE">
      <w:start w:val="1"/>
      <w:numFmt w:val="lowerLetter"/>
      <w:lvlText w:val="%2."/>
      <w:lvlJc w:val="left"/>
      <w:pPr>
        <w:ind w:left="1440" w:hanging="360"/>
      </w:pPr>
    </w:lvl>
    <w:lvl w:ilvl="2" w:tplc="3FA2B7D6">
      <w:start w:val="1"/>
      <w:numFmt w:val="lowerRoman"/>
      <w:lvlText w:val="%3."/>
      <w:lvlJc w:val="right"/>
      <w:pPr>
        <w:ind w:left="2160" w:hanging="180"/>
      </w:pPr>
    </w:lvl>
    <w:lvl w:ilvl="3" w:tplc="3982A750">
      <w:start w:val="1"/>
      <w:numFmt w:val="decimal"/>
      <w:lvlText w:val="%4."/>
      <w:lvlJc w:val="left"/>
      <w:pPr>
        <w:ind w:left="2880" w:hanging="360"/>
      </w:pPr>
    </w:lvl>
    <w:lvl w:ilvl="4" w:tplc="18527922">
      <w:start w:val="1"/>
      <w:numFmt w:val="lowerLetter"/>
      <w:lvlText w:val="%5."/>
      <w:lvlJc w:val="left"/>
      <w:pPr>
        <w:ind w:left="3600" w:hanging="360"/>
      </w:pPr>
    </w:lvl>
    <w:lvl w:ilvl="5" w:tplc="A9F01086">
      <w:start w:val="1"/>
      <w:numFmt w:val="lowerRoman"/>
      <w:lvlText w:val="%6."/>
      <w:lvlJc w:val="right"/>
      <w:pPr>
        <w:ind w:left="4320" w:hanging="180"/>
      </w:pPr>
    </w:lvl>
    <w:lvl w:ilvl="6" w:tplc="3ABCCB98">
      <w:start w:val="1"/>
      <w:numFmt w:val="decimal"/>
      <w:lvlText w:val="%7."/>
      <w:lvlJc w:val="left"/>
      <w:pPr>
        <w:ind w:left="5040" w:hanging="360"/>
      </w:pPr>
    </w:lvl>
    <w:lvl w:ilvl="7" w:tplc="226294B6">
      <w:start w:val="1"/>
      <w:numFmt w:val="lowerLetter"/>
      <w:lvlText w:val="%8."/>
      <w:lvlJc w:val="left"/>
      <w:pPr>
        <w:ind w:left="5760" w:hanging="360"/>
      </w:pPr>
    </w:lvl>
    <w:lvl w:ilvl="8" w:tplc="90987D3E">
      <w:start w:val="1"/>
      <w:numFmt w:val="lowerRoman"/>
      <w:lvlText w:val="%9."/>
      <w:lvlJc w:val="right"/>
      <w:pPr>
        <w:ind w:left="6480" w:hanging="180"/>
      </w:pPr>
    </w:lvl>
  </w:abstractNum>
  <w:abstractNum w:abstractNumId="8" w15:restartNumberingAfterBreak="0">
    <w:nsid w:val="53C4FF56"/>
    <w:multiLevelType w:val="multilevel"/>
    <w:tmpl w:val="F96332D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7A902B6C"/>
    <w:multiLevelType w:val="multilevel"/>
    <w:tmpl w:val="0F5DE86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9"/>
  </w:num>
  <w:num w:numId="2">
    <w:abstractNumId w:val="2"/>
  </w:num>
  <w:num w:numId="3">
    <w:abstractNumId w:val="8"/>
  </w:num>
  <w:num w:numId="4">
    <w:abstractNumId w:val="1"/>
  </w:num>
  <w:num w:numId="5">
    <w:abstractNumId w:val="3"/>
  </w:num>
  <w:num w:numId="6">
    <w:abstractNumId w:val="0"/>
  </w:num>
  <w:num w:numId="7">
    <w:abstractNumId w:val="7"/>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CF"/>
    <w:rsid w:val="00076AD8"/>
    <w:rsid w:val="0009452D"/>
    <w:rsid w:val="000F4C24"/>
    <w:rsid w:val="00180B11"/>
    <w:rsid w:val="001940A1"/>
    <w:rsid w:val="00210307"/>
    <w:rsid w:val="00213C0D"/>
    <w:rsid w:val="00234814"/>
    <w:rsid w:val="00290731"/>
    <w:rsid w:val="00290F6E"/>
    <w:rsid w:val="002A52C9"/>
    <w:rsid w:val="00332894"/>
    <w:rsid w:val="00363405"/>
    <w:rsid w:val="00367C12"/>
    <w:rsid w:val="00415617"/>
    <w:rsid w:val="00420BBE"/>
    <w:rsid w:val="00474633"/>
    <w:rsid w:val="00517CB3"/>
    <w:rsid w:val="005C1A3E"/>
    <w:rsid w:val="00650882"/>
    <w:rsid w:val="00677F59"/>
    <w:rsid w:val="007532E2"/>
    <w:rsid w:val="007B5674"/>
    <w:rsid w:val="007D498E"/>
    <w:rsid w:val="00820F54"/>
    <w:rsid w:val="00895239"/>
    <w:rsid w:val="008A4C49"/>
    <w:rsid w:val="008C008D"/>
    <w:rsid w:val="008D1429"/>
    <w:rsid w:val="008E4A49"/>
    <w:rsid w:val="00967C8B"/>
    <w:rsid w:val="009C6E25"/>
    <w:rsid w:val="009C6E7D"/>
    <w:rsid w:val="00A1736F"/>
    <w:rsid w:val="00A52851"/>
    <w:rsid w:val="00A80155"/>
    <w:rsid w:val="00AB2BC3"/>
    <w:rsid w:val="00B3256C"/>
    <w:rsid w:val="00B61218"/>
    <w:rsid w:val="00B631EA"/>
    <w:rsid w:val="00B91BB4"/>
    <w:rsid w:val="00BB1BE8"/>
    <w:rsid w:val="00BE34B7"/>
    <w:rsid w:val="00BF7CCF"/>
    <w:rsid w:val="00C637F9"/>
    <w:rsid w:val="00C74E41"/>
    <w:rsid w:val="00C96074"/>
    <w:rsid w:val="00CA5465"/>
    <w:rsid w:val="00D5571C"/>
    <w:rsid w:val="00E45CEF"/>
    <w:rsid w:val="00E52F27"/>
    <w:rsid w:val="00E93F5A"/>
    <w:rsid w:val="00F10BDC"/>
    <w:rsid w:val="00F32FA6"/>
    <w:rsid w:val="00F80C86"/>
    <w:rsid w:val="00FA1BB2"/>
    <w:rsid w:val="00FB050A"/>
    <w:rsid w:val="00FB35A3"/>
    <w:rsid w:val="00FB6B3A"/>
    <w:rsid w:val="00FC25DA"/>
    <w:rsid w:val="00FC3225"/>
    <w:rsid w:val="00FF65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C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F7C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7CCF"/>
    <w:rPr>
      <w:rFonts w:ascii="Verdana" w:hAnsi="Verdana"/>
      <w:color w:val="000000"/>
      <w:sz w:val="18"/>
      <w:szCs w:val="18"/>
    </w:rPr>
  </w:style>
  <w:style w:type="paragraph" w:styleId="Lijstalinea">
    <w:name w:val="List Paragraph"/>
    <w:aliases w:val="Dot pt,F5 List Paragraph,List Paragraph1,No Spacing1,List Paragraph Char Char Char,Indicator Text,Colorful List - Accent 11,Numbered Para 1,Bullet Points,MAIN CONTENT,List Paragraph11,List Paragraph12,List Paragraph2,OBC Bullet,L,Bullet 1"/>
    <w:basedOn w:val="Standaard"/>
    <w:link w:val="LijstalineaChar"/>
    <w:uiPriority w:val="34"/>
    <w:qFormat/>
    <w:rsid w:val="00474633"/>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customStyle="1" w:styleId="LijstalineaChar">
    <w:name w:val="Lijstalinea Char"/>
    <w:aliases w:val="Dot pt Char,F5 List Paragraph Char,List Paragraph1 Char,No Spacing1 Char,List Paragraph Char Char Char Char,Indicator Text Char,Colorful List - Accent 11 Char,Numbered Para 1 Char,Bullet Points Char,MAIN CONTENT Char,OBC Bullet Char"/>
    <w:link w:val="Lijstalinea"/>
    <w:uiPriority w:val="34"/>
    <w:qFormat/>
    <w:locked/>
    <w:rsid w:val="00474633"/>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rsid w:val="00474633"/>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rsid w:val="00474633"/>
    <w:rPr>
      <w:rFonts w:ascii="Verdana" w:eastAsia="Times New Roman" w:hAnsi="Verdana" w:cs="Times New Roman"/>
      <w:sz w:val="16"/>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qFormat/>
    <w:rsid w:val="00474633"/>
    <w:rPr>
      <w:vertAlign w:val="superscript"/>
    </w:rPr>
  </w:style>
  <w:style w:type="character" w:styleId="Verwijzingopmerking">
    <w:name w:val="annotation reference"/>
    <w:basedOn w:val="Standaardalinea-lettertype"/>
    <w:uiPriority w:val="99"/>
    <w:semiHidden/>
    <w:unhideWhenUsed/>
    <w:rsid w:val="00517CB3"/>
    <w:rPr>
      <w:sz w:val="16"/>
      <w:szCs w:val="16"/>
    </w:rPr>
  </w:style>
  <w:style w:type="paragraph" w:styleId="Tekstopmerking">
    <w:name w:val="annotation text"/>
    <w:basedOn w:val="Standaard"/>
    <w:link w:val="TekstopmerkingChar"/>
    <w:uiPriority w:val="99"/>
    <w:unhideWhenUsed/>
    <w:rsid w:val="00517CB3"/>
    <w:pPr>
      <w:autoSpaceDN/>
      <w:spacing w:line="240" w:lineRule="auto"/>
      <w:textAlignment w:val="auto"/>
    </w:pPr>
    <w:rPr>
      <w:rFonts w:eastAsia="Times New Roman" w:cs="Times New Roman"/>
      <w:color w:val="auto"/>
      <w:sz w:val="20"/>
      <w:szCs w:val="20"/>
      <w:lang w:eastAsia="zh-CN"/>
    </w:rPr>
  </w:style>
  <w:style w:type="character" w:customStyle="1" w:styleId="TekstopmerkingChar">
    <w:name w:val="Tekst opmerking Char"/>
    <w:basedOn w:val="Standaardalinea-lettertype"/>
    <w:link w:val="Tekstopmerking"/>
    <w:uiPriority w:val="99"/>
    <w:rsid w:val="00517CB3"/>
    <w:rPr>
      <w:rFonts w:ascii="Verdana" w:eastAsia="Times New Roman" w:hAnsi="Verdana" w:cs="Times New Roman"/>
      <w:lang w:eastAsia="zh-CN"/>
    </w:rPr>
  </w:style>
  <w:style w:type="character" w:customStyle="1" w:styleId="UnresolvedMention">
    <w:name w:val="Unresolved Mention"/>
    <w:basedOn w:val="Standaardalinea-lettertype"/>
    <w:uiPriority w:val="99"/>
    <w:semiHidden/>
    <w:unhideWhenUsed/>
    <w:rsid w:val="00517CB3"/>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F80C86"/>
    <w:pPr>
      <w:autoSpaceDN w:val="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F80C86"/>
    <w:rPr>
      <w:rFonts w:ascii="Verdana" w:eastAsia="Times New Roman" w:hAnsi="Verdana" w:cs="Times New Roman"/>
      <w:b/>
      <w:bCs/>
      <w:color w:val="000000"/>
      <w:lang w:eastAsia="zh-CN"/>
    </w:rPr>
  </w:style>
  <w:style w:type="paragraph" w:styleId="Revisie">
    <w:name w:val="Revision"/>
    <w:hidden/>
    <w:uiPriority w:val="99"/>
    <w:semiHidden/>
    <w:rsid w:val="00F80C86"/>
    <w:pPr>
      <w:autoSpaceDN/>
      <w:textAlignment w:val="auto"/>
    </w:pPr>
    <w:rPr>
      <w:rFonts w:ascii="Verdana" w:hAnsi="Verdana"/>
      <w:color w:val="000000"/>
      <w:sz w:val="18"/>
      <w:szCs w:val="18"/>
    </w:rPr>
  </w:style>
  <w:style w:type="paragraph" w:customStyle="1" w:styleId="broodtekst">
    <w:name w:val="broodtekst"/>
    <w:basedOn w:val="Standaard"/>
    <w:qFormat/>
    <w:rsid w:val="00677F59"/>
    <w:pPr>
      <w:autoSpaceDE w:val="0"/>
      <w:adjustRightInd w:val="0"/>
      <w:textAlignment w:val="auto"/>
    </w:pPr>
    <w:rPr>
      <w:rFonts w:eastAsia="Times New Roman" w:cs="Times New Roman"/>
      <w:color w:val="auto"/>
    </w:rPr>
  </w:style>
  <w:style w:type="paragraph" w:styleId="Normaalweb">
    <w:name w:val="Normal (Web)"/>
    <w:basedOn w:val="Standaard"/>
    <w:uiPriority w:val="99"/>
    <w:semiHidden/>
    <w:unhideWhenUsed/>
    <w:rsid w:val="00677F5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verflow-hidden">
    <w:name w:val="overflow-hidden"/>
    <w:basedOn w:val="Standaardalinea-lettertype"/>
    <w:rsid w:val="0067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2793">
      <w:bodyDiv w:val="1"/>
      <w:marLeft w:val="0"/>
      <w:marRight w:val="0"/>
      <w:marTop w:val="0"/>
      <w:marBottom w:val="0"/>
      <w:divBdr>
        <w:top w:val="none" w:sz="0" w:space="0" w:color="auto"/>
        <w:left w:val="none" w:sz="0" w:space="0" w:color="auto"/>
        <w:bottom w:val="none" w:sz="0" w:space="0" w:color="auto"/>
        <w:right w:val="none" w:sz="0" w:space="0" w:color="auto"/>
      </w:divBdr>
      <w:divsChild>
        <w:div w:id="1987853996">
          <w:marLeft w:val="0"/>
          <w:marRight w:val="0"/>
          <w:marTop w:val="0"/>
          <w:marBottom w:val="0"/>
          <w:divBdr>
            <w:top w:val="none" w:sz="0" w:space="0" w:color="auto"/>
            <w:left w:val="none" w:sz="0" w:space="0" w:color="auto"/>
            <w:bottom w:val="none" w:sz="0" w:space="0" w:color="auto"/>
            <w:right w:val="none" w:sz="0" w:space="0" w:color="auto"/>
          </w:divBdr>
          <w:divsChild>
            <w:div w:id="206644947">
              <w:marLeft w:val="0"/>
              <w:marRight w:val="0"/>
              <w:marTop w:val="0"/>
              <w:marBottom w:val="0"/>
              <w:divBdr>
                <w:top w:val="none" w:sz="0" w:space="0" w:color="auto"/>
                <w:left w:val="none" w:sz="0" w:space="0" w:color="auto"/>
                <w:bottom w:val="none" w:sz="0" w:space="0" w:color="auto"/>
                <w:right w:val="none" w:sz="0" w:space="0" w:color="auto"/>
              </w:divBdr>
              <w:divsChild>
                <w:div w:id="66536133">
                  <w:marLeft w:val="0"/>
                  <w:marRight w:val="0"/>
                  <w:marTop w:val="0"/>
                  <w:marBottom w:val="0"/>
                  <w:divBdr>
                    <w:top w:val="none" w:sz="0" w:space="0" w:color="auto"/>
                    <w:left w:val="none" w:sz="0" w:space="0" w:color="auto"/>
                    <w:bottom w:val="none" w:sz="0" w:space="0" w:color="auto"/>
                    <w:right w:val="none" w:sz="0" w:space="0" w:color="auto"/>
                  </w:divBdr>
                  <w:divsChild>
                    <w:div w:id="9232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5067">
          <w:marLeft w:val="0"/>
          <w:marRight w:val="0"/>
          <w:marTop w:val="0"/>
          <w:marBottom w:val="0"/>
          <w:divBdr>
            <w:top w:val="none" w:sz="0" w:space="0" w:color="auto"/>
            <w:left w:val="none" w:sz="0" w:space="0" w:color="auto"/>
            <w:bottom w:val="none" w:sz="0" w:space="0" w:color="auto"/>
            <w:right w:val="none" w:sz="0" w:space="0" w:color="auto"/>
          </w:divBdr>
          <w:divsChild>
            <w:div w:id="238489555">
              <w:marLeft w:val="0"/>
              <w:marRight w:val="0"/>
              <w:marTop w:val="0"/>
              <w:marBottom w:val="0"/>
              <w:divBdr>
                <w:top w:val="none" w:sz="0" w:space="0" w:color="auto"/>
                <w:left w:val="none" w:sz="0" w:space="0" w:color="auto"/>
                <w:bottom w:val="none" w:sz="0" w:space="0" w:color="auto"/>
                <w:right w:val="none" w:sz="0" w:space="0" w:color="auto"/>
              </w:divBdr>
              <w:divsChild>
                <w:div w:id="1560508308">
                  <w:marLeft w:val="0"/>
                  <w:marRight w:val="0"/>
                  <w:marTop w:val="0"/>
                  <w:marBottom w:val="0"/>
                  <w:divBdr>
                    <w:top w:val="none" w:sz="0" w:space="0" w:color="auto"/>
                    <w:left w:val="none" w:sz="0" w:space="0" w:color="auto"/>
                    <w:bottom w:val="none" w:sz="0" w:space="0" w:color="auto"/>
                    <w:right w:val="none" w:sz="0" w:space="0" w:color="auto"/>
                  </w:divBdr>
                  <w:divsChild>
                    <w:div w:id="17304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1606</ap:Words>
  <ap:Characters>8839</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Brief - Beantwoording Kamervragen</vt:lpstr>
    </vt:vector>
  </ap:TitlesOfParts>
  <ap:LinksUpToDate>false</ap:LinksUpToDate>
  <ap:CharactersWithSpaces>10425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2024-11-29T15:41:00.0000000Z</dcterms:created>
  <dcterms:modified xsi:type="dcterms:W3CDTF">2024-11-29T15:41:00.0000000Z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5758991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