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Pr="00531F00" w:rsidR="008000F2" w:rsidTr="00504259" w14:paraId="12F91C17" w14:textId="77777777">
        <w:trPr>
          <w:trHeight w:val="278"/>
        </w:trPr>
        <w:tc>
          <w:tcPr>
            <w:tcW w:w="1560" w:type="dxa"/>
          </w:tcPr>
          <w:p w:rsidRPr="00531F00" w:rsidR="008000F2" w:rsidP="008000F2" w:rsidRDefault="008000F2" w14:paraId="306C808B" w14:textId="1CEBE49C">
            <w:pPr>
              <w:rPr>
                <w:b/>
              </w:rPr>
            </w:pPr>
            <w:r w:rsidRPr="007D44D3">
              <w:rPr>
                <w:b/>
                <w:bCs/>
              </w:rPr>
              <w:t>36 640</w:t>
            </w:r>
            <w:r w:rsidR="00EE598F">
              <w:rPr>
                <w:b/>
                <w:bCs/>
              </w:rPr>
              <w:t xml:space="preserve"> </w:t>
            </w:r>
            <w:r w:rsidRPr="007D44D3">
              <w:rPr>
                <w:b/>
                <w:bCs/>
              </w:rPr>
              <w:t>(R2201)</w:t>
            </w:r>
          </w:p>
        </w:tc>
        <w:tc>
          <w:tcPr>
            <w:tcW w:w="7512" w:type="dxa"/>
          </w:tcPr>
          <w:p w:rsidRPr="00531F00" w:rsidR="008000F2" w:rsidP="008000F2" w:rsidRDefault="008000F2" w14:paraId="4D8C1B1E" w14:textId="61786E69">
            <w:pPr>
              <w:rPr>
                <w:b/>
              </w:rPr>
            </w:pPr>
            <w:r w:rsidRPr="007D44D3">
              <w:rPr>
                <w:b/>
                <w:bCs/>
              </w:rPr>
              <w:t>Wijziging van de Rijkswet consulaire bescherming EU-burgers voor de vaststelling en afgifte van een Europees noodreisdocument</w:t>
            </w:r>
          </w:p>
        </w:tc>
      </w:tr>
      <w:tr w:rsidRPr="00531F00" w:rsidR="008000F2" w:rsidTr="00504259" w14:paraId="00DFBDE5" w14:textId="77777777">
        <w:tc>
          <w:tcPr>
            <w:tcW w:w="1560" w:type="dxa"/>
          </w:tcPr>
          <w:p w:rsidRPr="00531F00" w:rsidR="008000F2" w:rsidP="00504259" w:rsidRDefault="008000F2" w14:paraId="79B7536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Pr="00531F00" w:rsidR="008000F2" w:rsidP="00504259" w:rsidRDefault="008000F2" w14:paraId="0907875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531F00" w:rsidR="008000F2" w:rsidTr="00504259" w14:paraId="53A0FBEF" w14:textId="77777777">
        <w:tc>
          <w:tcPr>
            <w:tcW w:w="1560" w:type="dxa"/>
          </w:tcPr>
          <w:p w:rsidRPr="00531F00" w:rsidR="008000F2" w:rsidP="00504259" w:rsidRDefault="004D0987" w14:paraId="2284B0E4" w14:textId="4E6460CC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  <w:r w:rsidR="00EE598F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512" w:type="dxa"/>
          </w:tcPr>
          <w:p w:rsidRPr="00EE598F" w:rsidR="008000F2" w:rsidP="00504259" w:rsidRDefault="004D0987" w14:paraId="696B877C" w14:textId="3B9044A8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VERSLAG</w:t>
            </w:r>
            <w:r w:rsidR="00EE598F">
              <w:rPr>
                <w:rFonts w:ascii="Times New Roman" w:hAnsi="Times New Roman" w:cs="Times New Roman"/>
              </w:rPr>
              <w:br/>
            </w:r>
            <w:r w:rsidR="00EE598F">
              <w:rPr>
                <w:rFonts w:ascii="Times New Roman" w:hAnsi="Times New Roman" w:cs="Times New Roman"/>
                <w:b w:val="0"/>
                <w:bCs w:val="0"/>
              </w:rPr>
              <w:t>Vastgesteld 29 november 2024</w:t>
            </w:r>
          </w:p>
          <w:p w:rsidR="004D0987" w:rsidP="00504259" w:rsidRDefault="004D0987" w14:paraId="039AED6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  <w:p w:rsidR="007A7AE1" w:rsidP="00504259" w:rsidRDefault="004D0987" w14:paraId="036DDE77" w14:textId="77777777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4D0987">
              <w:rPr>
                <w:rFonts w:ascii="Times New Roman" w:hAnsi="Times New Roman" w:cs="Times New Roman"/>
                <w:b w:val="0"/>
                <w:bCs w:val="0"/>
              </w:rPr>
              <w:t xml:space="preserve">De vaste commissie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van Buitenlandse Zaken</w:t>
            </w:r>
            <w:r w:rsidRPr="004D0987">
              <w:rPr>
                <w:rFonts w:ascii="Times New Roman" w:hAnsi="Times New Roman" w:cs="Times New Roman"/>
                <w:b w:val="0"/>
                <w:bCs w:val="0"/>
              </w:rPr>
              <w:t xml:space="preserve">, belast met het voorbereidend onderzoek van dit wetsvoorstel, heeft de eer als volgt verslag uit te brengen van haar bevindingen. </w:t>
            </w:r>
          </w:p>
          <w:p w:rsidR="007A7AE1" w:rsidP="00504259" w:rsidRDefault="007A7AE1" w14:paraId="6FD78D8F" w14:textId="77777777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D0987" w:rsidP="00504259" w:rsidRDefault="004D0987" w14:paraId="02199228" w14:textId="2A5D44C3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4D0987">
              <w:rPr>
                <w:rFonts w:ascii="Times New Roman" w:hAnsi="Times New Roman" w:cs="Times New Roman"/>
                <w:b w:val="0"/>
                <w:bCs w:val="0"/>
              </w:rPr>
              <w:t xml:space="preserve">Onder het voorbehoud dat de regering op de gestelde vragen en de gemaakte opmerkingen afdoende zal hebben geantwoord, acht de commissie de openbare behandeling van dit wetsvoorstel voldoende voorbereid. </w:t>
            </w:r>
          </w:p>
          <w:p w:rsidR="004D0987" w:rsidP="00504259" w:rsidRDefault="004D0987" w14:paraId="2BCB2E48" w14:textId="77777777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Pr="004D0987" w:rsidR="004D0987" w:rsidP="004D0987" w:rsidRDefault="004D0987" w14:paraId="33FD08EB" w14:textId="77777777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4D0987">
              <w:rPr>
                <w:rFonts w:ascii="Times New Roman" w:hAnsi="Times New Roman" w:cs="Times New Roman"/>
                <w:b w:val="0"/>
                <w:bCs w:val="0"/>
              </w:rPr>
              <w:t>De voorzitter van de commissie,</w:t>
            </w:r>
          </w:p>
          <w:p w:rsidRPr="004D0987" w:rsidR="004D0987" w:rsidP="004D0987" w:rsidRDefault="004D0987" w14:paraId="0D4BEF79" w14:textId="77777777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Pr="004D0987" w:rsidR="004D0987" w:rsidP="004D0987" w:rsidRDefault="004D0987" w14:paraId="352EAF1A" w14:textId="4EE0CAEB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Klaver</w:t>
            </w:r>
          </w:p>
          <w:p w:rsidRPr="004D0987" w:rsidR="004D0987" w:rsidP="004D0987" w:rsidRDefault="004D0987" w14:paraId="5B00507C" w14:textId="77777777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Pr="004D0987" w:rsidR="004D0987" w:rsidP="004D0987" w:rsidRDefault="004D0987" w14:paraId="361C8F4C" w14:textId="77777777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Pr="004D0987" w:rsidR="004D0987" w:rsidP="004D0987" w:rsidRDefault="004D0987" w14:paraId="00B21FD2" w14:textId="29E05616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Adjunct-g</w:t>
            </w:r>
            <w:r w:rsidRPr="004D0987">
              <w:rPr>
                <w:rFonts w:ascii="Times New Roman" w:hAnsi="Times New Roman" w:cs="Times New Roman"/>
                <w:b w:val="0"/>
                <w:bCs w:val="0"/>
              </w:rPr>
              <w:t>riffier van de commissie,</w:t>
            </w:r>
          </w:p>
          <w:p w:rsidRPr="004D0987" w:rsidR="004D0987" w:rsidP="004D0987" w:rsidRDefault="004D0987" w14:paraId="4C7B5A29" w14:textId="77777777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Pr="004D0987" w:rsidR="004D0987" w:rsidP="004D0987" w:rsidRDefault="004D0987" w14:paraId="5782E53B" w14:textId="72F7FCAD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Dekker</w:t>
            </w:r>
          </w:p>
        </w:tc>
      </w:tr>
      <w:tr w:rsidRPr="00531F00" w:rsidR="008000F2" w:rsidTr="00504259" w14:paraId="63406F78" w14:textId="77777777">
        <w:tc>
          <w:tcPr>
            <w:tcW w:w="1560" w:type="dxa"/>
          </w:tcPr>
          <w:p w:rsidR="008000F2" w:rsidP="00504259" w:rsidRDefault="008000F2" w14:paraId="452F449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  <w:p w:rsidRPr="00531F00" w:rsidR="007A0C01" w:rsidP="00504259" w:rsidRDefault="007A0C01" w14:paraId="61EDECC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Pr="00531F00" w:rsidR="008000F2" w:rsidP="00504259" w:rsidRDefault="008000F2" w14:paraId="7FA11F7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8000F2" w:rsidP="00DC0769" w:rsidRDefault="008000F2" w14:paraId="0F6376DB" w14:textId="77777777">
      <w:pPr>
        <w:autoSpaceDE w:val="0"/>
        <w:autoSpaceDN w:val="0"/>
        <w:rPr>
          <w:rFonts w:ascii="Verdana" w:hAnsi="Verdana" w:eastAsia="Calibri"/>
          <w:color w:val="000000"/>
          <w:sz w:val="18"/>
          <w:szCs w:val="18"/>
        </w:rPr>
      </w:pPr>
    </w:p>
    <w:p w:rsidRPr="00D917B1" w:rsidR="007A0C01" w:rsidP="008000F2" w:rsidRDefault="007A0C01" w14:paraId="66018579" w14:textId="77777777">
      <w:pPr>
        <w:autoSpaceDE w:val="0"/>
        <w:autoSpaceDN w:val="0"/>
        <w:ind w:left="720"/>
        <w:rPr>
          <w:rFonts w:ascii="Verdana" w:hAnsi="Verdana" w:eastAsia="Calibri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9"/>
        <w:gridCol w:w="583"/>
      </w:tblGrid>
      <w:tr w:rsidRPr="00B548B9" w:rsidR="007A0C01" w:rsidTr="00242F6D" w14:paraId="2A1285D8" w14:textId="77777777">
        <w:tc>
          <w:tcPr>
            <w:tcW w:w="8479" w:type="dxa"/>
          </w:tcPr>
          <w:p w:rsidRPr="00B548B9" w:rsidR="007A0C01" w:rsidP="00A76E86" w:rsidRDefault="007A0C01" w14:paraId="7764440E" w14:textId="77777777">
            <w:r>
              <w:t>Inhoudsopgave</w:t>
            </w:r>
          </w:p>
        </w:tc>
        <w:tc>
          <w:tcPr>
            <w:tcW w:w="583" w:type="dxa"/>
          </w:tcPr>
          <w:p w:rsidRPr="00B548B9" w:rsidR="007A0C01" w:rsidP="00A76E86" w:rsidRDefault="007A0C01" w14:paraId="5C93B84F" w14:textId="77777777">
            <w:r>
              <w:t>blz.</w:t>
            </w:r>
          </w:p>
        </w:tc>
      </w:tr>
      <w:tr w:rsidRPr="00B548B9" w:rsidR="00244A07" w:rsidTr="00242F6D" w14:paraId="2E386EFF" w14:textId="77777777">
        <w:tc>
          <w:tcPr>
            <w:tcW w:w="8479" w:type="dxa"/>
          </w:tcPr>
          <w:p w:rsidRPr="00B548B9" w:rsidR="007A0C01" w:rsidP="00A76E86" w:rsidRDefault="007A0C01" w14:paraId="23A56C76" w14:textId="77777777"/>
        </w:tc>
        <w:tc>
          <w:tcPr>
            <w:tcW w:w="583" w:type="dxa"/>
          </w:tcPr>
          <w:p w:rsidRPr="00B548B9" w:rsidR="007A0C01" w:rsidP="00A76E86" w:rsidRDefault="007A0C01" w14:paraId="1C3EBF2A" w14:textId="77777777"/>
        </w:tc>
      </w:tr>
      <w:tr w:rsidRPr="00B548B9" w:rsidR="007A0C01" w:rsidTr="00242F6D" w14:paraId="6F597829" w14:textId="77777777">
        <w:tc>
          <w:tcPr>
            <w:tcW w:w="8479" w:type="dxa"/>
          </w:tcPr>
          <w:p w:rsidRPr="00B548B9" w:rsidR="007A0C01" w:rsidP="00A76E86" w:rsidRDefault="007A0C01" w14:paraId="46070414" w14:textId="2ED8FBF7">
            <w:r>
              <w:t>A. Algemeen</w:t>
            </w:r>
          </w:p>
        </w:tc>
        <w:tc>
          <w:tcPr>
            <w:tcW w:w="583" w:type="dxa"/>
          </w:tcPr>
          <w:p w:rsidRPr="00B548B9" w:rsidR="007A0C01" w:rsidP="00A76E86" w:rsidRDefault="007A0C01" w14:paraId="16344C22" w14:textId="77777777">
            <w:r>
              <w:t>2</w:t>
            </w:r>
          </w:p>
        </w:tc>
      </w:tr>
      <w:tr w:rsidRPr="00B548B9" w:rsidR="00244A07" w:rsidTr="00242F6D" w14:paraId="2EC22EF2" w14:textId="77777777">
        <w:tc>
          <w:tcPr>
            <w:tcW w:w="8479" w:type="dxa"/>
          </w:tcPr>
          <w:p w:rsidRPr="00B548B9" w:rsidR="007A0C01" w:rsidP="00A76E86" w:rsidRDefault="007A0C01" w14:paraId="5663A57E" w14:textId="18FC9C00">
            <w:r>
              <w:t>1. Inleiding</w:t>
            </w:r>
          </w:p>
        </w:tc>
        <w:tc>
          <w:tcPr>
            <w:tcW w:w="583" w:type="dxa"/>
          </w:tcPr>
          <w:p w:rsidRPr="00B548B9" w:rsidR="007A0C01" w:rsidP="00A76E86" w:rsidRDefault="007A7AE1" w14:paraId="47D0C27E" w14:textId="1D3617F9">
            <w:r>
              <w:t>2</w:t>
            </w:r>
          </w:p>
        </w:tc>
      </w:tr>
      <w:tr w:rsidRPr="00B548B9" w:rsidR="007A0C01" w:rsidTr="00242F6D" w14:paraId="60BA0D9E" w14:textId="77777777">
        <w:tc>
          <w:tcPr>
            <w:tcW w:w="8479" w:type="dxa"/>
          </w:tcPr>
          <w:p w:rsidRPr="003D213F" w:rsidR="007A0C01" w:rsidP="00A76E86" w:rsidRDefault="007A0C01" w14:paraId="6A8FC537" w14:textId="4F264FCB">
            <w:r>
              <w:t xml:space="preserve">2. </w:t>
            </w:r>
            <w:r>
              <w:rPr>
                <w:b/>
                <w:bCs/>
                <w:color w:val="211D1F"/>
              </w:rPr>
              <w:t>Hoofdlijnen van dit voorstel</w:t>
            </w:r>
          </w:p>
        </w:tc>
        <w:tc>
          <w:tcPr>
            <w:tcW w:w="583" w:type="dxa"/>
          </w:tcPr>
          <w:p w:rsidRPr="00B548B9" w:rsidR="007A0C01" w:rsidP="00A76E86" w:rsidRDefault="007A7AE1" w14:paraId="288DBDE0" w14:textId="5D0D51A2">
            <w:r>
              <w:t>2</w:t>
            </w:r>
          </w:p>
        </w:tc>
      </w:tr>
      <w:tr w:rsidRPr="00B548B9" w:rsidR="00244A07" w:rsidTr="00242F6D" w14:paraId="53DCA42C" w14:textId="77777777">
        <w:tc>
          <w:tcPr>
            <w:tcW w:w="8479" w:type="dxa"/>
          </w:tcPr>
          <w:p w:rsidRPr="003D213F" w:rsidR="007A0C01" w:rsidP="00A76E86" w:rsidRDefault="007A0C01" w14:paraId="7976E820" w14:textId="22396524">
            <w:pPr>
              <w:ind w:left="708"/>
            </w:pPr>
            <w:r>
              <w:t>2.1 Algemeen</w:t>
            </w:r>
          </w:p>
        </w:tc>
        <w:tc>
          <w:tcPr>
            <w:tcW w:w="583" w:type="dxa"/>
          </w:tcPr>
          <w:p w:rsidRPr="00B548B9" w:rsidR="007A0C01" w:rsidP="00A76E86" w:rsidRDefault="007A7AE1" w14:paraId="61B41027" w14:textId="325B848E">
            <w:r>
              <w:t>2</w:t>
            </w:r>
          </w:p>
        </w:tc>
      </w:tr>
      <w:tr w:rsidRPr="00B548B9" w:rsidR="007A0C01" w:rsidTr="00242F6D" w14:paraId="5EA23219" w14:textId="77777777">
        <w:tc>
          <w:tcPr>
            <w:tcW w:w="8479" w:type="dxa"/>
          </w:tcPr>
          <w:p w:rsidRPr="003D213F" w:rsidR="007A0C01" w:rsidP="00A76E86" w:rsidRDefault="007A0C01" w14:paraId="52931D6D" w14:textId="43C08501">
            <w:pPr>
              <w:ind w:left="708"/>
            </w:pPr>
            <w:r>
              <w:t xml:space="preserve">2.2 </w:t>
            </w:r>
            <w:r w:rsidRPr="008000F2">
              <w:rPr>
                <w:color w:val="211D1F"/>
              </w:rPr>
              <w:t>EU-noodreisdocumentrichtlijn</w:t>
            </w:r>
          </w:p>
        </w:tc>
        <w:tc>
          <w:tcPr>
            <w:tcW w:w="583" w:type="dxa"/>
          </w:tcPr>
          <w:p w:rsidRPr="00B548B9" w:rsidR="007A0C01" w:rsidP="00A76E86" w:rsidRDefault="007A7AE1" w14:paraId="70DCB895" w14:textId="7E1D311F">
            <w:r>
              <w:t>3</w:t>
            </w:r>
          </w:p>
        </w:tc>
      </w:tr>
      <w:tr w:rsidRPr="00B548B9" w:rsidR="007A0C01" w:rsidTr="00242F6D" w14:paraId="10D3F21E" w14:textId="77777777">
        <w:tc>
          <w:tcPr>
            <w:tcW w:w="8479" w:type="dxa"/>
          </w:tcPr>
          <w:p w:rsidR="007A0C01" w:rsidP="00A76E86" w:rsidRDefault="007A0C01" w14:paraId="1445EF27" w14:textId="135F28A0">
            <w:pPr>
              <w:ind w:left="708"/>
            </w:pPr>
            <w:r w:rsidRPr="007A0C01">
              <w:t>2.2.1 Situaties waarin een EU-noodreisdocument wordt afgegeven</w:t>
            </w:r>
          </w:p>
        </w:tc>
        <w:tc>
          <w:tcPr>
            <w:tcW w:w="583" w:type="dxa"/>
          </w:tcPr>
          <w:p w:rsidR="007A0C01" w:rsidP="00A76E86" w:rsidRDefault="00E04F8D" w14:paraId="59F46BAF" w14:textId="2C6FDC4B">
            <w:r>
              <w:t>3</w:t>
            </w:r>
          </w:p>
        </w:tc>
      </w:tr>
      <w:tr w:rsidRPr="00B548B9" w:rsidR="007A0C01" w:rsidTr="00242F6D" w14:paraId="711775A1" w14:textId="77777777">
        <w:tc>
          <w:tcPr>
            <w:tcW w:w="8479" w:type="dxa"/>
          </w:tcPr>
          <w:p w:rsidRPr="004D0987" w:rsidR="007A0C01" w:rsidP="007A0C01" w:rsidRDefault="007A0C01" w14:paraId="5FAA7D37" w14:textId="41F9E42E">
            <w:pPr>
              <w:jc w:val="both"/>
            </w:pPr>
            <w:r>
              <w:t xml:space="preserve">           </w:t>
            </w:r>
            <w:r w:rsidRPr="008000F2">
              <w:t>2.2.2 De aanvraagprocedure voor een EU-noodreisdocument</w:t>
            </w:r>
          </w:p>
          <w:p w:rsidRPr="007A0C01" w:rsidR="007A0C01" w:rsidP="007A0C01" w:rsidRDefault="007A0C01" w14:paraId="25E7723F" w14:textId="752C505E">
            <w:pPr>
              <w:jc w:val="both"/>
            </w:pPr>
            <w:r>
              <w:t xml:space="preserve">           </w:t>
            </w:r>
            <w:r w:rsidRPr="008000F2">
              <w:t>2.2.3 Facultatieve afgifte van EU-noodreisdocumenten</w:t>
            </w:r>
          </w:p>
        </w:tc>
        <w:tc>
          <w:tcPr>
            <w:tcW w:w="583" w:type="dxa"/>
          </w:tcPr>
          <w:p w:rsidR="007A0C01" w:rsidP="00A76E86" w:rsidRDefault="00E04F8D" w14:paraId="3B16B480" w14:textId="5A4B5498">
            <w:r>
              <w:t>3</w:t>
            </w:r>
          </w:p>
        </w:tc>
      </w:tr>
      <w:tr w:rsidRPr="007A7AE1" w:rsidR="00E04F8D" w:rsidTr="00242F6D" w14:paraId="23B43338" w14:textId="77777777">
        <w:trPr>
          <w:trHeight w:val="460"/>
        </w:trPr>
        <w:tc>
          <w:tcPr>
            <w:tcW w:w="8479" w:type="dxa"/>
          </w:tcPr>
          <w:p w:rsidRPr="00E04F8D" w:rsidR="00E04F8D" w:rsidP="00E04F8D" w:rsidRDefault="00E04F8D" w14:paraId="1329082D" w14:textId="4668961B">
            <w:pPr>
              <w:jc w:val="both"/>
            </w:pPr>
            <w:r w:rsidRPr="007A0C01">
              <w:t xml:space="preserve">           2.2.3.1 Familieleden van niet-vertegenwoordigde EU-burger</w:t>
            </w:r>
            <w:r>
              <w:t>s</w:t>
            </w:r>
          </w:p>
        </w:tc>
        <w:tc>
          <w:tcPr>
            <w:tcW w:w="583" w:type="dxa"/>
          </w:tcPr>
          <w:p w:rsidRPr="007A0C01" w:rsidR="00E04F8D" w:rsidP="00A76E86" w:rsidRDefault="00E04F8D" w14:paraId="282B6451" w14:textId="7335344B">
            <w:pPr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</w:tr>
      <w:tr w:rsidRPr="007A7AE1" w:rsidR="00E04F8D" w:rsidTr="00242F6D" w14:paraId="2ABCCC7C" w14:textId="77777777">
        <w:trPr>
          <w:trHeight w:val="460"/>
        </w:trPr>
        <w:tc>
          <w:tcPr>
            <w:tcW w:w="8479" w:type="dxa"/>
          </w:tcPr>
          <w:p w:rsidRPr="007A0C01" w:rsidR="00E04F8D" w:rsidP="007A0C01" w:rsidRDefault="00E04F8D" w14:paraId="5C897DAD" w14:textId="686B4E93">
            <w:pPr>
              <w:jc w:val="both"/>
            </w:pPr>
            <w:r w:rsidRPr="007A0C01">
              <w:t>2.2.3.2 Andere categorieën</w:t>
            </w:r>
          </w:p>
        </w:tc>
        <w:tc>
          <w:tcPr>
            <w:tcW w:w="583" w:type="dxa"/>
          </w:tcPr>
          <w:p w:rsidR="00E04F8D" w:rsidP="00A76E86" w:rsidRDefault="00E04F8D" w14:paraId="21A75035" w14:textId="2C0E293C">
            <w:pPr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</w:tc>
      </w:tr>
      <w:tr w:rsidRPr="007A7AE1" w:rsidR="00E04F8D" w:rsidTr="00242F6D" w14:paraId="68AF2B87" w14:textId="77777777">
        <w:trPr>
          <w:trHeight w:val="460"/>
        </w:trPr>
        <w:tc>
          <w:tcPr>
            <w:tcW w:w="8479" w:type="dxa"/>
          </w:tcPr>
          <w:p w:rsidRPr="007A0C01" w:rsidR="00E04F8D" w:rsidP="00E04F8D" w:rsidRDefault="00E04F8D" w14:paraId="4DCE7607" w14:textId="77777777">
            <w:pPr>
              <w:jc w:val="both"/>
            </w:pPr>
            <w:r w:rsidRPr="007A0C01">
              <w:t>2.3 Toepassingsbereik Rijkswetgeving</w:t>
            </w:r>
          </w:p>
          <w:p w:rsidRPr="007A0C01" w:rsidR="00E04F8D" w:rsidP="00E04F8D" w:rsidRDefault="00E04F8D" w14:paraId="0492CA88" w14:textId="77777777">
            <w:pPr>
              <w:jc w:val="both"/>
            </w:pPr>
            <w:r w:rsidRPr="007A0C01">
              <w:t xml:space="preserve">                 Aruba, Curaçao en Sint-Maarten</w:t>
            </w:r>
          </w:p>
          <w:p w:rsidRPr="007A0C01" w:rsidR="00E04F8D" w:rsidP="00E04F8D" w:rsidRDefault="00E04F8D" w14:paraId="27FD729C" w14:textId="0E706AAC">
            <w:pPr>
              <w:jc w:val="both"/>
            </w:pPr>
            <w:r w:rsidRPr="007A7AE1">
              <w:t xml:space="preserve">                </w:t>
            </w:r>
            <w:r w:rsidRPr="007A0C01">
              <w:rPr>
                <w:lang w:val="fr-BE"/>
              </w:rPr>
              <w:t>Bonaire, Sint Eustatius en Saba</w:t>
            </w:r>
          </w:p>
        </w:tc>
        <w:tc>
          <w:tcPr>
            <w:tcW w:w="583" w:type="dxa"/>
          </w:tcPr>
          <w:p w:rsidR="00E04F8D" w:rsidP="00A76E86" w:rsidRDefault="00E04F8D" w14:paraId="4122A20A" w14:textId="343B439D">
            <w:pPr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</w:tc>
      </w:tr>
      <w:tr w:rsidRPr="00E60871" w:rsidR="00DC0769" w:rsidTr="00242F6D" w14:paraId="2651E167" w14:textId="77777777">
        <w:trPr>
          <w:trHeight w:val="415"/>
        </w:trPr>
        <w:tc>
          <w:tcPr>
            <w:tcW w:w="8479" w:type="dxa"/>
          </w:tcPr>
          <w:p w:rsidRPr="00244A07" w:rsidR="00DC0769" w:rsidP="00244A07" w:rsidRDefault="00DC0769" w14:paraId="5DD1989C" w14:textId="3B58F235">
            <w:pPr>
              <w:jc w:val="both"/>
              <w:rPr>
                <w:b/>
                <w:bCs/>
              </w:rPr>
            </w:pPr>
            <w:r w:rsidRPr="008000F2">
              <w:rPr>
                <w:b/>
                <w:bCs/>
                <w:color w:val="211D1F"/>
              </w:rPr>
              <w:t xml:space="preserve">3. </w:t>
            </w:r>
            <w:r w:rsidRPr="008000F2">
              <w:rPr>
                <w:b/>
                <w:bCs/>
              </w:rPr>
              <w:t>Ve</w:t>
            </w:r>
            <w:r>
              <w:rPr>
                <w:b/>
                <w:bCs/>
              </w:rPr>
              <w:t>r</w:t>
            </w:r>
            <w:r w:rsidRPr="008000F2">
              <w:rPr>
                <w:b/>
                <w:bCs/>
              </w:rPr>
              <w:t>houding tot hoger recht en nationale regelgeving</w:t>
            </w:r>
          </w:p>
        </w:tc>
        <w:tc>
          <w:tcPr>
            <w:tcW w:w="583" w:type="dxa"/>
          </w:tcPr>
          <w:p w:rsidRPr="00E60871" w:rsidR="00DC0769" w:rsidP="00A76E86" w:rsidRDefault="00E04F8D" w14:paraId="4CD8701D" w14:textId="5895574F">
            <w:r>
              <w:t>4</w:t>
            </w:r>
          </w:p>
        </w:tc>
      </w:tr>
      <w:tr w:rsidRPr="00E60871" w:rsidR="00DC0769" w:rsidTr="00242F6D" w14:paraId="50AB8E8C" w14:textId="77777777">
        <w:tc>
          <w:tcPr>
            <w:tcW w:w="8479" w:type="dxa"/>
          </w:tcPr>
          <w:p w:rsidRPr="00244A07" w:rsidR="00DC0769" w:rsidP="00E60871" w:rsidRDefault="00DC0769" w14:paraId="436959D9" w14:textId="7030137F">
            <w:pPr>
              <w:jc w:val="both"/>
              <w:rPr>
                <w:b/>
                <w:bCs/>
              </w:rPr>
            </w:pPr>
            <w:r w:rsidRPr="008000F2">
              <w:t>3.1 EU-recht</w:t>
            </w:r>
            <w:r w:rsidR="00244A07">
              <w:t xml:space="preserve"> </w:t>
            </w:r>
          </w:p>
        </w:tc>
        <w:tc>
          <w:tcPr>
            <w:tcW w:w="583" w:type="dxa"/>
          </w:tcPr>
          <w:p w:rsidR="00DC0769" w:rsidP="00A76E86" w:rsidRDefault="00E04F8D" w14:paraId="3BA8AAC1" w14:textId="4DA3EC67">
            <w:r>
              <w:t>4</w:t>
            </w:r>
          </w:p>
        </w:tc>
      </w:tr>
      <w:tr w:rsidRPr="00E60871" w:rsidR="00DC0769" w:rsidTr="00242F6D" w14:paraId="048770C4" w14:textId="77777777">
        <w:trPr>
          <w:trHeight w:val="60"/>
        </w:trPr>
        <w:tc>
          <w:tcPr>
            <w:tcW w:w="8479" w:type="dxa"/>
          </w:tcPr>
          <w:p w:rsidRPr="00244A07" w:rsidR="00DC0769" w:rsidP="00E60871" w:rsidRDefault="00DC0769" w14:paraId="791575F3" w14:textId="7F68D5EF">
            <w:pPr>
              <w:jc w:val="both"/>
            </w:pPr>
            <w:r w:rsidRPr="008000F2">
              <w:t>3.2 Nationale regelgeving</w:t>
            </w:r>
          </w:p>
        </w:tc>
        <w:tc>
          <w:tcPr>
            <w:tcW w:w="583" w:type="dxa"/>
          </w:tcPr>
          <w:p w:rsidR="00DC0769" w:rsidP="00A76E86" w:rsidRDefault="00E04F8D" w14:paraId="475AE170" w14:textId="4C7352EC">
            <w:r>
              <w:t>4</w:t>
            </w:r>
          </w:p>
        </w:tc>
      </w:tr>
      <w:tr w:rsidRPr="00E60871" w:rsidR="00DC0769" w:rsidTr="00242F6D" w14:paraId="36489FE0" w14:textId="77777777">
        <w:trPr>
          <w:trHeight w:val="60"/>
        </w:trPr>
        <w:tc>
          <w:tcPr>
            <w:tcW w:w="8479" w:type="dxa"/>
          </w:tcPr>
          <w:p w:rsidRPr="00244A07" w:rsidR="00DC0769" w:rsidP="00E60871" w:rsidRDefault="00DC0769" w14:paraId="5AFDB1F8" w14:textId="73E43A1E">
            <w:pPr>
              <w:jc w:val="both"/>
              <w:rPr>
                <w:b/>
                <w:bCs/>
              </w:rPr>
            </w:pPr>
            <w:r w:rsidRPr="008000F2">
              <w:rPr>
                <w:b/>
                <w:bCs/>
                <w:color w:val="211D1F"/>
              </w:rPr>
              <w:t xml:space="preserve">4. </w:t>
            </w:r>
            <w:r w:rsidRPr="008000F2">
              <w:rPr>
                <w:b/>
                <w:bCs/>
              </w:rPr>
              <w:t>Gevolgen (m.u.v. financiële gevolgen)</w:t>
            </w:r>
          </w:p>
        </w:tc>
        <w:tc>
          <w:tcPr>
            <w:tcW w:w="583" w:type="dxa"/>
          </w:tcPr>
          <w:p w:rsidR="00DC0769" w:rsidP="00A76E86" w:rsidRDefault="00E04F8D" w14:paraId="51A15BB9" w14:textId="0651154B">
            <w:r>
              <w:t>4</w:t>
            </w:r>
          </w:p>
        </w:tc>
      </w:tr>
      <w:tr w:rsidRPr="00E60871" w:rsidR="00DC0769" w:rsidTr="00242F6D" w14:paraId="6470AFF4" w14:textId="77777777">
        <w:trPr>
          <w:trHeight w:val="60"/>
        </w:trPr>
        <w:tc>
          <w:tcPr>
            <w:tcW w:w="8479" w:type="dxa"/>
          </w:tcPr>
          <w:p w:rsidRPr="00244A07" w:rsidR="00DC0769" w:rsidP="00244A07" w:rsidRDefault="00DC0769" w14:paraId="1B2A1BC9" w14:textId="15967A53">
            <w:pPr>
              <w:pStyle w:val="Default"/>
              <w:rPr>
                <w:rFonts w:ascii="Times New Roman" w:hAnsi="Times New Roman" w:cs="Times New Roman"/>
                <w:color w:val="211D1F"/>
              </w:rPr>
            </w:pPr>
            <w:r>
              <w:rPr>
                <w:rFonts w:ascii="Times New Roman" w:hAnsi="Times New Roman" w:cs="Times New Roman"/>
                <w:b/>
                <w:bCs/>
                <w:color w:val="211D1F"/>
              </w:rPr>
              <w:t>5. Uitvoering</w:t>
            </w:r>
          </w:p>
        </w:tc>
        <w:tc>
          <w:tcPr>
            <w:tcW w:w="583" w:type="dxa"/>
          </w:tcPr>
          <w:p w:rsidR="00DC0769" w:rsidP="00A76E86" w:rsidRDefault="00E04F8D" w14:paraId="3978A578" w14:textId="07AB452B">
            <w:r>
              <w:t>4</w:t>
            </w:r>
          </w:p>
        </w:tc>
      </w:tr>
      <w:tr w:rsidRPr="00E60871" w:rsidR="00DC0769" w:rsidTr="00242F6D" w14:paraId="4B76D6F0" w14:textId="77777777">
        <w:trPr>
          <w:trHeight w:val="60"/>
        </w:trPr>
        <w:tc>
          <w:tcPr>
            <w:tcW w:w="8479" w:type="dxa"/>
          </w:tcPr>
          <w:p w:rsidRPr="00244A07" w:rsidR="00DC0769" w:rsidP="00244A07" w:rsidRDefault="00DC0769" w14:paraId="521B08CB" w14:textId="48DF8B82">
            <w:pPr>
              <w:pStyle w:val="Default"/>
              <w:rPr>
                <w:rFonts w:ascii="Times New Roman" w:hAnsi="Times New Roman" w:cs="Times New Roman"/>
                <w:b/>
                <w:bCs/>
                <w:color w:val="211D1F"/>
              </w:rPr>
            </w:pPr>
            <w:r>
              <w:rPr>
                <w:rFonts w:ascii="Times New Roman" w:hAnsi="Times New Roman" w:cs="Times New Roman"/>
                <w:b/>
                <w:bCs/>
                <w:color w:val="211D1F"/>
              </w:rPr>
              <w:t>6. Financiële gevolgen</w:t>
            </w:r>
          </w:p>
        </w:tc>
        <w:tc>
          <w:tcPr>
            <w:tcW w:w="583" w:type="dxa"/>
          </w:tcPr>
          <w:p w:rsidR="00DC0769" w:rsidP="00A76E86" w:rsidRDefault="00E04F8D" w14:paraId="722D35D3" w14:textId="5D2BC8D8">
            <w:r>
              <w:t>4</w:t>
            </w:r>
          </w:p>
        </w:tc>
      </w:tr>
      <w:tr w:rsidRPr="00E60871" w:rsidR="00DC0769" w:rsidTr="00242F6D" w14:paraId="6B6A6ABF" w14:textId="77777777">
        <w:trPr>
          <w:trHeight w:val="60"/>
        </w:trPr>
        <w:tc>
          <w:tcPr>
            <w:tcW w:w="8479" w:type="dxa"/>
          </w:tcPr>
          <w:p w:rsidRPr="00244A07" w:rsidR="00DC0769" w:rsidP="00E60871" w:rsidRDefault="00DC0769" w14:paraId="2920959F" w14:textId="42F7CD66">
            <w:pPr>
              <w:jc w:val="both"/>
              <w:rPr>
                <w:b/>
                <w:bCs/>
              </w:rPr>
            </w:pPr>
            <w:r w:rsidRPr="008000F2">
              <w:rPr>
                <w:b/>
                <w:bCs/>
                <w:color w:val="211D1F"/>
              </w:rPr>
              <w:t xml:space="preserve">7. </w:t>
            </w:r>
            <w:r w:rsidRPr="008000F2">
              <w:rPr>
                <w:b/>
                <w:bCs/>
              </w:rPr>
              <w:t>Advies en consultatie</w:t>
            </w:r>
          </w:p>
        </w:tc>
        <w:tc>
          <w:tcPr>
            <w:tcW w:w="583" w:type="dxa"/>
          </w:tcPr>
          <w:p w:rsidR="00DC0769" w:rsidP="00A76E86" w:rsidRDefault="00E04F8D" w14:paraId="6218C5D5" w14:textId="5A614F17">
            <w:r>
              <w:t>4</w:t>
            </w:r>
          </w:p>
        </w:tc>
      </w:tr>
      <w:tr w:rsidRPr="00E60871" w:rsidR="00DC0769" w:rsidTr="00242F6D" w14:paraId="3A728254" w14:textId="77777777">
        <w:trPr>
          <w:trHeight w:val="60"/>
        </w:trPr>
        <w:tc>
          <w:tcPr>
            <w:tcW w:w="8479" w:type="dxa"/>
          </w:tcPr>
          <w:p w:rsidRPr="00244A07" w:rsidR="00DC0769" w:rsidP="00E60871" w:rsidRDefault="00DC0769" w14:paraId="6C8E1094" w14:textId="378F8D5C">
            <w:pPr>
              <w:jc w:val="both"/>
              <w:rPr>
                <w:b/>
                <w:bCs/>
              </w:rPr>
            </w:pPr>
            <w:r w:rsidRPr="008000F2">
              <w:rPr>
                <w:b/>
                <w:bCs/>
              </w:rPr>
              <w:t>8. Overgangsrecht en inwerkingtreding</w:t>
            </w:r>
          </w:p>
        </w:tc>
        <w:tc>
          <w:tcPr>
            <w:tcW w:w="583" w:type="dxa"/>
          </w:tcPr>
          <w:p w:rsidR="00DC0769" w:rsidP="00A76E86" w:rsidRDefault="00E04F8D" w14:paraId="211EECE3" w14:textId="454F2CCD">
            <w:r>
              <w:t>4</w:t>
            </w:r>
          </w:p>
        </w:tc>
      </w:tr>
      <w:tr w:rsidRPr="00E60871" w:rsidR="00DC0769" w:rsidTr="00242F6D" w14:paraId="0C151536" w14:textId="77777777">
        <w:trPr>
          <w:trHeight w:val="415"/>
        </w:trPr>
        <w:tc>
          <w:tcPr>
            <w:tcW w:w="8479" w:type="dxa"/>
          </w:tcPr>
          <w:p w:rsidRPr="008000F2" w:rsidR="00DC0769" w:rsidP="00DC0769" w:rsidRDefault="00242F6D" w14:paraId="608861EE" w14:textId="5400C58F">
            <w:pPr>
              <w:jc w:val="both"/>
              <w:rPr>
                <w:b/>
                <w:bCs/>
                <w:color w:val="211D1F"/>
              </w:rPr>
            </w:pPr>
            <w:r>
              <w:rPr>
                <w:b/>
                <w:bCs/>
                <w:color w:val="211D1F"/>
              </w:rPr>
              <w:lastRenderedPageBreak/>
              <w:t>B. Artikelsgewijze deel</w:t>
            </w:r>
          </w:p>
        </w:tc>
        <w:tc>
          <w:tcPr>
            <w:tcW w:w="583" w:type="dxa"/>
          </w:tcPr>
          <w:p w:rsidR="00DC0769" w:rsidP="00A76E86" w:rsidRDefault="00E04F8D" w14:paraId="6B21D5D4" w14:textId="6ED44AA9">
            <w:r>
              <w:t>4</w:t>
            </w:r>
          </w:p>
        </w:tc>
      </w:tr>
      <w:tr w:rsidRPr="00E60871" w:rsidR="00DC0769" w:rsidTr="00242F6D" w14:paraId="4BEF9CAA" w14:textId="77777777">
        <w:trPr>
          <w:trHeight w:val="415"/>
        </w:trPr>
        <w:tc>
          <w:tcPr>
            <w:tcW w:w="8479" w:type="dxa"/>
          </w:tcPr>
          <w:p w:rsidRPr="00244A07" w:rsidR="00DC0769" w:rsidP="00DC0769" w:rsidRDefault="00DC0769" w14:paraId="1FDB8160" w14:textId="7EC9D2FC">
            <w:pPr>
              <w:pStyle w:val="Default"/>
              <w:rPr>
                <w:rFonts w:ascii="Times New Roman" w:hAnsi="Times New Roman" w:cs="Times New Roman"/>
                <w:color w:val="211D1F"/>
              </w:rPr>
            </w:pPr>
            <w:r w:rsidRPr="002A5830">
              <w:rPr>
                <w:rFonts w:ascii="Times New Roman" w:hAnsi="Times New Roman" w:cs="Times New Roman"/>
                <w:color w:val="211D1F"/>
              </w:rPr>
              <w:t xml:space="preserve">Artikel I, </w:t>
            </w:r>
            <w:r>
              <w:rPr>
                <w:rFonts w:ascii="Times New Roman" w:hAnsi="Times New Roman" w:cs="Times New Roman"/>
                <w:color w:val="211D1F"/>
              </w:rPr>
              <w:t>Wijzigingsonderdeel A</w:t>
            </w:r>
          </w:p>
        </w:tc>
        <w:tc>
          <w:tcPr>
            <w:tcW w:w="583" w:type="dxa"/>
          </w:tcPr>
          <w:p w:rsidR="00DC0769" w:rsidP="00A76E86" w:rsidRDefault="00E04F8D" w14:paraId="42FF01AA" w14:textId="73CB51C7">
            <w:r>
              <w:t>4</w:t>
            </w:r>
          </w:p>
        </w:tc>
      </w:tr>
      <w:tr w:rsidRPr="00E60871" w:rsidR="00DC0769" w:rsidTr="00242F6D" w14:paraId="60A2E0A7" w14:textId="77777777">
        <w:trPr>
          <w:trHeight w:val="415"/>
        </w:trPr>
        <w:tc>
          <w:tcPr>
            <w:tcW w:w="8479" w:type="dxa"/>
          </w:tcPr>
          <w:p w:rsidRPr="00244A07" w:rsidR="00DC0769" w:rsidP="00244A07" w:rsidRDefault="00DC0769" w14:paraId="425A11A8" w14:textId="1FA101AB">
            <w:pPr>
              <w:pStyle w:val="Default"/>
              <w:rPr>
                <w:rFonts w:ascii="Times New Roman" w:hAnsi="Times New Roman" w:cs="Times New Roman"/>
                <w:color w:val="211D1F"/>
              </w:rPr>
            </w:pPr>
            <w:r>
              <w:rPr>
                <w:rFonts w:ascii="Times New Roman" w:hAnsi="Times New Roman" w:cs="Times New Roman"/>
                <w:color w:val="211D1F"/>
              </w:rPr>
              <w:t xml:space="preserve">Artikel I, wijzigingsonderdeel B                                                                                       </w:t>
            </w:r>
          </w:p>
        </w:tc>
        <w:tc>
          <w:tcPr>
            <w:tcW w:w="583" w:type="dxa"/>
          </w:tcPr>
          <w:p w:rsidR="00DC0769" w:rsidP="00A76E86" w:rsidRDefault="00E04F8D" w14:paraId="14642317" w14:textId="4458D4C0">
            <w:r>
              <w:t>4</w:t>
            </w:r>
          </w:p>
        </w:tc>
      </w:tr>
      <w:tr w:rsidRPr="00E60871" w:rsidR="00DC0769" w:rsidTr="00242F6D" w14:paraId="1DA4EE1B" w14:textId="77777777">
        <w:trPr>
          <w:trHeight w:val="415"/>
        </w:trPr>
        <w:tc>
          <w:tcPr>
            <w:tcW w:w="8479" w:type="dxa"/>
          </w:tcPr>
          <w:p w:rsidRPr="00244A07" w:rsidR="00DC0769" w:rsidP="00DC0769" w:rsidRDefault="00DC0769" w14:paraId="63914274" w14:textId="7842D330">
            <w:pPr>
              <w:pStyle w:val="Default"/>
              <w:rPr>
                <w:rFonts w:ascii="Times New Roman" w:hAnsi="Times New Roman" w:cs="Times New Roman"/>
                <w:color w:val="211D1F"/>
              </w:rPr>
            </w:pPr>
            <w:r>
              <w:rPr>
                <w:rFonts w:ascii="Times New Roman" w:hAnsi="Times New Roman" w:cs="Times New Roman"/>
                <w:color w:val="211D1F"/>
              </w:rPr>
              <w:t>Artikel I, wijzigingsonderdeel C</w:t>
            </w:r>
          </w:p>
        </w:tc>
        <w:tc>
          <w:tcPr>
            <w:tcW w:w="583" w:type="dxa"/>
          </w:tcPr>
          <w:p w:rsidR="00DC0769" w:rsidP="00A76E86" w:rsidRDefault="00E04F8D" w14:paraId="56AF4989" w14:textId="593B7D62">
            <w:r>
              <w:t>4</w:t>
            </w:r>
          </w:p>
        </w:tc>
      </w:tr>
      <w:tr w:rsidRPr="00E60871" w:rsidR="00E60871" w:rsidTr="00242F6D" w14:paraId="7D474C92" w14:textId="77777777">
        <w:tc>
          <w:tcPr>
            <w:tcW w:w="8479" w:type="dxa"/>
          </w:tcPr>
          <w:p w:rsidRPr="00244A07" w:rsidR="00E60871" w:rsidP="00DC0769" w:rsidRDefault="00DC0769" w14:paraId="5B86BF93" w14:textId="1377DC15">
            <w:pPr>
              <w:pStyle w:val="Default"/>
              <w:rPr>
                <w:rFonts w:ascii="Times New Roman" w:hAnsi="Times New Roman" w:cs="Times New Roman"/>
                <w:color w:val="211D1F"/>
              </w:rPr>
            </w:pPr>
            <w:r>
              <w:rPr>
                <w:rFonts w:ascii="Times New Roman" w:hAnsi="Times New Roman" w:cs="Times New Roman"/>
                <w:color w:val="211D1F"/>
              </w:rPr>
              <w:t>Artikel I, wijzigingsonderdeel D</w:t>
            </w:r>
          </w:p>
        </w:tc>
        <w:tc>
          <w:tcPr>
            <w:tcW w:w="583" w:type="dxa"/>
          </w:tcPr>
          <w:p w:rsidR="00E60871" w:rsidP="00A76E86" w:rsidRDefault="00E04F8D" w14:paraId="5B704657" w14:textId="790ABEEA">
            <w:r>
              <w:t>4</w:t>
            </w:r>
          </w:p>
        </w:tc>
      </w:tr>
      <w:tr w:rsidRPr="00E60871" w:rsidR="00E60871" w:rsidTr="00242F6D" w14:paraId="04BF0366" w14:textId="77777777">
        <w:tc>
          <w:tcPr>
            <w:tcW w:w="8479" w:type="dxa"/>
          </w:tcPr>
          <w:p w:rsidRPr="00244A07" w:rsidR="00E60871" w:rsidP="00244A07" w:rsidRDefault="00DC0769" w14:paraId="7A9734C7" w14:textId="299D52A2">
            <w:pPr>
              <w:ind w:firstLine="708"/>
              <w:jc w:val="both"/>
            </w:pPr>
            <w:r w:rsidRPr="008000F2">
              <w:t>Artikel 5a</w:t>
            </w:r>
          </w:p>
        </w:tc>
        <w:tc>
          <w:tcPr>
            <w:tcW w:w="583" w:type="dxa"/>
          </w:tcPr>
          <w:p w:rsidR="00E60871" w:rsidP="00A76E86" w:rsidRDefault="00E04F8D" w14:paraId="15D0C269" w14:textId="3ABEC500">
            <w:r>
              <w:t>4</w:t>
            </w:r>
          </w:p>
        </w:tc>
      </w:tr>
      <w:tr w:rsidRPr="00E60871" w:rsidR="00E60871" w:rsidTr="00242F6D" w14:paraId="5C5A46D4" w14:textId="77777777">
        <w:tc>
          <w:tcPr>
            <w:tcW w:w="8479" w:type="dxa"/>
          </w:tcPr>
          <w:p w:rsidRPr="00244A07" w:rsidR="00E60871" w:rsidP="00244A07" w:rsidRDefault="00DC0769" w14:paraId="7677724E" w14:textId="53DEE8FF">
            <w:pPr>
              <w:ind w:firstLine="708"/>
              <w:jc w:val="both"/>
            </w:pPr>
            <w:r w:rsidRPr="008000F2">
              <w:t>Artikel 5b</w:t>
            </w:r>
          </w:p>
        </w:tc>
        <w:tc>
          <w:tcPr>
            <w:tcW w:w="583" w:type="dxa"/>
          </w:tcPr>
          <w:p w:rsidR="00E60871" w:rsidP="00A76E86" w:rsidRDefault="00E04F8D" w14:paraId="5F690E66" w14:textId="15EA20FE">
            <w:r>
              <w:t>5</w:t>
            </w:r>
          </w:p>
        </w:tc>
      </w:tr>
      <w:tr w:rsidRPr="00E60871" w:rsidR="00E60871" w:rsidTr="00242F6D" w14:paraId="409C20FC" w14:textId="77777777">
        <w:tc>
          <w:tcPr>
            <w:tcW w:w="8479" w:type="dxa"/>
          </w:tcPr>
          <w:p w:rsidRPr="00244A07" w:rsidR="00E60871" w:rsidP="00244A07" w:rsidRDefault="00DC0769" w14:paraId="32B6560E" w14:textId="445A3638">
            <w:pPr>
              <w:ind w:firstLine="708"/>
              <w:jc w:val="both"/>
            </w:pPr>
            <w:r w:rsidRPr="008000F2">
              <w:t>Artikel 5c</w:t>
            </w:r>
          </w:p>
        </w:tc>
        <w:tc>
          <w:tcPr>
            <w:tcW w:w="583" w:type="dxa"/>
          </w:tcPr>
          <w:p w:rsidR="00E60871" w:rsidP="00A76E86" w:rsidRDefault="00E04F8D" w14:paraId="181033B3" w14:textId="66D9A172">
            <w:r>
              <w:t>5</w:t>
            </w:r>
          </w:p>
        </w:tc>
      </w:tr>
      <w:tr w:rsidRPr="00E60871" w:rsidR="00E60871" w:rsidTr="00242F6D" w14:paraId="42B0B819" w14:textId="77777777">
        <w:tc>
          <w:tcPr>
            <w:tcW w:w="8479" w:type="dxa"/>
          </w:tcPr>
          <w:p w:rsidRPr="00244A07" w:rsidR="00E60871" w:rsidP="00244A07" w:rsidRDefault="00DC0769" w14:paraId="6B882E05" w14:textId="69E9AB36">
            <w:pPr>
              <w:ind w:firstLine="708"/>
              <w:jc w:val="both"/>
            </w:pPr>
            <w:r w:rsidRPr="008000F2">
              <w:t>Artikel 5d</w:t>
            </w:r>
          </w:p>
        </w:tc>
        <w:tc>
          <w:tcPr>
            <w:tcW w:w="583" w:type="dxa"/>
          </w:tcPr>
          <w:p w:rsidR="00E60871" w:rsidP="00A76E86" w:rsidRDefault="00E04F8D" w14:paraId="625A7112" w14:textId="658DD1DE">
            <w:r>
              <w:t>5</w:t>
            </w:r>
          </w:p>
        </w:tc>
      </w:tr>
      <w:tr w:rsidRPr="00E60871" w:rsidR="00E60871" w:rsidTr="00242F6D" w14:paraId="415780C6" w14:textId="77777777">
        <w:tc>
          <w:tcPr>
            <w:tcW w:w="8479" w:type="dxa"/>
          </w:tcPr>
          <w:p w:rsidRPr="00244A07" w:rsidR="00E60871" w:rsidP="00244A07" w:rsidRDefault="00DC0769" w14:paraId="128B42ED" w14:textId="77C55F65">
            <w:pPr>
              <w:ind w:firstLine="708"/>
              <w:jc w:val="both"/>
            </w:pPr>
            <w:r w:rsidRPr="008000F2">
              <w:t>Artikel 5</w:t>
            </w:r>
            <w:r w:rsidRPr="004D0987">
              <w:rPr>
                <w:vertAlign w:val="superscript"/>
              </w:rPr>
              <w:t>e</w:t>
            </w:r>
          </w:p>
        </w:tc>
        <w:tc>
          <w:tcPr>
            <w:tcW w:w="583" w:type="dxa"/>
          </w:tcPr>
          <w:p w:rsidR="00E60871" w:rsidP="00A76E86" w:rsidRDefault="00E04F8D" w14:paraId="039334A6" w14:textId="24F33337">
            <w:r>
              <w:t>5</w:t>
            </w:r>
          </w:p>
        </w:tc>
      </w:tr>
      <w:tr w:rsidRPr="00E60871" w:rsidR="00E60871" w:rsidTr="00242F6D" w14:paraId="706BEA63" w14:textId="77777777">
        <w:tc>
          <w:tcPr>
            <w:tcW w:w="8479" w:type="dxa"/>
          </w:tcPr>
          <w:p w:rsidRPr="00244A07" w:rsidR="00E60871" w:rsidP="00244A07" w:rsidRDefault="00E60871" w14:paraId="7C1B3517" w14:textId="0110ACE4">
            <w:pPr>
              <w:tabs>
                <w:tab w:val="center" w:pos="4485"/>
                <w:tab w:val="left" w:pos="4935"/>
              </w:tabs>
              <w:ind w:firstLine="708"/>
              <w:jc w:val="both"/>
            </w:pPr>
            <w:r w:rsidRPr="008000F2">
              <w:t>Artikel 5f, Eerste lid</w:t>
            </w:r>
            <w:r w:rsidR="00244A07">
              <w:tab/>
            </w:r>
            <w:r w:rsidR="00244A07">
              <w:tab/>
            </w:r>
          </w:p>
        </w:tc>
        <w:tc>
          <w:tcPr>
            <w:tcW w:w="583" w:type="dxa"/>
          </w:tcPr>
          <w:p w:rsidR="00E60871" w:rsidP="00A76E86" w:rsidRDefault="00E04F8D" w14:paraId="3AD09EE1" w14:textId="5696F57D">
            <w:r>
              <w:t>5</w:t>
            </w:r>
          </w:p>
        </w:tc>
      </w:tr>
      <w:tr w:rsidRPr="00E60871" w:rsidR="00E60871" w:rsidTr="00242F6D" w14:paraId="3B02B844" w14:textId="77777777">
        <w:tc>
          <w:tcPr>
            <w:tcW w:w="8479" w:type="dxa"/>
          </w:tcPr>
          <w:p w:rsidRPr="00244A07" w:rsidR="00E60871" w:rsidP="00244A07" w:rsidRDefault="00DC0769" w14:paraId="67CB3D0E" w14:textId="192ECAF5">
            <w:pPr>
              <w:ind w:firstLine="708"/>
              <w:jc w:val="both"/>
            </w:pPr>
            <w:r w:rsidRPr="008000F2">
              <w:t>Artikel 5f, Tweede lid</w:t>
            </w:r>
          </w:p>
        </w:tc>
        <w:tc>
          <w:tcPr>
            <w:tcW w:w="583" w:type="dxa"/>
          </w:tcPr>
          <w:p w:rsidR="00E60871" w:rsidP="00A76E86" w:rsidRDefault="00E04F8D" w14:paraId="7AF24309" w14:textId="2CD225EE">
            <w:r>
              <w:t>5</w:t>
            </w:r>
          </w:p>
        </w:tc>
      </w:tr>
      <w:tr w:rsidRPr="00E60871" w:rsidR="00E60871" w:rsidTr="00242F6D" w14:paraId="271F02A1" w14:textId="77777777">
        <w:trPr>
          <w:trHeight w:val="402"/>
        </w:trPr>
        <w:tc>
          <w:tcPr>
            <w:tcW w:w="8479" w:type="dxa"/>
          </w:tcPr>
          <w:p w:rsidRPr="00244A07" w:rsidR="00E60871" w:rsidP="00244A07" w:rsidRDefault="00DC0769" w14:paraId="79DB48DF" w14:textId="332CC5E3">
            <w:pPr>
              <w:ind w:firstLine="708"/>
              <w:jc w:val="both"/>
            </w:pPr>
            <w:r w:rsidRPr="008000F2">
              <w:t>Artikel 5f, Derde lid</w:t>
            </w:r>
          </w:p>
        </w:tc>
        <w:tc>
          <w:tcPr>
            <w:tcW w:w="583" w:type="dxa"/>
          </w:tcPr>
          <w:p w:rsidR="00E60871" w:rsidP="00A76E86" w:rsidRDefault="00E04F8D" w14:paraId="6C878C51" w14:textId="7156EC75">
            <w:r>
              <w:t>5</w:t>
            </w:r>
          </w:p>
        </w:tc>
      </w:tr>
      <w:tr w:rsidRPr="00E60871" w:rsidR="00E60871" w:rsidTr="00242F6D" w14:paraId="149C8DF5" w14:textId="77777777">
        <w:tc>
          <w:tcPr>
            <w:tcW w:w="8479" w:type="dxa"/>
          </w:tcPr>
          <w:p w:rsidRPr="00244A07" w:rsidR="00E60871" w:rsidP="00E60871" w:rsidRDefault="00DC0769" w14:paraId="6E8E2527" w14:textId="57B067BC">
            <w:pPr>
              <w:jc w:val="both"/>
            </w:pPr>
            <w:r>
              <w:t>Artikel I, wijzigingsonderdeel E</w:t>
            </w:r>
          </w:p>
        </w:tc>
        <w:tc>
          <w:tcPr>
            <w:tcW w:w="583" w:type="dxa"/>
          </w:tcPr>
          <w:p w:rsidR="00E60871" w:rsidP="00A76E86" w:rsidRDefault="00E04F8D" w14:paraId="5E3439DC" w14:textId="73ABA15B">
            <w:r>
              <w:t>5</w:t>
            </w:r>
          </w:p>
        </w:tc>
      </w:tr>
      <w:tr w:rsidRPr="00E60871" w:rsidR="00E60871" w:rsidTr="00242F6D" w14:paraId="02F47E48" w14:textId="77777777">
        <w:tc>
          <w:tcPr>
            <w:tcW w:w="8479" w:type="dxa"/>
          </w:tcPr>
          <w:p w:rsidRPr="00244A07" w:rsidR="00E60871" w:rsidP="00E60871" w:rsidRDefault="00DC0769" w14:paraId="7D3803A7" w14:textId="25888212">
            <w:pPr>
              <w:pStyle w:val="Default"/>
              <w:rPr>
                <w:rFonts w:ascii="Times New Roman" w:hAnsi="Times New Roman" w:cs="Times New Roman"/>
                <w:color w:val="211D1F"/>
              </w:rPr>
            </w:pPr>
            <w:r w:rsidRPr="002A5830">
              <w:rPr>
                <w:rFonts w:ascii="Times New Roman" w:hAnsi="Times New Roman" w:cs="Times New Roman"/>
                <w:color w:val="211D1F"/>
              </w:rPr>
              <w:t>Artikel II</w:t>
            </w:r>
            <w:r>
              <w:rPr>
                <w:rFonts w:ascii="Times New Roman" w:hAnsi="Times New Roman" w:cs="Times New Roman"/>
                <w:color w:val="211D1F"/>
              </w:rPr>
              <w:t xml:space="preserve"> </w:t>
            </w:r>
          </w:p>
        </w:tc>
        <w:tc>
          <w:tcPr>
            <w:tcW w:w="583" w:type="dxa"/>
          </w:tcPr>
          <w:p w:rsidR="00E60871" w:rsidP="00A76E86" w:rsidRDefault="00E04F8D" w14:paraId="68F10FB5" w14:textId="0C04B748">
            <w:r>
              <w:t>5</w:t>
            </w:r>
          </w:p>
        </w:tc>
      </w:tr>
    </w:tbl>
    <w:p w:rsidR="00D37483" w:rsidRDefault="00D37483" w14:paraId="21743ADF" w14:textId="77777777"/>
    <w:p w:rsidRPr="004D0987" w:rsidR="004D0987" w:rsidP="004D0987" w:rsidRDefault="004D0987" w14:paraId="5D9705A0" w14:textId="77777777">
      <w:pPr>
        <w:pStyle w:val="Default"/>
        <w:rPr>
          <w:rFonts w:ascii="Times New Roman" w:hAnsi="Times New Roman" w:cs="Times New Roman"/>
          <w:b/>
          <w:bCs/>
          <w:color w:val="211D1F"/>
        </w:rPr>
      </w:pPr>
      <w:r>
        <w:rPr>
          <w:rFonts w:ascii="Times New Roman" w:hAnsi="Times New Roman" w:cs="Times New Roman"/>
          <w:b/>
          <w:bCs/>
          <w:color w:val="211D1F"/>
        </w:rPr>
        <w:t>A</w:t>
      </w:r>
      <w:r w:rsidRPr="00632F59">
        <w:rPr>
          <w:rFonts w:ascii="Times New Roman" w:hAnsi="Times New Roman" w:cs="Times New Roman"/>
          <w:b/>
          <w:bCs/>
          <w:color w:val="211D1F"/>
        </w:rPr>
        <w:t xml:space="preserve">. </w:t>
      </w:r>
      <w:r>
        <w:rPr>
          <w:rFonts w:ascii="Times New Roman" w:hAnsi="Times New Roman" w:cs="Times New Roman"/>
          <w:b/>
          <w:bCs/>
          <w:color w:val="211D1F"/>
        </w:rPr>
        <w:t xml:space="preserve">Algemeen deel </w:t>
      </w:r>
      <w:r w:rsidRPr="00632F59">
        <w:rPr>
          <w:rFonts w:ascii="Times New Roman" w:hAnsi="Times New Roman" w:cs="Times New Roman"/>
          <w:b/>
          <w:bCs/>
          <w:color w:val="211D1F"/>
        </w:rPr>
        <w:t xml:space="preserve"> </w:t>
      </w:r>
    </w:p>
    <w:p w:rsidRPr="004D0987" w:rsidR="004D0987" w:rsidP="004D0987" w:rsidRDefault="004D0987" w14:paraId="05BFBD65" w14:textId="77777777">
      <w:pPr>
        <w:rPr>
          <w:b/>
          <w:bCs/>
          <w:color w:val="211D1F"/>
        </w:rPr>
      </w:pPr>
      <w:r w:rsidRPr="00632F59">
        <w:rPr>
          <w:b/>
          <w:bCs/>
          <w:color w:val="211D1F"/>
        </w:rPr>
        <w:t>1. Inleiding</w:t>
      </w:r>
    </w:p>
    <w:p w:rsidR="004D0987" w:rsidRDefault="004D0987" w14:paraId="5CF5D270" w14:textId="77777777"/>
    <w:p w:rsidR="004D0987" w:rsidRDefault="004D0987" w14:paraId="2B0B462A" w14:textId="5723AF4D">
      <w:r w:rsidRPr="004D0987">
        <w:t xml:space="preserve">De leden van de VVD-fractie hebben kennisgenomen van de wijziging van de Rijkswet consulaire bescherming EU-burgers </w:t>
      </w:r>
      <w:r w:rsidR="00334EDB">
        <w:t>voor</w:t>
      </w:r>
      <w:r w:rsidRPr="004D0987">
        <w:t xml:space="preserve"> de vaststelling en afgifte van een Europees noodreisdocument. Naar aanleiding hiervan hebben zij enkele vragen en opmerkingen</w:t>
      </w:r>
      <w:r>
        <w:t>.</w:t>
      </w:r>
    </w:p>
    <w:p w:rsidR="004D0987" w:rsidRDefault="004D0987" w14:paraId="4590ECD2" w14:textId="77777777"/>
    <w:p w:rsidR="004D0987" w:rsidP="004D0987" w:rsidRDefault="004D0987" w14:paraId="3F401AF4" w14:textId="00C345F8">
      <w:r>
        <w:t>De leden van de NSC-fractie hebben met belangstelling kennisgenomen van de wijziging van de Rijkswet consulaire bescherming EU-burgers voor de vaststelling en afgifte van een Europees noodreisdocument. Deze leden hebben verder geen vragen over de wetswijziging.</w:t>
      </w:r>
    </w:p>
    <w:p w:rsidR="004D0987" w:rsidRDefault="004D0987" w14:paraId="36B5FADA" w14:textId="77777777"/>
    <w:p w:rsidR="004D0987" w:rsidP="004D0987" w:rsidRDefault="004D0987" w14:paraId="43109A43" w14:textId="19F34B01">
      <w:pPr>
        <w:rPr>
          <w:color w:val="211D1F"/>
        </w:rPr>
      </w:pPr>
      <w:r w:rsidRPr="004D0987">
        <w:rPr>
          <w:color w:val="211D1F"/>
        </w:rPr>
        <w:t>De leden van de D66-fractie hebben met interesse kennisgenomen van het wetsvoorstel</w:t>
      </w:r>
      <w:r w:rsidR="007A7AE1">
        <w:rPr>
          <w:color w:val="211D1F"/>
        </w:rPr>
        <w:t xml:space="preserve"> en hebben een enkele vraag.</w:t>
      </w:r>
    </w:p>
    <w:p w:rsidR="004D0987" w:rsidP="004D0987" w:rsidRDefault="004D0987" w14:paraId="2573915B" w14:textId="77777777">
      <w:pPr>
        <w:rPr>
          <w:color w:val="211D1F"/>
        </w:rPr>
      </w:pPr>
    </w:p>
    <w:p w:rsidR="004D0987" w:rsidP="004D0987" w:rsidRDefault="004D0987" w14:paraId="5C91EAB9" w14:textId="0F08FB3C">
      <w:pPr>
        <w:rPr>
          <w:color w:val="211D1F"/>
        </w:rPr>
      </w:pPr>
      <w:r>
        <w:rPr>
          <w:color w:val="211D1F"/>
        </w:rPr>
        <w:t>De leden van de SGP-fractie hebben met belangstelling kennisgenomen van het aanhangige wetsvoorstel en danken de regering voor het toezenden daarvan. De voornoemde leden hebben nog enige vragen en opmerkingen.</w:t>
      </w:r>
    </w:p>
    <w:p w:rsidR="004D0987" w:rsidP="004D0987" w:rsidRDefault="004D0987" w14:paraId="64E6A142" w14:textId="77777777">
      <w:pPr>
        <w:rPr>
          <w:color w:val="211D1F"/>
        </w:rPr>
      </w:pPr>
    </w:p>
    <w:p w:rsidR="004D0987" w:rsidP="004D0987" w:rsidRDefault="004D0987" w14:paraId="7EC549F3" w14:textId="2F7D24E0">
      <w:pPr>
        <w:rPr>
          <w:color w:val="211D1F"/>
        </w:rPr>
      </w:pPr>
      <w:r>
        <w:rPr>
          <w:color w:val="211D1F"/>
        </w:rPr>
        <w:t xml:space="preserve">De leden van de SGP-fractie vragen naar de reden waarom de richtlijn nu </w:t>
      </w:r>
      <w:r w:rsidR="007F0268">
        <w:rPr>
          <w:color w:val="211D1F"/>
        </w:rPr>
        <w:t>en nu pas</w:t>
      </w:r>
      <w:r w:rsidR="00242F6D">
        <w:rPr>
          <w:color w:val="211D1F"/>
        </w:rPr>
        <w:t xml:space="preserve"> </w:t>
      </w:r>
      <w:r>
        <w:rPr>
          <w:color w:val="211D1F"/>
        </w:rPr>
        <w:t>geïmplementeerd wordt? Dit is op tijd voor de deadline van inwerkingtreding</w:t>
      </w:r>
      <w:r w:rsidR="007A7AE1">
        <w:rPr>
          <w:color w:val="211D1F"/>
        </w:rPr>
        <w:t>,</w:t>
      </w:r>
      <w:r>
        <w:rPr>
          <w:color w:val="211D1F"/>
        </w:rPr>
        <w:t xml:space="preserve"> maar het heeft even geduurd sinds het aannemen van de richtlijn. Kan de regering dit kort toelichten?</w:t>
      </w:r>
    </w:p>
    <w:p w:rsidR="004D0987" w:rsidP="004D0987" w:rsidRDefault="004D0987" w14:paraId="71B2DB79" w14:textId="77777777">
      <w:pPr>
        <w:rPr>
          <w:color w:val="211D1F"/>
        </w:rPr>
      </w:pPr>
    </w:p>
    <w:p w:rsidRPr="008F743C" w:rsidR="004D0987" w:rsidP="004D0987" w:rsidRDefault="004D0987" w14:paraId="759A95E2" w14:textId="0EA67350">
      <w:pPr>
        <w:rPr>
          <w:color w:val="211D1F"/>
        </w:rPr>
      </w:pPr>
      <w:r>
        <w:rPr>
          <w:color w:val="211D1F"/>
        </w:rPr>
        <w:t xml:space="preserve">De leden van de SGP-fractie vragen hoe bij het toezenden van de aanhangige stukken rekening is gehouden met de motie van het lid </w:t>
      </w:r>
      <w:r w:rsidR="00334EDB">
        <w:rPr>
          <w:color w:val="211D1F"/>
        </w:rPr>
        <w:t>V</w:t>
      </w:r>
      <w:r>
        <w:rPr>
          <w:color w:val="211D1F"/>
        </w:rPr>
        <w:t>an der Lee (</w:t>
      </w:r>
      <w:r w:rsidR="007A7AE1">
        <w:rPr>
          <w:color w:val="211D1F"/>
        </w:rPr>
        <w:t>K</w:t>
      </w:r>
      <w:r>
        <w:rPr>
          <w:color w:val="211D1F"/>
        </w:rPr>
        <w:t>amerstuk 34 808, nr. 11)? Kan de regering nog toelichten waar de opties voor de lidstaten zijn om keuzes te maken in de implementatie?</w:t>
      </w:r>
    </w:p>
    <w:p w:rsidR="004D0987" w:rsidRDefault="004D0987" w14:paraId="0D1E4035" w14:textId="77777777"/>
    <w:p w:rsidR="004D0987" w:rsidRDefault="004D0987" w14:paraId="1D25D04B" w14:textId="77777777"/>
    <w:p w:rsidR="004D0987" w:rsidP="004D0987" w:rsidRDefault="004D0987" w14:paraId="4B2276EA" w14:textId="77777777">
      <w:pPr>
        <w:pStyle w:val="Default"/>
        <w:rPr>
          <w:rFonts w:ascii="Times New Roman" w:hAnsi="Times New Roman" w:cs="Times New Roman"/>
          <w:color w:val="211D1F"/>
        </w:rPr>
      </w:pPr>
      <w:r w:rsidRPr="008000F2">
        <w:rPr>
          <w:rFonts w:ascii="Times New Roman" w:hAnsi="Times New Roman" w:cs="Times New Roman"/>
          <w:color w:val="211D1F"/>
        </w:rPr>
        <w:t>2.1 Algemeen</w:t>
      </w:r>
    </w:p>
    <w:p w:rsidRPr="008000F2" w:rsidR="004D0987" w:rsidP="004D0987" w:rsidRDefault="004D0987" w14:paraId="18DD8371" w14:textId="77777777">
      <w:pPr>
        <w:pStyle w:val="Default"/>
        <w:rPr>
          <w:rFonts w:ascii="Times New Roman" w:hAnsi="Times New Roman" w:cs="Times New Roman"/>
          <w:color w:val="211D1F"/>
        </w:rPr>
      </w:pPr>
    </w:p>
    <w:p w:rsidR="004D0987" w:rsidP="004D0987" w:rsidRDefault="004D0987" w14:paraId="0438D9B6" w14:textId="77777777">
      <w:pPr>
        <w:pStyle w:val="Default"/>
        <w:rPr>
          <w:rFonts w:ascii="Times New Roman" w:hAnsi="Times New Roman" w:cs="Times New Roman"/>
          <w:color w:val="211D1F"/>
        </w:rPr>
      </w:pPr>
      <w:r w:rsidRPr="008000F2">
        <w:rPr>
          <w:rFonts w:ascii="Times New Roman" w:hAnsi="Times New Roman" w:cs="Times New Roman"/>
          <w:color w:val="211D1F"/>
        </w:rPr>
        <w:t>2.2 EU-noodreisdocumentrichtlijn</w:t>
      </w:r>
    </w:p>
    <w:p w:rsidR="004D0987" w:rsidP="004D0987" w:rsidRDefault="004D0987" w14:paraId="408B4A9D" w14:textId="77777777">
      <w:pPr>
        <w:pStyle w:val="Default"/>
        <w:rPr>
          <w:rFonts w:ascii="Times New Roman" w:hAnsi="Times New Roman" w:cs="Times New Roman"/>
          <w:color w:val="211D1F"/>
        </w:rPr>
      </w:pPr>
    </w:p>
    <w:p w:rsidRPr="008000F2" w:rsidR="007A7AE1" w:rsidP="004D0987" w:rsidRDefault="007A7AE1" w14:paraId="2AC6F55C" w14:textId="77777777">
      <w:pPr>
        <w:pStyle w:val="Default"/>
        <w:rPr>
          <w:rFonts w:ascii="Times New Roman" w:hAnsi="Times New Roman" w:cs="Times New Roman"/>
          <w:color w:val="211D1F"/>
        </w:rPr>
      </w:pPr>
    </w:p>
    <w:p w:rsidR="004D0987" w:rsidP="004D0987" w:rsidRDefault="004D0987" w14:paraId="1404C169" w14:textId="77777777">
      <w:pPr>
        <w:pStyle w:val="Default"/>
        <w:rPr>
          <w:rFonts w:ascii="Times New Roman" w:hAnsi="Times New Roman" w:cs="Times New Roman"/>
        </w:rPr>
      </w:pPr>
      <w:r w:rsidRPr="008000F2">
        <w:rPr>
          <w:rFonts w:ascii="Times New Roman" w:hAnsi="Times New Roman" w:cs="Times New Roman"/>
        </w:rPr>
        <w:t>2.2.1 Situaties waarin een EU-noodreisdocument wordt afgegeven</w:t>
      </w:r>
    </w:p>
    <w:p w:rsidR="004D0987" w:rsidP="004D0987" w:rsidRDefault="004D0987" w14:paraId="24BC5B73" w14:textId="77777777">
      <w:pPr>
        <w:pStyle w:val="Default"/>
        <w:rPr>
          <w:rFonts w:ascii="Times New Roman" w:hAnsi="Times New Roman" w:cs="Times New Roman"/>
        </w:rPr>
      </w:pPr>
    </w:p>
    <w:p w:rsidRPr="008000F2" w:rsidR="004D0987" w:rsidP="004D0987" w:rsidRDefault="004D0987" w14:paraId="0CF95514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Bestaat er een plicht tot aangifte van de situatie van verlies, diefstal of vernietiging van een paspoort in Nederland en in de andere EU-lidstaten, zo vragen de leden van de SGP-fractie? Zo ja, wordt dit meegenomen in de procedure voor het afgeven van het EU-noodreisdocument? </w:t>
      </w:r>
    </w:p>
    <w:p w:rsidRPr="004D0987" w:rsidR="004D0987" w:rsidP="004D0987" w:rsidRDefault="004D0987" w14:paraId="5B08BDCD" w14:textId="77777777">
      <w:pPr>
        <w:pStyle w:val="Default"/>
        <w:rPr>
          <w:rFonts w:ascii="Times New Roman" w:hAnsi="Times New Roman" w:cs="Times New Roman"/>
        </w:rPr>
      </w:pPr>
    </w:p>
    <w:p w:rsidR="004D0987" w:rsidP="004D0987" w:rsidRDefault="004D0987" w14:paraId="157C85A8" w14:textId="77777777">
      <w:pPr>
        <w:jc w:val="both"/>
      </w:pPr>
      <w:r w:rsidRPr="008000F2">
        <w:t>2.2.2 De aanvraagprocedure voor een EU-noodreisdocument</w:t>
      </w:r>
    </w:p>
    <w:p w:rsidR="004D0987" w:rsidP="004D0987" w:rsidRDefault="004D0987" w14:paraId="6F0399CE" w14:textId="1E61741D">
      <w:r w:rsidRPr="009358FD">
        <w:t xml:space="preserve">De </w:t>
      </w:r>
      <w:r w:rsidR="007A7AE1">
        <w:t>leden van de VVD-fractie</w:t>
      </w:r>
      <w:r w:rsidRPr="009358FD">
        <w:t xml:space="preserve"> benadrukken dat een goede coördinatie tussen EU-lidstaten cruciaal is voor het tijdig en correct controleren van de identiteit van aanvragers</w:t>
      </w:r>
      <w:r>
        <w:t>. De</w:t>
      </w:r>
      <w:r w:rsidR="00242F6D">
        <w:t>ze</w:t>
      </w:r>
      <w:r>
        <w:t xml:space="preserve"> leden </w:t>
      </w:r>
      <w:r w:rsidRPr="009358FD">
        <w:t>vragen de regering hoe deze coördinatie tussen lidstaten wordt gegarandeerd en welke maatregelen worden genomen om fouten in het proces te voorkomen</w:t>
      </w:r>
      <w:r w:rsidR="007A7AE1">
        <w:t>.</w:t>
      </w:r>
      <w:r w:rsidRPr="009358FD">
        <w:t xml:space="preserve"> </w:t>
      </w:r>
      <w:r w:rsidR="00242F6D">
        <w:t xml:space="preserve">Zij </w:t>
      </w:r>
      <w:r>
        <w:t>vragen</w:t>
      </w:r>
      <w:r w:rsidR="00242F6D">
        <w:t xml:space="preserve"> </w:t>
      </w:r>
      <w:r>
        <w:t>ook hoelang de regering verwacht dat de procedure gemiddeld duurt</w:t>
      </w:r>
      <w:r w:rsidR="004249CD">
        <w:t>.</w:t>
      </w:r>
      <w:r>
        <w:t xml:space="preserve"> </w:t>
      </w:r>
      <w:r w:rsidR="004249CD">
        <w:t>K</w:t>
      </w:r>
      <w:r>
        <w:t xml:space="preserve">an dit over het algemeen sneller dan de maximale </w:t>
      </w:r>
      <w:r w:rsidR="007A7AE1">
        <w:t>zeven</w:t>
      </w:r>
      <w:r>
        <w:t xml:space="preserve"> dagen? </w:t>
      </w:r>
    </w:p>
    <w:p w:rsidR="004D0987" w:rsidP="004D0987" w:rsidRDefault="004D0987" w14:paraId="78307024" w14:textId="77777777"/>
    <w:p w:rsidR="004D0987" w:rsidP="004D0987" w:rsidRDefault="004D0987" w14:paraId="754AFC1A" w14:textId="0904AD33">
      <w:r w:rsidRPr="009358FD">
        <w:t xml:space="preserve">De </w:t>
      </w:r>
      <w:r w:rsidR="007A7AE1">
        <w:t>leden van de VVD-</w:t>
      </w:r>
      <w:r w:rsidR="00242F6D">
        <w:t xml:space="preserve">fractie </w:t>
      </w:r>
      <w:r w:rsidRPr="009358FD" w:rsidR="00242F6D">
        <w:t>zijn</w:t>
      </w:r>
      <w:r w:rsidRPr="009358FD">
        <w:t xml:space="preserve"> ook benieuwd naar de capaciteit en betrouwbaarheid van andere EU-ambassades in derde landen bij de afgifte van noodreisdocumenten. Zij vragen de regering of er ambassades zijn </w:t>
      </w:r>
      <w:r>
        <w:t xml:space="preserve">van andere EU-landen </w:t>
      </w:r>
      <w:r w:rsidRPr="009358FD">
        <w:t>die mogelijk kwetsbaar zijn voor externe druk bij het verstrekken van deze documente</w:t>
      </w:r>
      <w:r>
        <w:t>n</w:t>
      </w:r>
      <w:r w:rsidR="007A7AE1">
        <w:t>.</w:t>
      </w:r>
      <w:r>
        <w:t xml:space="preserve"> Indien hier mogelijk sprake van is, w</w:t>
      </w:r>
      <w:r w:rsidRPr="009358FD">
        <w:t>elke maatregelen worden getroffen om dergelijke risico’s te mitigeren</w:t>
      </w:r>
      <w:r>
        <w:t>?</w:t>
      </w:r>
      <w:r w:rsidRPr="009358FD">
        <w:t xml:space="preserve"> Tot slot vragen de</w:t>
      </w:r>
      <w:r w:rsidR="007A7AE1">
        <w:t>ze</w:t>
      </w:r>
      <w:r w:rsidRPr="009358FD">
        <w:t xml:space="preserve"> leden </w:t>
      </w:r>
      <w:r>
        <w:t xml:space="preserve">zich af </w:t>
      </w:r>
      <w:r w:rsidRPr="009358FD">
        <w:t xml:space="preserve">of er andere risico’s bestaan bij EU-ambassades in derde landen, zoals een gebrek aan personeel of middelen, die zouden kunnen leiden tot </w:t>
      </w:r>
      <w:r>
        <w:t xml:space="preserve">problemen bij </w:t>
      </w:r>
      <w:r w:rsidRPr="009358FD">
        <w:t>het verstrekken van noodreisdocumenten</w:t>
      </w:r>
      <w:r>
        <w:t>?</w:t>
      </w:r>
    </w:p>
    <w:p w:rsidR="004D0987" w:rsidP="004D0987" w:rsidRDefault="004D0987" w14:paraId="43E91A85" w14:textId="77777777"/>
    <w:p w:rsidRPr="009358FD" w:rsidR="004D0987" w:rsidP="004D0987" w:rsidRDefault="004D0987" w14:paraId="21F19894" w14:textId="1C344624">
      <w:r w:rsidRPr="004D0987">
        <w:t xml:space="preserve">De leden van de SGP-fractie waarderen de beperkte geldigheid van het EU-noodreisdocument in tijdelijke en geografische zin en vragen de regering in wat voor gevallen dat kan zijn </w:t>
      </w:r>
      <w:r w:rsidR="004249CD">
        <w:t xml:space="preserve">bij reizen </w:t>
      </w:r>
      <w:r w:rsidRPr="004D0987">
        <w:t xml:space="preserve">richting een andere lidstaat dan waar </w:t>
      </w:r>
      <w:r w:rsidR="004249CD">
        <w:t>de houder van dit document</w:t>
      </w:r>
      <w:r w:rsidRPr="004D0987">
        <w:t xml:space="preserve"> verblij</w:t>
      </w:r>
      <w:r w:rsidR="004249CD">
        <w:t>ft</w:t>
      </w:r>
      <w:r w:rsidR="007A7AE1">
        <w:t>.</w:t>
      </w:r>
      <w:r w:rsidRPr="004D0987">
        <w:t xml:space="preserve"> </w:t>
      </w:r>
      <w:r w:rsidR="007A7AE1">
        <w:t>Deelt de regering de mening</w:t>
      </w:r>
      <w:r w:rsidRPr="004D0987">
        <w:t xml:space="preserve"> dat het in de rede ligt om bij verlies, diefstal of vernietiging van een paspoort onverwijld naar huis terug te keren en </w:t>
      </w:r>
      <w:r w:rsidR="00242F6D">
        <w:t xml:space="preserve">bij </w:t>
      </w:r>
      <w:r w:rsidRPr="004D0987" w:rsidR="00242F6D">
        <w:t>de</w:t>
      </w:r>
      <w:r w:rsidRPr="004D0987">
        <w:t xml:space="preserve"> eigen national</w:t>
      </w:r>
      <w:r w:rsidR="00242F6D">
        <w:t xml:space="preserve">e </w:t>
      </w:r>
      <w:r w:rsidR="004249CD">
        <w:t>autoriteiten</w:t>
      </w:r>
      <w:r w:rsidRPr="004D0987">
        <w:t xml:space="preserve"> een regulier reisdocument aan te vragen?</w:t>
      </w:r>
    </w:p>
    <w:p w:rsidRPr="004D0987" w:rsidR="004D0987" w:rsidP="004D0987" w:rsidRDefault="004D0987" w14:paraId="626898F3" w14:textId="77777777">
      <w:pPr>
        <w:jc w:val="both"/>
      </w:pPr>
    </w:p>
    <w:p w:rsidR="004D0987" w:rsidP="004D0987" w:rsidRDefault="004D0987" w14:paraId="65202D75" w14:textId="77777777">
      <w:pPr>
        <w:jc w:val="both"/>
      </w:pPr>
      <w:r w:rsidRPr="008000F2">
        <w:t>2.2.3 Facultatieve afgifte van EU-noodreisdocumenten</w:t>
      </w:r>
    </w:p>
    <w:p w:rsidR="004D0987" w:rsidP="004D0987" w:rsidRDefault="004D0987" w14:paraId="5A0F15CD" w14:textId="77777777">
      <w:pPr>
        <w:jc w:val="both"/>
      </w:pPr>
    </w:p>
    <w:p w:rsidR="004D0987" w:rsidP="004D0987" w:rsidRDefault="004D0987" w14:paraId="61FA9E68" w14:textId="014BC163">
      <w:pPr>
        <w:jc w:val="both"/>
      </w:pPr>
      <w:r>
        <w:t xml:space="preserve">De leden van de SGP-fractie zien de facultatieve afgifte van EU-noodreisdocumenten in artikel 7, lid 1 van de richtlijn en hebben een verdere vraag over sub d. De voornoemde leden vragen de regering </w:t>
      </w:r>
      <w:r w:rsidR="00242F6D">
        <w:t>hoe dit</w:t>
      </w:r>
      <w:r>
        <w:t xml:space="preserve"> </w:t>
      </w:r>
      <w:r w:rsidR="009141DD">
        <w:t xml:space="preserve">zich </w:t>
      </w:r>
      <w:r>
        <w:t>verhoudt tot een noodreisdocument aanvragen van het eigen land van herkomst</w:t>
      </w:r>
      <w:r w:rsidR="007A7AE1">
        <w:t>.</w:t>
      </w:r>
      <w:r>
        <w:t xml:space="preserve"> Is dit voor de niet EU-burgers die een EU-burger vergezellen een keuze tussen beide</w:t>
      </w:r>
      <w:r w:rsidR="007A7AE1">
        <w:t>n</w:t>
      </w:r>
      <w:r>
        <w:t xml:space="preserve"> of een EU-noodreisdocument indien ze niet eerst tijdig een noodreisdocument van eigen nationaliteit kunnen aanvragen?</w:t>
      </w:r>
    </w:p>
    <w:p w:rsidR="004D0987" w:rsidP="004D0987" w:rsidRDefault="004D0987" w14:paraId="669BDE16" w14:textId="77777777">
      <w:pPr>
        <w:jc w:val="both"/>
      </w:pPr>
    </w:p>
    <w:p w:rsidR="004D0987" w:rsidP="004D0987" w:rsidRDefault="004D0987" w14:paraId="74533CD8" w14:textId="550C462B">
      <w:pPr>
        <w:jc w:val="both"/>
      </w:pPr>
      <w:r>
        <w:t>De leden van de SGP-fractie begrijpen het vereend houden van familieleden voor een reis en vragen de regering slechts ter verheldering hoe breed de definitie van familieleden is</w:t>
      </w:r>
      <w:r w:rsidR="007A7AE1">
        <w:t>.</w:t>
      </w:r>
      <w:r>
        <w:t xml:space="preserve"> Is dit het kerngezin of breder?</w:t>
      </w:r>
    </w:p>
    <w:p w:rsidRPr="008000F2" w:rsidR="004D0987" w:rsidP="004D0987" w:rsidRDefault="004D0987" w14:paraId="38C1FA5E" w14:textId="77777777">
      <w:pPr>
        <w:jc w:val="both"/>
      </w:pPr>
    </w:p>
    <w:p w:rsidR="004D0987" w:rsidP="004D0987" w:rsidRDefault="004D0987" w14:paraId="1E7CE0E2" w14:textId="77777777">
      <w:pPr>
        <w:jc w:val="both"/>
      </w:pPr>
      <w:r>
        <w:t>2</w:t>
      </w:r>
      <w:r w:rsidRPr="008000F2">
        <w:t>.2.3.1 Familieleden van niet-vertegenwoordigde EU-burgers</w:t>
      </w:r>
    </w:p>
    <w:p w:rsidR="004D0987" w:rsidP="004D0987" w:rsidRDefault="004D0987" w14:paraId="17CF8017" w14:textId="54BB0BE5">
      <w:pPr>
        <w:jc w:val="both"/>
      </w:pPr>
      <w:r w:rsidRPr="004D0987">
        <w:t xml:space="preserve">De leden van de VVD-fractie hechten groot belang aan het voorkomen van misbruik van noodreisdocumenten. De leden hebben geconstateerd dat de regeling ook kan gelden voor bepaalde familieleden zonder EU-nationaliteit. Hierom vragen </w:t>
      </w:r>
      <w:r w:rsidR="007A7AE1">
        <w:t>deze leden</w:t>
      </w:r>
      <w:r w:rsidRPr="004D0987">
        <w:t xml:space="preserve"> welke stappen worden genomen om te voorkomen dat niet-EU-burgers zich ten onrechte voordoen als </w:t>
      </w:r>
      <w:r w:rsidRPr="004D0987">
        <w:lastRenderedPageBreak/>
        <w:t>familieleden van EU-burgers om toegang tot de EU te verkrijgen</w:t>
      </w:r>
      <w:r w:rsidR="00242F6D">
        <w:t>.</w:t>
      </w:r>
      <w:r w:rsidRPr="004D0987">
        <w:t xml:space="preserve"> Hoe wordt strak toegezien op het vertrek van niet-EU-burgers na gebruik van het noodreisdocument en op de teruggave van deze documenten?</w:t>
      </w:r>
    </w:p>
    <w:p w:rsidRPr="008000F2" w:rsidR="007A7AE1" w:rsidP="004D0987" w:rsidRDefault="007A7AE1" w14:paraId="0D178D1B" w14:textId="77777777">
      <w:pPr>
        <w:jc w:val="both"/>
      </w:pPr>
    </w:p>
    <w:p w:rsidR="004D0987" w:rsidP="004D0987" w:rsidRDefault="004D0987" w14:paraId="37CC0FD9" w14:textId="77777777">
      <w:pPr>
        <w:jc w:val="both"/>
      </w:pPr>
      <w:r w:rsidRPr="008000F2">
        <w:t>2.2.3.2 Andere categorieën</w:t>
      </w:r>
    </w:p>
    <w:p w:rsidR="004D0987" w:rsidP="004D0987" w:rsidRDefault="004D0987" w14:paraId="6F0F8671" w14:textId="77777777">
      <w:pPr>
        <w:jc w:val="both"/>
      </w:pPr>
    </w:p>
    <w:p w:rsidR="004D0987" w:rsidP="004D0987" w:rsidRDefault="004D0987" w14:paraId="058F4667" w14:textId="57D10DE2">
      <w:pPr>
        <w:jc w:val="both"/>
      </w:pPr>
      <w:r w:rsidRPr="004D0987">
        <w:t xml:space="preserve">De leden van de D66-fractie staan positief tegenover het voornemen van de </w:t>
      </w:r>
      <w:r w:rsidR="007A7AE1">
        <w:t>regering</w:t>
      </w:r>
      <w:r w:rsidRPr="004D0987" w:rsidR="007A7AE1">
        <w:t xml:space="preserve"> </w:t>
      </w:r>
      <w:r w:rsidRPr="004D0987">
        <w:t xml:space="preserve">om nader onderzoek te doen naar het volledig vervangen van het nationale noodreisdocument door het EU-noodreisdocument. </w:t>
      </w:r>
      <w:r w:rsidR="007A7AE1">
        <w:t>Deze leden vragen de regering of zij</w:t>
      </w:r>
      <w:r w:rsidRPr="004D0987">
        <w:t xml:space="preserve"> in dit onderzoek de vraag wil meenemen of andere lidstaten zich bij dit initiatief zouden willen aansluiten met als doel uiteindelijk alle nationale noodreisdocumenten te vervangen voor één uniform EU-noodreisdocument.</w:t>
      </w:r>
    </w:p>
    <w:p w:rsidRPr="008000F2" w:rsidR="007A7AE1" w:rsidP="004D0987" w:rsidRDefault="007A7AE1" w14:paraId="0C97FFFB" w14:textId="77777777">
      <w:pPr>
        <w:jc w:val="both"/>
      </w:pPr>
    </w:p>
    <w:p w:rsidR="004D0987" w:rsidP="004D0987" w:rsidRDefault="004D0987" w14:paraId="2A88D831" w14:textId="77777777">
      <w:pPr>
        <w:jc w:val="both"/>
      </w:pPr>
      <w:r w:rsidRPr="008000F2">
        <w:t>2.3 Toepassingsbereik Rijkswetgeving</w:t>
      </w:r>
    </w:p>
    <w:p w:rsidRPr="004D0987" w:rsidR="007A7AE1" w:rsidP="004D0987" w:rsidRDefault="007A7AE1" w14:paraId="7A90131A" w14:textId="77777777">
      <w:pPr>
        <w:jc w:val="both"/>
      </w:pPr>
    </w:p>
    <w:p w:rsidRPr="004D0987" w:rsidR="004D0987" w:rsidP="004D0987" w:rsidRDefault="004D0987" w14:paraId="5EDA99E7" w14:textId="77777777">
      <w:pPr>
        <w:jc w:val="both"/>
      </w:pPr>
      <w:r w:rsidRPr="008000F2">
        <w:t>Aruba, Curaçao en Sint-Maarten</w:t>
      </w:r>
    </w:p>
    <w:p w:rsidR="004D0987" w:rsidP="004D0987" w:rsidRDefault="004D0987" w14:paraId="034F256A" w14:textId="7A2FDCF2">
      <w:pPr>
        <w:jc w:val="both"/>
      </w:pPr>
      <w:r w:rsidRPr="008000F2">
        <w:t xml:space="preserve">Bonaire, </w:t>
      </w:r>
      <w:r w:rsidRPr="008000F2" w:rsidR="00242F6D">
        <w:t>Sint-Eustatius</w:t>
      </w:r>
      <w:r w:rsidRPr="008000F2">
        <w:t xml:space="preserve"> en Saba</w:t>
      </w:r>
    </w:p>
    <w:p w:rsidRPr="004D0987" w:rsidR="007A7AE1" w:rsidP="004D0987" w:rsidRDefault="007A7AE1" w14:paraId="64A82BB0" w14:textId="77777777">
      <w:pPr>
        <w:jc w:val="both"/>
      </w:pPr>
    </w:p>
    <w:p w:rsidR="004D0987" w:rsidP="004D0987" w:rsidRDefault="004D0987" w14:paraId="0E5AF59B" w14:textId="77777777">
      <w:pPr>
        <w:jc w:val="both"/>
        <w:rPr>
          <w:b/>
          <w:bCs/>
        </w:rPr>
      </w:pPr>
      <w:r w:rsidRPr="008000F2">
        <w:rPr>
          <w:b/>
          <w:bCs/>
          <w:color w:val="211D1F"/>
        </w:rPr>
        <w:t xml:space="preserve">3. </w:t>
      </w:r>
      <w:r w:rsidRPr="008000F2">
        <w:rPr>
          <w:b/>
          <w:bCs/>
        </w:rPr>
        <w:t>Ve</w:t>
      </w:r>
      <w:r>
        <w:rPr>
          <w:b/>
          <w:bCs/>
        </w:rPr>
        <w:t>r</w:t>
      </w:r>
      <w:r w:rsidRPr="008000F2">
        <w:rPr>
          <w:b/>
          <w:bCs/>
        </w:rPr>
        <w:t>houding tot hoger recht en nationale regelgeving</w:t>
      </w:r>
    </w:p>
    <w:p w:rsidR="007A7AE1" w:rsidP="004D0987" w:rsidRDefault="007A7AE1" w14:paraId="5D7B6850" w14:textId="77777777">
      <w:pPr>
        <w:jc w:val="both"/>
        <w:rPr>
          <w:b/>
          <w:bCs/>
        </w:rPr>
      </w:pPr>
    </w:p>
    <w:p w:rsidR="004D0987" w:rsidP="004D0987" w:rsidRDefault="004D0987" w14:paraId="528CE139" w14:textId="77777777">
      <w:pPr>
        <w:jc w:val="both"/>
      </w:pPr>
      <w:r w:rsidRPr="008000F2">
        <w:t>3.1 EU-recht</w:t>
      </w:r>
    </w:p>
    <w:p w:rsidRPr="004D0987" w:rsidR="007A7AE1" w:rsidP="004D0987" w:rsidRDefault="007A7AE1" w14:paraId="012BEDF5" w14:textId="77777777">
      <w:pPr>
        <w:jc w:val="both"/>
        <w:rPr>
          <w:b/>
          <w:bCs/>
        </w:rPr>
      </w:pPr>
    </w:p>
    <w:p w:rsidR="004D0987" w:rsidP="004D0987" w:rsidRDefault="004D0987" w14:paraId="01A9351B" w14:textId="77777777">
      <w:pPr>
        <w:jc w:val="both"/>
      </w:pPr>
      <w:r w:rsidRPr="008000F2">
        <w:t>3.2 Nationale regelgeving</w:t>
      </w:r>
    </w:p>
    <w:p w:rsidRPr="004D0987" w:rsidR="007A7AE1" w:rsidP="004D0987" w:rsidRDefault="007A7AE1" w14:paraId="414CF222" w14:textId="77777777">
      <w:pPr>
        <w:jc w:val="both"/>
      </w:pPr>
    </w:p>
    <w:p w:rsidR="004D0987" w:rsidP="004D0987" w:rsidRDefault="004D0987" w14:paraId="536707C7" w14:textId="77777777">
      <w:pPr>
        <w:jc w:val="both"/>
        <w:rPr>
          <w:b/>
          <w:bCs/>
        </w:rPr>
      </w:pPr>
      <w:r w:rsidRPr="008000F2">
        <w:rPr>
          <w:b/>
          <w:bCs/>
          <w:color w:val="211D1F"/>
        </w:rPr>
        <w:t xml:space="preserve">4. </w:t>
      </w:r>
      <w:r w:rsidRPr="008000F2">
        <w:rPr>
          <w:b/>
          <w:bCs/>
        </w:rPr>
        <w:t>Gevolgen (m.u.v. financiële gevolgen)</w:t>
      </w:r>
    </w:p>
    <w:p w:rsidRPr="004D0987" w:rsidR="007A7AE1" w:rsidP="004D0987" w:rsidRDefault="007A7AE1" w14:paraId="3A9D7092" w14:textId="77777777">
      <w:pPr>
        <w:jc w:val="both"/>
        <w:rPr>
          <w:b/>
          <w:bCs/>
        </w:rPr>
      </w:pPr>
    </w:p>
    <w:p w:rsidR="004D0987" w:rsidP="004D0987" w:rsidRDefault="004D0987" w14:paraId="32A23543" w14:textId="77777777">
      <w:pPr>
        <w:pStyle w:val="Default"/>
        <w:rPr>
          <w:rFonts w:ascii="Times New Roman" w:hAnsi="Times New Roman" w:cs="Times New Roman"/>
          <w:b/>
          <w:bCs/>
          <w:color w:val="211D1F"/>
        </w:rPr>
      </w:pPr>
      <w:r>
        <w:rPr>
          <w:rFonts w:ascii="Times New Roman" w:hAnsi="Times New Roman" w:cs="Times New Roman"/>
          <w:b/>
          <w:bCs/>
          <w:color w:val="211D1F"/>
        </w:rPr>
        <w:t>5. Uitvoering</w:t>
      </w:r>
    </w:p>
    <w:p w:rsidRPr="004D0987" w:rsidR="007A7AE1" w:rsidP="004D0987" w:rsidRDefault="007A7AE1" w14:paraId="4B8830D3" w14:textId="77777777">
      <w:pPr>
        <w:pStyle w:val="Default"/>
        <w:rPr>
          <w:rFonts w:ascii="Times New Roman" w:hAnsi="Times New Roman" w:cs="Times New Roman"/>
          <w:color w:val="211D1F"/>
        </w:rPr>
      </w:pPr>
    </w:p>
    <w:p w:rsidR="004D0987" w:rsidP="004D0987" w:rsidRDefault="004D0987" w14:paraId="13E213B9" w14:textId="77777777">
      <w:pPr>
        <w:pStyle w:val="Default"/>
        <w:rPr>
          <w:rFonts w:ascii="Times New Roman" w:hAnsi="Times New Roman" w:cs="Times New Roman"/>
          <w:b/>
          <w:bCs/>
          <w:color w:val="211D1F"/>
        </w:rPr>
      </w:pPr>
      <w:r>
        <w:rPr>
          <w:rFonts w:ascii="Times New Roman" w:hAnsi="Times New Roman" w:cs="Times New Roman"/>
          <w:b/>
          <w:bCs/>
          <w:color w:val="211D1F"/>
        </w:rPr>
        <w:t>6. Financiële gevolgen</w:t>
      </w:r>
    </w:p>
    <w:p w:rsidR="007A7AE1" w:rsidP="004D0987" w:rsidRDefault="007A7AE1" w14:paraId="39E61031" w14:textId="77777777">
      <w:pPr>
        <w:pStyle w:val="Default"/>
        <w:rPr>
          <w:rFonts w:ascii="Times New Roman" w:hAnsi="Times New Roman" w:cs="Times New Roman"/>
          <w:b/>
          <w:bCs/>
          <w:color w:val="211D1F"/>
        </w:rPr>
      </w:pPr>
    </w:p>
    <w:p w:rsidR="004D0987" w:rsidP="004D0987" w:rsidRDefault="004D0987" w14:paraId="631B6584" w14:textId="77777777">
      <w:pPr>
        <w:jc w:val="both"/>
        <w:rPr>
          <w:b/>
          <w:bCs/>
        </w:rPr>
      </w:pPr>
      <w:r w:rsidRPr="008000F2">
        <w:rPr>
          <w:b/>
          <w:bCs/>
          <w:color w:val="211D1F"/>
        </w:rPr>
        <w:t xml:space="preserve">7. </w:t>
      </w:r>
      <w:r w:rsidRPr="008000F2">
        <w:rPr>
          <w:b/>
          <w:bCs/>
        </w:rPr>
        <w:t>Advies en consultatie</w:t>
      </w:r>
    </w:p>
    <w:p w:rsidR="007A7AE1" w:rsidP="004D0987" w:rsidRDefault="007A7AE1" w14:paraId="684DF191" w14:textId="77777777">
      <w:pPr>
        <w:jc w:val="both"/>
        <w:rPr>
          <w:b/>
          <w:bCs/>
        </w:rPr>
      </w:pPr>
    </w:p>
    <w:p w:rsidR="004D0987" w:rsidP="004D0987" w:rsidRDefault="004D0987" w14:paraId="2D125378" w14:textId="77777777">
      <w:pPr>
        <w:jc w:val="both"/>
        <w:rPr>
          <w:b/>
          <w:bCs/>
        </w:rPr>
      </w:pPr>
      <w:r w:rsidRPr="008000F2">
        <w:rPr>
          <w:b/>
          <w:bCs/>
        </w:rPr>
        <w:t>8. Overgangsrecht en inwerkingtreding</w:t>
      </w:r>
    </w:p>
    <w:p w:rsidRPr="008000F2" w:rsidR="007A7AE1" w:rsidP="004D0987" w:rsidRDefault="007A7AE1" w14:paraId="175D18BE" w14:textId="77777777">
      <w:pPr>
        <w:jc w:val="both"/>
        <w:rPr>
          <w:b/>
          <w:bCs/>
        </w:rPr>
      </w:pPr>
    </w:p>
    <w:p w:rsidR="004D0987" w:rsidP="004D0987" w:rsidRDefault="004D0987" w14:paraId="3318E641" w14:textId="77777777">
      <w:pPr>
        <w:pStyle w:val="Default"/>
        <w:rPr>
          <w:rFonts w:ascii="Times New Roman" w:hAnsi="Times New Roman" w:cs="Times New Roman"/>
          <w:b/>
          <w:bCs/>
          <w:color w:val="211D1F"/>
        </w:rPr>
      </w:pPr>
      <w:r>
        <w:rPr>
          <w:rFonts w:ascii="Times New Roman" w:hAnsi="Times New Roman" w:cs="Times New Roman"/>
          <w:b/>
          <w:bCs/>
          <w:color w:val="211D1F"/>
        </w:rPr>
        <w:t>B</w:t>
      </w:r>
      <w:r w:rsidRPr="00632F59">
        <w:rPr>
          <w:rFonts w:ascii="Times New Roman" w:hAnsi="Times New Roman" w:cs="Times New Roman"/>
          <w:b/>
          <w:bCs/>
          <w:color w:val="211D1F"/>
        </w:rPr>
        <w:t>. ARTIKELSGEWIJ</w:t>
      </w:r>
      <w:r>
        <w:rPr>
          <w:rFonts w:ascii="Times New Roman" w:hAnsi="Times New Roman" w:cs="Times New Roman"/>
          <w:b/>
          <w:bCs/>
          <w:color w:val="211D1F"/>
        </w:rPr>
        <w:t>ZE DEEL</w:t>
      </w:r>
    </w:p>
    <w:p w:rsidRPr="004D0987" w:rsidR="007A7AE1" w:rsidP="004D0987" w:rsidRDefault="007A7AE1" w14:paraId="234E325D" w14:textId="77777777">
      <w:pPr>
        <w:pStyle w:val="Default"/>
        <w:rPr>
          <w:rFonts w:ascii="Times New Roman" w:hAnsi="Times New Roman" w:cs="Times New Roman"/>
          <w:b/>
          <w:bCs/>
          <w:color w:val="211D1F"/>
        </w:rPr>
      </w:pPr>
    </w:p>
    <w:p w:rsidR="004D0987" w:rsidP="004D0987" w:rsidRDefault="004D0987" w14:paraId="5D462646" w14:textId="77777777">
      <w:pPr>
        <w:pStyle w:val="Default"/>
        <w:rPr>
          <w:rFonts w:ascii="Times New Roman" w:hAnsi="Times New Roman" w:cs="Times New Roman"/>
          <w:color w:val="211D1F"/>
        </w:rPr>
      </w:pPr>
      <w:r w:rsidRPr="002A5830">
        <w:rPr>
          <w:rFonts w:ascii="Times New Roman" w:hAnsi="Times New Roman" w:cs="Times New Roman"/>
          <w:color w:val="211D1F"/>
        </w:rPr>
        <w:t xml:space="preserve">Artikel I, </w:t>
      </w:r>
      <w:r>
        <w:rPr>
          <w:rFonts w:ascii="Times New Roman" w:hAnsi="Times New Roman" w:cs="Times New Roman"/>
          <w:color w:val="211D1F"/>
        </w:rPr>
        <w:t>Wijzigingsonderdeel A</w:t>
      </w:r>
    </w:p>
    <w:p w:rsidR="007A7AE1" w:rsidP="004D0987" w:rsidRDefault="007A7AE1" w14:paraId="02999E51" w14:textId="77777777">
      <w:pPr>
        <w:pStyle w:val="Default"/>
        <w:rPr>
          <w:rFonts w:ascii="Times New Roman" w:hAnsi="Times New Roman" w:cs="Times New Roman"/>
          <w:color w:val="211D1F"/>
        </w:rPr>
      </w:pPr>
    </w:p>
    <w:p w:rsidR="004D0987" w:rsidP="004D0987" w:rsidRDefault="004D0987" w14:paraId="67374363" w14:textId="77777777">
      <w:pPr>
        <w:pStyle w:val="Default"/>
        <w:rPr>
          <w:rFonts w:ascii="Times New Roman" w:hAnsi="Times New Roman" w:cs="Times New Roman"/>
          <w:color w:val="211D1F"/>
        </w:rPr>
      </w:pPr>
      <w:r>
        <w:rPr>
          <w:rFonts w:ascii="Times New Roman" w:hAnsi="Times New Roman" w:cs="Times New Roman"/>
          <w:color w:val="211D1F"/>
        </w:rPr>
        <w:t>Artikel I, wijzigingsonderdeel B</w:t>
      </w:r>
    </w:p>
    <w:p w:rsidR="007A7AE1" w:rsidP="004D0987" w:rsidRDefault="007A7AE1" w14:paraId="6F79C230" w14:textId="77777777">
      <w:pPr>
        <w:pStyle w:val="Default"/>
        <w:rPr>
          <w:rFonts w:ascii="Times New Roman" w:hAnsi="Times New Roman" w:cs="Times New Roman"/>
          <w:color w:val="211D1F"/>
        </w:rPr>
      </w:pPr>
    </w:p>
    <w:p w:rsidR="004D0987" w:rsidP="004D0987" w:rsidRDefault="004D0987" w14:paraId="4E2125C0" w14:textId="77777777">
      <w:pPr>
        <w:pStyle w:val="Default"/>
        <w:rPr>
          <w:rFonts w:ascii="Times New Roman" w:hAnsi="Times New Roman" w:cs="Times New Roman"/>
          <w:color w:val="211D1F"/>
        </w:rPr>
      </w:pPr>
      <w:r>
        <w:rPr>
          <w:rFonts w:ascii="Times New Roman" w:hAnsi="Times New Roman" w:cs="Times New Roman"/>
          <w:color w:val="211D1F"/>
        </w:rPr>
        <w:t>Artikel I, wijzigingsonderdeel C</w:t>
      </w:r>
    </w:p>
    <w:p w:rsidR="007A7AE1" w:rsidP="004D0987" w:rsidRDefault="007A7AE1" w14:paraId="10F21312" w14:textId="77777777">
      <w:pPr>
        <w:pStyle w:val="Default"/>
        <w:rPr>
          <w:rFonts w:ascii="Times New Roman" w:hAnsi="Times New Roman" w:cs="Times New Roman"/>
          <w:color w:val="211D1F"/>
        </w:rPr>
      </w:pPr>
    </w:p>
    <w:p w:rsidR="004D0987" w:rsidP="004D0987" w:rsidRDefault="004D0987" w14:paraId="68B20918" w14:textId="77777777">
      <w:pPr>
        <w:pStyle w:val="Default"/>
        <w:rPr>
          <w:rFonts w:ascii="Times New Roman" w:hAnsi="Times New Roman" w:cs="Times New Roman"/>
          <w:color w:val="211D1F"/>
        </w:rPr>
      </w:pPr>
      <w:r>
        <w:rPr>
          <w:rFonts w:ascii="Times New Roman" w:hAnsi="Times New Roman" w:cs="Times New Roman"/>
          <w:color w:val="211D1F"/>
        </w:rPr>
        <w:t>Artikel I, wijzigingsonderdeel D</w:t>
      </w:r>
    </w:p>
    <w:p w:rsidR="007A7AE1" w:rsidP="004D0987" w:rsidRDefault="007A7AE1" w14:paraId="31FD1D39" w14:textId="77777777">
      <w:pPr>
        <w:pStyle w:val="Default"/>
        <w:rPr>
          <w:rFonts w:ascii="Times New Roman" w:hAnsi="Times New Roman" w:cs="Times New Roman"/>
          <w:color w:val="211D1F"/>
        </w:rPr>
      </w:pPr>
    </w:p>
    <w:p w:rsidR="004D0987" w:rsidP="004D0987" w:rsidRDefault="004D0987" w14:paraId="1113CF77" w14:textId="77777777">
      <w:pPr>
        <w:ind w:firstLine="708"/>
        <w:jc w:val="both"/>
      </w:pPr>
      <w:r w:rsidRPr="008000F2">
        <w:t>Artikel 5a</w:t>
      </w:r>
    </w:p>
    <w:p w:rsidR="007A7AE1" w:rsidP="004D0987" w:rsidRDefault="007A7AE1" w14:paraId="16AE5BB8" w14:textId="77777777">
      <w:pPr>
        <w:ind w:firstLine="708"/>
        <w:jc w:val="both"/>
      </w:pPr>
    </w:p>
    <w:p w:rsidR="004D0987" w:rsidP="004D0987" w:rsidRDefault="004D0987" w14:paraId="400AB15E" w14:textId="77777777">
      <w:pPr>
        <w:ind w:firstLine="708"/>
        <w:jc w:val="both"/>
      </w:pPr>
      <w:r w:rsidRPr="008000F2">
        <w:t>Artikel 5b</w:t>
      </w:r>
    </w:p>
    <w:p w:rsidR="004D0987" w:rsidP="004D0987" w:rsidRDefault="004D0987" w14:paraId="70DFBF33" w14:textId="669266A2">
      <w:pPr>
        <w:jc w:val="both"/>
      </w:pPr>
      <w:r w:rsidRPr="004D0987">
        <w:t>De leden van de SGP-fractie vragen bij artikel 5b, lid 1</w:t>
      </w:r>
      <w:r w:rsidRPr="004D0987" w:rsidR="00242F6D">
        <w:t>a wat</w:t>
      </w:r>
      <w:r w:rsidRPr="004D0987">
        <w:t xml:space="preserve"> de rol van een ambassade in het buurland is die mede geaccrediteerd is voor een land</w:t>
      </w:r>
      <w:r w:rsidR="007A7AE1">
        <w:t>.</w:t>
      </w:r>
      <w:r w:rsidRPr="004D0987">
        <w:t xml:space="preserve"> Is</w:t>
      </w:r>
      <w:r w:rsidR="00453E3E">
        <w:t xml:space="preserve"> een geaccrediteerde ambassade in een </w:t>
      </w:r>
      <w:r w:rsidR="00453E3E">
        <w:lastRenderedPageBreak/>
        <w:t>buurland</w:t>
      </w:r>
      <w:r w:rsidRPr="004D0987">
        <w:t xml:space="preserve"> vaak in staat tot het verlenen van noodreisdocumenten? En hoe verhoudt zich dat tot het opteren voor een noodreisdocument van een ambassade van een andere lidstaat?</w:t>
      </w:r>
    </w:p>
    <w:p w:rsidR="007A7AE1" w:rsidP="004D0987" w:rsidRDefault="007A7AE1" w14:paraId="033071A2" w14:textId="77777777">
      <w:pPr>
        <w:jc w:val="both"/>
      </w:pPr>
    </w:p>
    <w:p w:rsidR="004D0987" w:rsidP="004D0987" w:rsidRDefault="004D0987" w14:paraId="75433245" w14:textId="77777777">
      <w:pPr>
        <w:ind w:firstLine="708"/>
        <w:jc w:val="both"/>
      </w:pPr>
      <w:r w:rsidRPr="008000F2">
        <w:t>Artikel 5c</w:t>
      </w:r>
    </w:p>
    <w:p w:rsidR="007A7AE1" w:rsidP="004D0987" w:rsidRDefault="007A7AE1" w14:paraId="3101186C" w14:textId="77777777">
      <w:pPr>
        <w:ind w:firstLine="708"/>
        <w:jc w:val="both"/>
      </w:pPr>
    </w:p>
    <w:p w:rsidR="004D0987" w:rsidP="004D0987" w:rsidRDefault="004D0987" w14:paraId="2DEC7A14" w14:textId="77777777">
      <w:pPr>
        <w:ind w:firstLine="708"/>
        <w:jc w:val="both"/>
      </w:pPr>
      <w:r w:rsidRPr="008000F2">
        <w:t>Artikel 5d</w:t>
      </w:r>
    </w:p>
    <w:p w:rsidR="007A7AE1" w:rsidP="004D0987" w:rsidRDefault="007A7AE1" w14:paraId="2BAEF074" w14:textId="77777777">
      <w:pPr>
        <w:ind w:firstLine="708"/>
        <w:jc w:val="both"/>
      </w:pPr>
    </w:p>
    <w:p w:rsidR="004D0987" w:rsidP="004D0987" w:rsidRDefault="004D0987" w14:paraId="6414123A" w14:textId="50CCE970">
      <w:pPr>
        <w:ind w:firstLine="708"/>
        <w:jc w:val="both"/>
      </w:pPr>
      <w:r w:rsidRPr="008000F2">
        <w:t xml:space="preserve">Artikel </w:t>
      </w:r>
      <w:r>
        <w:t>5</w:t>
      </w:r>
      <w:r w:rsidRPr="00242F6D">
        <w:rPr>
          <w:vertAlign w:val="superscript"/>
        </w:rPr>
        <w:t>e</w:t>
      </w:r>
    </w:p>
    <w:p w:rsidR="007A7AE1" w:rsidP="004D0987" w:rsidRDefault="007A7AE1" w14:paraId="7BA918F4" w14:textId="77777777">
      <w:pPr>
        <w:ind w:firstLine="708"/>
        <w:jc w:val="both"/>
      </w:pPr>
    </w:p>
    <w:p w:rsidR="004D0987" w:rsidP="004D0987" w:rsidRDefault="004D0987" w14:paraId="710C276A" w14:textId="77777777">
      <w:pPr>
        <w:ind w:firstLine="708"/>
        <w:jc w:val="both"/>
      </w:pPr>
      <w:r w:rsidRPr="008000F2">
        <w:t>Artikel 5f, Eerste lid</w:t>
      </w:r>
    </w:p>
    <w:p w:rsidR="007A7AE1" w:rsidP="004D0987" w:rsidRDefault="007A7AE1" w14:paraId="469BA9C5" w14:textId="77777777">
      <w:pPr>
        <w:ind w:firstLine="708"/>
        <w:jc w:val="both"/>
      </w:pPr>
    </w:p>
    <w:p w:rsidR="004D0987" w:rsidP="004D0987" w:rsidRDefault="004D0987" w14:paraId="7A51005F" w14:textId="77777777">
      <w:pPr>
        <w:ind w:firstLine="708"/>
        <w:jc w:val="both"/>
      </w:pPr>
      <w:r w:rsidRPr="008000F2">
        <w:t>Artikel 5f, Tweede lid</w:t>
      </w:r>
    </w:p>
    <w:p w:rsidR="004D0987" w:rsidP="004D0987" w:rsidRDefault="004D0987" w14:paraId="5799477B" w14:textId="4AED7B7D">
      <w:pPr>
        <w:jc w:val="both"/>
      </w:pPr>
      <w:r w:rsidRPr="004D0987">
        <w:t xml:space="preserve">De leden van de SGP-fractie danken de regering voor het vastleggen van de bewaartermijn voor gegevens en vragen daarover enige verdere uitleg. De termijn voor 180 dagen dient volgens de regering </w:t>
      </w:r>
      <w:r w:rsidR="007A7AE1">
        <w:t>twee</w:t>
      </w:r>
      <w:r w:rsidRPr="004D0987">
        <w:t xml:space="preserve"> doelen</w:t>
      </w:r>
      <w:r w:rsidR="00242F6D">
        <w:t>:</w:t>
      </w:r>
      <w:r w:rsidRPr="004D0987">
        <w:t xml:space="preserve"> leges innen en misbruik voorkomen.</w:t>
      </w:r>
      <w:r w:rsidR="00242F6D">
        <w:t xml:space="preserve"> </w:t>
      </w:r>
      <w:r w:rsidRPr="004D0987">
        <w:t>Welke van deze twee gronden bepaalt vooral dat de termijn van 180 dagen is gekozen en hoe komt men tot die 180 dagen, zo vragen de voornoemde leden</w:t>
      </w:r>
      <w:r w:rsidR="00242F6D">
        <w:t>.</w:t>
      </w:r>
    </w:p>
    <w:p w:rsidR="007A7AE1" w:rsidP="004D0987" w:rsidRDefault="007A7AE1" w14:paraId="211FFF67" w14:textId="77777777">
      <w:pPr>
        <w:jc w:val="both"/>
      </w:pPr>
    </w:p>
    <w:p w:rsidRPr="008000F2" w:rsidR="004D0987" w:rsidP="004D0987" w:rsidRDefault="004D0987" w14:paraId="108827E3" w14:textId="77777777">
      <w:pPr>
        <w:ind w:firstLine="708"/>
        <w:jc w:val="both"/>
      </w:pPr>
      <w:r w:rsidRPr="008000F2">
        <w:t>Artikel 5f, Derde lid</w:t>
      </w:r>
    </w:p>
    <w:p w:rsidR="004D0987" w:rsidP="004D0987" w:rsidRDefault="004D0987" w14:paraId="526EEE2E" w14:textId="77777777">
      <w:pPr>
        <w:ind w:firstLine="708"/>
        <w:jc w:val="both"/>
      </w:pPr>
    </w:p>
    <w:p w:rsidR="004D0987" w:rsidP="004D0987" w:rsidRDefault="004D0987" w14:paraId="04B435D4" w14:textId="77777777">
      <w:pPr>
        <w:jc w:val="both"/>
      </w:pPr>
      <w:r>
        <w:t>Artikel I, wijzigingsonderdeel E</w:t>
      </w:r>
    </w:p>
    <w:p w:rsidRPr="004D0987" w:rsidR="007A7AE1" w:rsidP="004D0987" w:rsidRDefault="007A7AE1" w14:paraId="53DBB06D" w14:textId="77777777">
      <w:pPr>
        <w:jc w:val="both"/>
      </w:pPr>
    </w:p>
    <w:p w:rsidRPr="00143597" w:rsidR="004D0987" w:rsidP="004D0987" w:rsidRDefault="004D0987" w14:paraId="1081B4B3" w14:textId="77777777">
      <w:pPr>
        <w:pStyle w:val="Default"/>
        <w:rPr>
          <w:rFonts w:ascii="Times New Roman" w:hAnsi="Times New Roman" w:cs="Times New Roman"/>
          <w:color w:val="211D1F"/>
        </w:rPr>
      </w:pPr>
      <w:r w:rsidRPr="002A5830">
        <w:rPr>
          <w:rFonts w:ascii="Times New Roman" w:hAnsi="Times New Roman" w:cs="Times New Roman"/>
          <w:color w:val="211D1F"/>
        </w:rPr>
        <w:t>Artikel II</w:t>
      </w:r>
      <w:r>
        <w:rPr>
          <w:rFonts w:ascii="Times New Roman" w:hAnsi="Times New Roman" w:cs="Times New Roman"/>
          <w:color w:val="211D1F"/>
        </w:rPr>
        <w:t xml:space="preserve"> </w:t>
      </w:r>
    </w:p>
    <w:p w:rsidR="004D0987" w:rsidRDefault="004D0987" w14:paraId="01921EA7" w14:textId="77777777"/>
    <w:sectPr w:rsidR="004D0987" w:rsidSect="008000F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DFHD E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4F78"/>
    <w:multiLevelType w:val="hybridMultilevel"/>
    <w:tmpl w:val="43A806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4265"/>
    <w:multiLevelType w:val="multilevel"/>
    <w:tmpl w:val="C6986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9F6B8F"/>
    <w:multiLevelType w:val="multilevel"/>
    <w:tmpl w:val="86C8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2073967323">
    <w:abstractNumId w:val="0"/>
  </w:num>
  <w:num w:numId="2" w16cid:durableId="1756708560">
    <w:abstractNumId w:val="1"/>
  </w:num>
  <w:num w:numId="3" w16cid:durableId="134381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2"/>
    <w:rsid w:val="00242F6D"/>
    <w:rsid w:val="00244A07"/>
    <w:rsid w:val="00334EDB"/>
    <w:rsid w:val="004249CD"/>
    <w:rsid w:val="00453E3E"/>
    <w:rsid w:val="004D0987"/>
    <w:rsid w:val="006055C6"/>
    <w:rsid w:val="007A0C01"/>
    <w:rsid w:val="007A7AE1"/>
    <w:rsid w:val="007C7250"/>
    <w:rsid w:val="007F0268"/>
    <w:rsid w:val="008000F2"/>
    <w:rsid w:val="009141DD"/>
    <w:rsid w:val="00BF6E81"/>
    <w:rsid w:val="00C47875"/>
    <w:rsid w:val="00D37483"/>
    <w:rsid w:val="00DC0769"/>
    <w:rsid w:val="00E04F8D"/>
    <w:rsid w:val="00E60871"/>
    <w:rsid w:val="00EE598F"/>
    <w:rsid w:val="00F2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056B"/>
  <w15:chartTrackingRefBased/>
  <w15:docId w15:val="{843DF19A-30A6-447B-B73B-F80DD67C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00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A0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mendement">
    <w:name w:val="Amendement"/>
    <w:rsid w:val="008000F2"/>
    <w:pPr>
      <w:widowControl w:val="0"/>
      <w:tabs>
        <w:tab w:val="left" w:pos="3310"/>
        <w:tab w:val="left" w:pos="360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kern w:val="0"/>
      <w:sz w:val="24"/>
      <w:szCs w:val="24"/>
      <w:lang w:eastAsia="nl-NL"/>
      <w14:ligatures w14:val="none"/>
    </w:rPr>
  </w:style>
  <w:style w:type="paragraph" w:customStyle="1" w:styleId="Default">
    <w:name w:val="Default"/>
    <w:rsid w:val="008000F2"/>
    <w:pPr>
      <w:autoSpaceDE w:val="0"/>
      <w:autoSpaceDN w:val="0"/>
      <w:adjustRightInd w:val="0"/>
      <w:spacing w:after="0" w:line="240" w:lineRule="auto"/>
    </w:pPr>
    <w:rPr>
      <w:rFonts w:ascii="HDFHD E+ Univers" w:hAnsi="HDFHD E+ Univers" w:cs="HDFHD E+ Univers"/>
      <w:color w:val="000000"/>
      <w:kern w:val="0"/>
      <w:sz w:val="24"/>
      <w:szCs w:val="24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8000F2"/>
    <w:pPr>
      <w:ind w:left="720"/>
      <w:contextualSpacing/>
    </w:p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locked/>
    <w:rsid w:val="008000F2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7A0C0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l-NL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A0C01"/>
    <w:pPr>
      <w:spacing w:line="259" w:lineRule="auto"/>
      <w:outlineLvl w:val="9"/>
    </w:pPr>
  </w:style>
  <w:style w:type="table" w:styleId="Tabelraster">
    <w:name w:val="Table Grid"/>
    <w:basedOn w:val="Standaardtabel"/>
    <w:uiPriority w:val="39"/>
    <w:rsid w:val="007A0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DC07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e">
    <w:name w:val="Revision"/>
    <w:hidden/>
    <w:uiPriority w:val="99"/>
    <w:semiHidden/>
    <w:rsid w:val="007A7A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02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F02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F0268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02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0268"/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table" w:styleId="Onopgemaaktetabel4">
    <w:name w:val="Plain Table 4"/>
    <w:basedOn w:val="Standaardtabel"/>
    <w:uiPriority w:val="44"/>
    <w:rsid w:val="00242F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242F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styles" Target="styles.xml" Id="rId7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1342</ap:Words>
  <ap:Characters>7382</ap:Characters>
  <ap:DocSecurity>0</ap:DocSecurity>
  <ap:Lines>61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2024-11-29T14:24:00.0000000Z</dcterms:created>
  <dcterms:modified xsi:type="dcterms:W3CDTF">2024-11-29T14:24:00.0000000Z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00547308-4dd6-49ee-8a54-86c4d4cf73bd</vt:lpwstr>
  </property>
</Properties>
</file>