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0C90" w:rsidR="00847EBA" w:rsidRDefault="0037483D" w14:paraId="650A687C" w14:textId="77777777">
      <w:pPr>
        <w:rPr>
          <w:rFonts w:cstheme="minorHAnsi"/>
        </w:rPr>
      </w:pPr>
      <w:r w:rsidRPr="000D0C90">
        <w:rPr>
          <w:rFonts w:cstheme="minorHAnsi"/>
        </w:rPr>
        <w:t>28325</w:t>
      </w:r>
      <w:r w:rsidRPr="000D0C90" w:rsidR="00847EBA">
        <w:rPr>
          <w:rFonts w:cstheme="minorHAnsi"/>
        </w:rPr>
        <w:tab/>
      </w:r>
      <w:r w:rsidRPr="000D0C90" w:rsidR="00847EBA">
        <w:rPr>
          <w:rFonts w:cstheme="minorHAnsi"/>
        </w:rPr>
        <w:tab/>
      </w:r>
      <w:r w:rsidRPr="000D0C90" w:rsidR="00847EBA">
        <w:rPr>
          <w:rFonts w:cstheme="minorHAnsi"/>
        </w:rPr>
        <w:tab/>
        <w:t xml:space="preserve">Bouwregelgeving </w:t>
      </w:r>
    </w:p>
    <w:p w:rsidRPr="000D0C90" w:rsidR="00847EBA" w:rsidP="00847EBA" w:rsidRDefault="00847EBA" w14:paraId="3DBB7FCB" w14:textId="26F898F1">
      <w:pPr>
        <w:ind w:left="2124" w:hanging="2124"/>
        <w:rPr>
          <w:rFonts w:cstheme="minorHAnsi"/>
        </w:rPr>
      </w:pPr>
      <w:r w:rsidRPr="000D0C90">
        <w:rPr>
          <w:rFonts w:cstheme="minorHAnsi"/>
        </w:rPr>
        <w:t xml:space="preserve">Nr. </w:t>
      </w:r>
      <w:r w:rsidRPr="000D0C90">
        <w:rPr>
          <w:rFonts w:cstheme="minorHAnsi"/>
        </w:rPr>
        <w:t>276</w:t>
      </w:r>
      <w:r w:rsidRPr="000D0C90">
        <w:rPr>
          <w:rFonts w:cstheme="minorHAnsi"/>
        </w:rPr>
        <w:tab/>
        <w:t>Brief van de minister van Volkshuisvesting en Ruimtelijke Ordening</w:t>
      </w:r>
    </w:p>
    <w:p w:rsidRPr="000D0C90" w:rsidR="0037483D" w:rsidP="0037483D" w:rsidRDefault="00847EBA" w14:paraId="785E46FB" w14:textId="64929A35">
      <w:pPr>
        <w:rPr>
          <w:rFonts w:cstheme="minorHAnsi"/>
        </w:rPr>
      </w:pPr>
      <w:r w:rsidRPr="000D0C90">
        <w:rPr>
          <w:rFonts w:cstheme="minorHAnsi"/>
        </w:rPr>
        <w:t>Aan de Voorzitter van de Tweede Kamer der Staten-Generaal</w:t>
      </w:r>
    </w:p>
    <w:p w:rsidRPr="000D0C90" w:rsidR="00847EBA" w:rsidP="0037483D" w:rsidRDefault="00847EBA" w14:paraId="25AEB84A" w14:textId="67D7D0A1">
      <w:pPr>
        <w:rPr>
          <w:rFonts w:cstheme="minorHAnsi"/>
        </w:rPr>
      </w:pPr>
      <w:r w:rsidRPr="000D0C90">
        <w:rPr>
          <w:rFonts w:cstheme="minorHAnsi"/>
        </w:rPr>
        <w:t xml:space="preserve">Den Haag, </w:t>
      </w:r>
      <w:r w:rsidRPr="000D0C90" w:rsidR="000D0C90">
        <w:rPr>
          <w:rFonts w:cstheme="minorHAnsi"/>
        </w:rPr>
        <w:t>28 november 2024</w:t>
      </w:r>
    </w:p>
    <w:p w:rsidRPr="000D0C90" w:rsidR="00847EBA" w:rsidP="0037483D" w:rsidRDefault="00847EBA" w14:paraId="449BBEB0" w14:textId="77777777">
      <w:pPr>
        <w:rPr>
          <w:rFonts w:cstheme="minorHAnsi"/>
        </w:rPr>
      </w:pPr>
    </w:p>
    <w:p w:rsidRPr="000D0C90" w:rsidR="0037483D" w:rsidP="0037483D" w:rsidRDefault="0037483D" w14:paraId="76ABE19A" w14:textId="4CFF4747">
      <w:pPr>
        <w:rPr>
          <w:rFonts w:cstheme="minorHAnsi"/>
        </w:rPr>
      </w:pPr>
      <w:r w:rsidRPr="000D0C90">
        <w:rPr>
          <w:rFonts w:cstheme="minorHAnsi"/>
        </w:rPr>
        <w:t>Op 7 mei jl. heeft mijn ambtsvoorganger aan uw Kamer een wijziging van het Besluit bouwwerken leefomgeving (</w:t>
      </w:r>
      <w:proofErr w:type="spellStart"/>
      <w:r w:rsidRPr="000D0C90">
        <w:rPr>
          <w:rFonts w:cstheme="minorHAnsi"/>
        </w:rPr>
        <w:t>Bbl</w:t>
      </w:r>
      <w:proofErr w:type="spellEnd"/>
      <w:r w:rsidRPr="000D0C90">
        <w:rPr>
          <w:rFonts w:cstheme="minorHAnsi"/>
        </w:rPr>
        <w:t>) ter voorhang gestuurd</w:t>
      </w:r>
      <w:r w:rsidRPr="000D0C90">
        <w:rPr>
          <w:rStyle w:val="Voetnootmarkering"/>
          <w:rFonts w:cstheme="minorHAnsi"/>
        </w:rPr>
        <w:footnoteReference w:id="1"/>
      </w:r>
      <w:r w:rsidRPr="000D0C90">
        <w:rPr>
          <w:rFonts w:cstheme="minorHAnsi"/>
        </w:rPr>
        <w:t xml:space="preserve"> met onder andere eisen voor het aanbrengen van verblijfsvoorzieningen voor bouwwerkafhankelijke beschermde diersoorten (huismus, gierzwaluw en vleermuis) bij nieuwbouw en ingrijpende renovatie van woningen. </w:t>
      </w:r>
    </w:p>
    <w:p w:rsidRPr="000D0C90" w:rsidR="0037483D" w:rsidP="0037483D" w:rsidRDefault="0037483D" w14:paraId="446722D8" w14:textId="77777777">
      <w:pPr>
        <w:rPr>
          <w:rFonts w:cstheme="minorHAnsi"/>
        </w:rPr>
      </w:pPr>
      <w:r w:rsidRPr="000D0C90">
        <w:rPr>
          <w:rFonts w:cstheme="minorHAnsi"/>
        </w:rPr>
        <w:t xml:space="preserve">Hierbij informeer ik u dat ik heb besloten deze nieuwe verplichting niet te gaan opnemen in het </w:t>
      </w:r>
      <w:proofErr w:type="spellStart"/>
      <w:r w:rsidRPr="000D0C90">
        <w:rPr>
          <w:rFonts w:cstheme="minorHAnsi"/>
        </w:rPr>
        <w:t>Bbl</w:t>
      </w:r>
      <w:proofErr w:type="spellEnd"/>
      <w:r w:rsidRPr="000D0C90">
        <w:rPr>
          <w:rFonts w:cstheme="minorHAnsi"/>
        </w:rPr>
        <w:t>. Dit overeenkomstig het regeerprogramma</w:t>
      </w:r>
      <w:r w:rsidRPr="000D0C90">
        <w:rPr>
          <w:rStyle w:val="Voetnootmarkering"/>
          <w:rFonts w:cstheme="minorHAnsi"/>
        </w:rPr>
        <w:footnoteReference w:id="2"/>
      </w:r>
      <w:r w:rsidRPr="000D0C90">
        <w:rPr>
          <w:rFonts w:cstheme="minorHAnsi"/>
        </w:rPr>
        <w:t>, waarin is opgenomen dat in de bouwregelgeving voor woningen geen nieuwe duurzaamheidseisen worden opgenomen, tenzij het de invulling van Europese richtlijnen betreft. Deze verplichting zou namelijk een nieuwe duurzaamheidseis zijn en is geen invulling van een Europese richtlijn.</w:t>
      </w:r>
    </w:p>
    <w:p w:rsidRPr="000D0C90" w:rsidR="0037483D" w:rsidP="0037483D" w:rsidRDefault="0037483D" w14:paraId="66AAA0B9" w14:textId="77777777">
      <w:pPr>
        <w:rPr>
          <w:rFonts w:cstheme="minorHAnsi"/>
        </w:rPr>
      </w:pPr>
      <w:r w:rsidRPr="000D0C90">
        <w:rPr>
          <w:rFonts w:cstheme="minorHAnsi"/>
        </w:rPr>
        <w:t xml:space="preserve">Ook past het niet door laten gaan van deze verplichting in het door mij geïntroduceerde programma STOER (Schrappen van Tegenstrijdige of Overbodige Eisen en Regelgeving). </w:t>
      </w:r>
    </w:p>
    <w:p w:rsidRPr="000D0C90" w:rsidR="0037483D" w:rsidP="0037483D" w:rsidRDefault="0037483D" w14:paraId="3AE4D60A" w14:textId="77777777">
      <w:pPr>
        <w:rPr>
          <w:rFonts w:cstheme="minorHAnsi"/>
        </w:rPr>
      </w:pPr>
    </w:p>
    <w:p w:rsidRPr="000D0C90" w:rsidR="0037483D" w:rsidP="0037483D" w:rsidRDefault="0037483D" w14:paraId="77F408A2" w14:textId="739772DB">
      <w:pPr>
        <w:rPr>
          <w:rFonts w:cstheme="minorHAnsi"/>
        </w:rPr>
      </w:pPr>
      <w:r w:rsidRPr="000D0C90">
        <w:rPr>
          <w:rFonts w:cstheme="minorHAnsi"/>
        </w:rPr>
        <w:t>De minister van Volkshuisvesting en Ruimtelijke Ordening,</w:t>
      </w:r>
      <w:r w:rsidRPr="000D0C90">
        <w:rPr>
          <w:rFonts w:cstheme="minorHAnsi"/>
        </w:rPr>
        <w:br/>
      </w:r>
      <w:r w:rsidRPr="000D0C90" w:rsidR="00847EBA">
        <w:rPr>
          <w:rFonts w:cstheme="minorHAnsi"/>
        </w:rPr>
        <w:t xml:space="preserve">M.C.G. </w:t>
      </w:r>
      <w:r w:rsidRPr="000D0C90">
        <w:rPr>
          <w:rFonts w:cstheme="minorHAnsi"/>
        </w:rPr>
        <w:t>Keijzer</w:t>
      </w:r>
    </w:p>
    <w:p w:rsidRPr="000D0C90" w:rsidR="00870BC1" w:rsidRDefault="00870BC1" w14:paraId="67FC283C" w14:textId="77777777">
      <w:pPr>
        <w:rPr>
          <w:rFonts w:cstheme="minorHAnsi"/>
        </w:rPr>
      </w:pPr>
    </w:p>
    <w:sectPr w:rsidRPr="000D0C90" w:rsidR="00870BC1" w:rsidSect="0037483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267B" w14:textId="77777777" w:rsidR="0037483D" w:rsidRDefault="0037483D" w:rsidP="0037483D">
      <w:pPr>
        <w:spacing w:after="0" w:line="240" w:lineRule="auto"/>
      </w:pPr>
      <w:r>
        <w:separator/>
      </w:r>
    </w:p>
  </w:endnote>
  <w:endnote w:type="continuationSeparator" w:id="0">
    <w:p w14:paraId="5B78AB55" w14:textId="77777777" w:rsidR="0037483D" w:rsidRDefault="0037483D" w:rsidP="0037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68C" w14:textId="77777777" w:rsidR="0037483D" w:rsidRPr="0037483D" w:rsidRDefault="0037483D" w:rsidP="003748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8241" w14:textId="77777777" w:rsidR="0037483D" w:rsidRPr="0037483D" w:rsidRDefault="0037483D" w:rsidP="003748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D02C" w14:textId="77777777" w:rsidR="0037483D" w:rsidRPr="0037483D" w:rsidRDefault="0037483D" w:rsidP="003748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6118" w14:textId="77777777" w:rsidR="0037483D" w:rsidRDefault="0037483D" w:rsidP="0037483D">
      <w:pPr>
        <w:spacing w:after="0" w:line="240" w:lineRule="auto"/>
      </w:pPr>
      <w:r>
        <w:separator/>
      </w:r>
    </w:p>
  </w:footnote>
  <w:footnote w:type="continuationSeparator" w:id="0">
    <w:p w14:paraId="2ED54DE9" w14:textId="77777777" w:rsidR="0037483D" w:rsidRDefault="0037483D" w:rsidP="0037483D">
      <w:pPr>
        <w:spacing w:after="0" w:line="240" w:lineRule="auto"/>
      </w:pPr>
      <w:r>
        <w:continuationSeparator/>
      </w:r>
    </w:p>
  </w:footnote>
  <w:footnote w:id="1">
    <w:p w14:paraId="6C597CAC" w14:textId="77777777" w:rsidR="0037483D" w:rsidRPr="000D0C90" w:rsidRDefault="0037483D" w:rsidP="0037483D">
      <w:pPr>
        <w:pStyle w:val="Voetnoottekst"/>
        <w:rPr>
          <w:rFonts w:asciiTheme="minorHAnsi" w:hAnsiTheme="minorHAnsi" w:cstheme="minorHAnsi"/>
        </w:rPr>
      </w:pPr>
      <w:r w:rsidRPr="000D0C90">
        <w:rPr>
          <w:rStyle w:val="Voetnootmarkering"/>
          <w:rFonts w:asciiTheme="minorHAnsi" w:hAnsiTheme="minorHAnsi" w:cstheme="minorHAnsi"/>
        </w:rPr>
        <w:footnoteRef/>
      </w:r>
      <w:r w:rsidRPr="000D0C90">
        <w:rPr>
          <w:rFonts w:asciiTheme="minorHAnsi" w:hAnsiTheme="minorHAnsi" w:cstheme="minorHAnsi"/>
        </w:rPr>
        <w:t xml:space="preserve"> </w:t>
      </w:r>
      <w:hyperlink r:id="rId1" w:history="1">
        <w:r w:rsidRPr="000D0C90">
          <w:rPr>
            <w:rFonts w:asciiTheme="minorHAnsi" w:hAnsiTheme="minorHAnsi" w:cstheme="minorHAnsi"/>
            <w:color w:val="0000FF"/>
            <w:u w:val="single"/>
          </w:rPr>
          <w:t>Kamerstuk 28325, nr. 269 | Overheid.nl &gt; Officiële bekendmakingen (officielebekendmakingen.nl)</w:t>
        </w:r>
      </w:hyperlink>
    </w:p>
  </w:footnote>
  <w:footnote w:id="2">
    <w:p w14:paraId="4010C546" w14:textId="77777777" w:rsidR="0037483D" w:rsidRPr="000D0C90" w:rsidRDefault="0037483D" w:rsidP="0037483D">
      <w:pPr>
        <w:pStyle w:val="Voetnoottekst"/>
        <w:rPr>
          <w:rFonts w:asciiTheme="minorHAnsi" w:hAnsiTheme="minorHAnsi" w:cstheme="minorHAnsi"/>
        </w:rPr>
      </w:pPr>
      <w:r w:rsidRPr="000D0C90">
        <w:rPr>
          <w:rStyle w:val="Voetnootmarkering"/>
          <w:rFonts w:asciiTheme="minorHAnsi" w:hAnsiTheme="minorHAnsi" w:cstheme="minorHAnsi"/>
        </w:rPr>
        <w:footnoteRef/>
      </w:r>
      <w:r w:rsidRPr="000D0C90">
        <w:rPr>
          <w:rFonts w:asciiTheme="minorHAnsi" w:hAnsiTheme="minorHAnsi" w:cstheme="minorHAnsi"/>
        </w:rPr>
        <w:t xml:space="preserve"> Uitwerking van het hoofdlijnenakkoord door het kabinet, 13 september 2024, p.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7145" w14:textId="77777777" w:rsidR="0037483D" w:rsidRPr="0037483D" w:rsidRDefault="0037483D" w:rsidP="003748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1A1E" w14:textId="77777777" w:rsidR="0037483D" w:rsidRPr="0037483D" w:rsidRDefault="0037483D" w:rsidP="003748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09E2" w14:textId="77777777" w:rsidR="0037483D" w:rsidRPr="0037483D" w:rsidRDefault="0037483D" w:rsidP="003748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3D"/>
    <w:rsid w:val="000D0C90"/>
    <w:rsid w:val="002C6B79"/>
    <w:rsid w:val="0037483D"/>
    <w:rsid w:val="00847EBA"/>
    <w:rsid w:val="00870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7B8E"/>
  <w15:chartTrackingRefBased/>
  <w15:docId w15:val="{5FEA360C-3EE3-4C75-B40B-606380A0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37483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7483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7483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7483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7483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748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7483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748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7483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748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7483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74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8325-269.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184</ap:Words>
  <ap:Characters>1015</ap:Characters>
  <ap:DocSecurity>0</ap:DocSecurity>
  <ap:Lines>8</ap:Lines>
  <ap:Paragraphs>2</ap:Paragraphs>
  <ap:ScaleCrop>false</ap:ScaleCrop>
  <ap:LinksUpToDate>false</ap:LinksUpToDate>
  <ap:CharactersWithSpaces>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2024-12-02T10:50:00.0000000Z</dcterms:created>
  <dcterms:modified xsi:type="dcterms:W3CDTF">2024-12-02T10:50:00.0000000Z</dcterms:modified>
  <version/>
  <category/>
</coreProperties>
</file>